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365" w:rsidRDefault="008D4B2E">
      <w:pPr>
        <w:spacing w:before="2400" w:line="773" w:lineRule="exact"/>
        <w:jc w:val="center"/>
        <w:rPr>
          <w:rFonts w:ascii="宋体" w:eastAsia="宋体" w:hAnsi="宋体" w:cs="宋体"/>
          <w:b/>
          <w:bCs/>
          <w:sz w:val="36"/>
          <w:szCs w:val="36"/>
        </w:rPr>
      </w:pPr>
      <w:proofErr w:type="gramStart"/>
      <w:r>
        <w:rPr>
          <w:rFonts w:ascii="宋体" w:eastAsia="宋体" w:hAnsi="宋体" w:cs="宋体"/>
          <w:b/>
          <w:bCs/>
          <w:sz w:val="36"/>
          <w:szCs w:val="36"/>
        </w:rPr>
        <w:t>软控股份有限公司</w:t>
      </w:r>
      <w:proofErr w:type="gramEnd"/>
    </w:p>
    <w:p w:rsidR="00BA0365" w:rsidRDefault="008D4B2E">
      <w:pPr>
        <w:spacing w:before="1000" w:line="240" w:lineRule="exact"/>
        <w:jc w:val="center"/>
        <w:rPr>
          <w:rFonts w:ascii="宋体" w:eastAsia="宋体" w:hAnsi="宋体" w:cs="宋体"/>
          <w:b/>
          <w:bCs/>
          <w:sz w:val="32"/>
          <w:szCs w:val="32"/>
        </w:rPr>
      </w:pPr>
      <w:r>
        <w:rPr>
          <w:rFonts w:ascii="宋体" w:eastAsia="宋体" w:hAnsi="宋体" w:cs="宋体"/>
          <w:b/>
          <w:bCs/>
          <w:sz w:val="32"/>
          <w:szCs w:val="32"/>
        </w:rPr>
        <w:t>2023年年度报告</w:t>
      </w:r>
    </w:p>
    <w:p w:rsidR="00BA0365" w:rsidRDefault="00BA0365">
      <w:pPr>
        <w:spacing w:before="1000" w:line="240" w:lineRule="exact"/>
        <w:jc w:val="center"/>
        <w:rPr>
          <w:rFonts w:ascii="宋体" w:eastAsia="宋体" w:hAnsi="宋体" w:cs="宋体"/>
          <w:b/>
          <w:bCs/>
          <w:szCs w:val="21"/>
        </w:rPr>
      </w:pPr>
    </w:p>
    <w:p w:rsidR="00BA0365" w:rsidRDefault="00BA0365">
      <w:pPr>
        <w:spacing w:before="1000" w:after="1000" w:line="0" w:lineRule="atLeast"/>
        <w:jc w:val="center"/>
        <w:rPr>
          <w:rFonts w:ascii="Times New Roman" w:eastAsia="宋体" w:hAnsi="Times New Roman" w:cs="Times New Roman"/>
        </w:rPr>
      </w:pPr>
    </w:p>
    <w:p w:rsidR="00BA0365" w:rsidRDefault="008D4B2E">
      <w:pPr>
        <w:spacing w:before="400" w:line="320" w:lineRule="exact"/>
        <w:jc w:val="center"/>
        <w:rPr>
          <w:rFonts w:ascii="宋体" w:eastAsia="宋体" w:hAnsi="宋体" w:cs="宋体"/>
          <w:b/>
          <w:bCs/>
          <w:sz w:val="32"/>
          <w:szCs w:val="32"/>
        </w:rPr>
      </w:pPr>
      <w:r>
        <w:rPr>
          <w:rFonts w:ascii="宋体" w:eastAsia="宋体" w:hAnsi="宋体" w:cs="宋体" w:hint="eastAsia"/>
          <w:b/>
          <w:bCs/>
          <w:sz w:val="32"/>
          <w:szCs w:val="32"/>
        </w:rPr>
        <w:t>2</w:t>
      </w:r>
      <w:r>
        <w:rPr>
          <w:rFonts w:ascii="宋体" w:eastAsia="宋体" w:hAnsi="宋体" w:cs="宋体"/>
          <w:b/>
          <w:bCs/>
          <w:sz w:val="32"/>
          <w:szCs w:val="32"/>
        </w:rPr>
        <w:t>024年</w:t>
      </w:r>
      <w:r>
        <w:rPr>
          <w:rFonts w:ascii="宋体" w:eastAsia="宋体" w:hAnsi="宋体" w:cs="宋体" w:hint="eastAsia"/>
          <w:b/>
          <w:bCs/>
          <w:sz w:val="32"/>
          <w:szCs w:val="32"/>
        </w:rPr>
        <w:t>0</w:t>
      </w:r>
      <w:r>
        <w:rPr>
          <w:rFonts w:ascii="宋体" w:eastAsia="宋体" w:hAnsi="宋体" w:cs="宋体"/>
          <w:b/>
          <w:bCs/>
          <w:sz w:val="32"/>
          <w:szCs w:val="32"/>
        </w:rPr>
        <w:t>4月</w:t>
      </w:r>
    </w:p>
    <w:p w:rsidR="00BA0365" w:rsidRDefault="008D4B2E">
      <w:r>
        <w:br w:type="page"/>
      </w:r>
    </w:p>
    <w:p w:rsidR="00BA0365" w:rsidRDefault="008D4B2E">
      <w:pPr>
        <w:spacing w:before="1000" w:after="40" w:line="440" w:lineRule="exact"/>
        <w:jc w:val="center"/>
        <w:rPr>
          <w:rFonts w:ascii="宋体" w:eastAsia="宋体" w:hAnsi="宋体" w:cs="宋体"/>
          <w:b/>
          <w:bCs/>
          <w:sz w:val="44"/>
          <w:szCs w:val="44"/>
        </w:rPr>
      </w:pPr>
      <w:r>
        <w:rPr>
          <w:rFonts w:ascii="宋体" w:eastAsia="宋体" w:hAnsi="宋体" w:cs="宋体"/>
          <w:b/>
          <w:bCs/>
          <w:sz w:val="44"/>
          <w:szCs w:val="44"/>
        </w:rPr>
        <w:lastRenderedPageBreak/>
        <w:t>2023年年度报告</w:t>
      </w:r>
    </w:p>
    <w:p w:rsidR="00BA0365" w:rsidRDefault="008D4B2E">
      <w:pPr>
        <w:pStyle w:val="headingh1"/>
        <w:spacing w:before="340" w:after="330" w:line="773" w:lineRule="exact"/>
        <w:jc w:val="center"/>
        <w:rPr>
          <w:rFonts w:ascii="宋体" w:eastAsia="宋体" w:hAnsi="宋体" w:cs="宋体"/>
          <w:b/>
          <w:bCs/>
          <w:sz w:val="32"/>
          <w:szCs w:val="32"/>
        </w:rPr>
      </w:pPr>
      <w:bookmarkStart w:id="0" w:name="_Toc988889"/>
      <w:r>
        <w:rPr>
          <w:rFonts w:ascii="宋体" w:eastAsia="宋体" w:hAnsi="宋体" w:cs="宋体"/>
          <w:b/>
          <w:bCs/>
          <w:sz w:val="32"/>
          <w:szCs w:val="32"/>
        </w:rPr>
        <w:t>第一节 重要提示、目录和释义</w:t>
      </w:r>
      <w:bookmarkEnd w:id="0"/>
    </w:p>
    <w:p w:rsidR="00BA0365" w:rsidRDefault="008D4B2E">
      <w:pPr>
        <w:spacing w:before="40" w:after="40" w:line="560" w:lineRule="exact"/>
        <w:ind w:firstLineChars="200" w:firstLine="562"/>
        <w:rPr>
          <w:rFonts w:ascii="宋体" w:eastAsia="宋体" w:hAnsi="宋体" w:cs="宋体"/>
          <w:b/>
          <w:bCs/>
          <w:sz w:val="28"/>
          <w:szCs w:val="28"/>
        </w:rPr>
      </w:pPr>
      <w:r>
        <w:rPr>
          <w:rFonts w:ascii="宋体" w:eastAsia="宋体" w:hAnsi="宋体" w:cs="宋体"/>
          <w:b/>
          <w:bCs/>
          <w:sz w:val="28"/>
          <w:szCs w:val="28"/>
        </w:rPr>
        <w:t>公司董事会、监事会及董事、监事、高级管理人员保证年度报告内容的真实、准确、完整，不存在虚假记载、误导性陈述或重大遗漏，并承担个别和连带的法律责任。</w:t>
      </w:r>
    </w:p>
    <w:p w:rsidR="00BA0365" w:rsidRDefault="008D4B2E">
      <w:pPr>
        <w:spacing w:line="560" w:lineRule="exact"/>
        <w:ind w:firstLineChars="200" w:firstLine="562"/>
        <w:rPr>
          <w:rFonts w:ascii="宋体" w:eastAsia="宋体" w:hAnsi="宋体" w:cs="宋体"/>
          <w:b/>
          <w:bCs/>
          <w:sz w:val="28"/>
          <w:szCs w:val="28"/>
        </w:rPr>
      </w:pPr>
      <w:r>
        <w:rPr>
          <w:rFonts w:ascii="宋体" w:eastAsia="宋体" w:hAnsi="宋体" w:cs="宋体"/>
          <w:b/>
          <w:bCs/>
          <w:sz w:val="28"/>
          <w:szCs w:val="28"/>
        </w:rPr>
        <w:t>公司负责人官</w:t>
      </w:r>
      <w:proofErr w:type="gramStart"/>
      <w:r>
        <w:rPr>
          <w:rFonts w:ascii="宋体" w:eastAsia="宋体" w:hAnsi="宋体" w:cs="宋体"/>
          <w:b/>
          <w:bCs/>
          <w:sz w:val="28"/>
          <w:szCs w:val="28"/>
        </w:rPr>
        <w:t>炳</w:t>
      </w:r>
      <w:proofErr w:type="gramEnd"/>
      <w:r>
        <w:rPr>
          <w:rFonts w:ascii="宋体" w:eastAsia="宋体" w:hAnsi="宋体" w:cs="宋体"/>
          <w:b/>
          <w:bCs/>
          <w:sz w:val="28"/>
          <w:szCs w:val="28"/>
        </w:rPr>
        <w:t>政、主管会计工作负责人张垚及会计机构负责人（会计主管人员）廖永健声明：保证本年度报告中财务报告的真实、准确、完整。</w:t>
      </w:r>
    </w:p>
    <w:p w:rsidR="00BA0365" w:rsidRDefault="008D4B2E">
      <w:pPr>
        <w:spacing w:line="560" w:lineRule="exact"/>
        <w:rPr>
          <w:rFonts w:ascii="宋体" w:eastAsia="宋体" w:hAnsi="宋体" w:cs="宋体"/>
          <w:b/>
          <w:bCs/>
          <w:sz w:val="28"/>
          <w:szCs w:val="28"/>
        </w:rPr>
      </w:pPr>
      <w:r>
        <w:rPr>
          <w:rFonts w:ascii="宋体" w:eastAsia="宋体" w:hAnsi="宋体" w:cs="宋体"/>
          <w:b/>
          <w:bCs/>
          <w:sz w:val="28"/>
          <w:szCs w:val="28"/>
        </w:rPr>
        <w:t>所有董事均</w:t>
      </w:r>
      <w:proofErr w:type="gramStart"/>
      <w:r>
        <w:rPr>
          <w:rFonts w:ascii="宋体" w:eastAsia="宋体" w:hAnsi="宋体" w:cs="宋体"/>
          <w:b/>
          <w:bCs/>
          <w:sz w:val="28"/>
          <w:szCs w:val="28"/>
        </w:rPr>
        <w:t>已出席</w:t>
      </w:r>
      <w:proofErr w:type="gramEnd"/>
      <w:r>
        <w:rPr>
          <w:rFonts w:ascii="宋体" w:eastAsia="宋体" w:hAnsi="宋体" w:cs="宋体"/>
          <w:b/>
          <w:bCs/>
          <w:sz w:val="28"/>
          <w:szCs w:val="28"/>
        </w:rPr>
        <w:t>了审议本报告的董事会会议。</w:t>
      </w:r>
    </w:p>
    <w:p w:rsidR="008D4B2E" w:rsidRDefault="008D4B2E">
      <w:pPr>
        <w:pStyle w:val="a3"/>
        <w:spacing w:beforeAutospacing="0" w:afterAutospacing="0" w:line="560" w:lineRule="atLeast"/>
        <w:ind w:firstLine="648"/>
        <w:divId w:val="1882932497"/>
        <w:rPr>
          <w:b/>
          <w:bCs/>
          <w:sz w:val="28"/>
          <w:szCs w:val="28"/>
        </w:rPr>
      </w:pPr>
      <w:r>
        <w:rPr>
          <w:rFonts w:hint="eastAsia"/>
          <w:b/>
          <w:bCs/>
          <w:sz w:val="28"/>
          <w:szCs w:val="28"/>
        </w:rPr>
        <w:t>公司2023年年度报告中所涉及的未来计划、发展战略等前瞻性陈述不构成公司对投资者的实质性承诺，敬请投资者及相关人士均应当对此保持足够的风险认识，并且应当理解计划、预测与承诺之间的差异，注意投资风险。</w:t>
      </w:r>
    </w:p>
    <w:p w:rsidR="008D4B2E" w:rsidRDefault="008D4B2E">
      <w:pPr>
        <w:pStyle w:val="a3"/>
        <w:spacing w:beforeAutospacing="0" w:afterAutospacing="0" w:line="560" w:lineRule="atLeast"/>
        <w:ind w:firstLine="648"/>
        <w:divId w:val="1250851676"/>
        <w:rPr>
          <w:b/>
          <w:bCs/>
          <w:sz w:val="28"/>
          <w:szCs w:val="28"/>
        </w:rPr>
      </w:pPr>
      <w:r>
        <w:rPr>
          <w:rFonts w:hint="eastAsia"/>
          <w:b/>
          <w:bCs/>
          <w:sz w:val="28"/>
          <w:szCs w:val="28"/>
        </w:rPr>
        <w:t>公司可能存在的风险因素请查阅本报告“第三节管理层讨论与分析”中“十一、公司未来发展的展望”相关内容。</w:t>
      </w:r>
    </w:p>
    <w:p w:rsidR="00BA0365" w:rsidRDefault="008D4B2E">
      <w:pPr>
        <w:spacing w:line="560" w:lineRule="exact"/>
        <w:ind w:firstLineChars="200" w:firstLine="562"/>
        <w:rPr>
          <w:rFonts w:ascii="宋体" w:eastAsia="宋体" w:hAnsi="宋体" w:cs="宋体"/>
          <w:b/>
          <w:bCs/>
          <w:sz w:val="28"/>
          <w:szCs w:val="28"/>
        </w:rPr>
      </w:pPr>
      <w:r>
        <w:rPr>
          <w:rFonts w:ascii="宋体" w:eastAsia="宋体" w:hAnsi="宋体" w:cs="宋体"/>
          <w:b/>
          <w:bCs/>
          <w:sz w:val="28"/>
          <w:szCs w:val="28"/>
        </w:rPr>
        <w:t>公司经本次董事会审议通过的利润分配预案为：以2023年12月31日的总股本1,012,096,504股为基数，向全体股东每10股派发现金红利1.00元（含税），送红股0股（含税），不以公积金转增股本。</w:t>
      </w:r>
    </w:p>
    <w:p w:rsidR="00BA0365" w:rsidRDefault="008D4B2E">
      <w:r>
        <w:br w:type="page"/>
      </w:r>
    </w:p>
    <w:p w:rsidR="00BA0365" w:rsidRDefault="008D4B2E">
      <w:pPr>
        <w:spacing w:line="720" w:lineRule="exact"/>
        <w:jc w:val="center"/>
        <w:rPr>
          <w:rFonts w:ascii="宋体" w:eastAsia="宋体" w:hAnsi="宋体" w:cs="宋体"/>
          <w:b/>
          <w:bCs/>
          <w:sz w:val="36"/>
          <w:szCs w:val="36"/>
        </w:rPr>
      </w:pPr>
      <w:r>
        <w:rPr>
          <w:rFonts w:ascii="宋体" w:eastAsia="宋体" w:hAnsi="宋体" w:cs="宋体"/>
          <w:b/>
          <w:bCs/>
          <w:sz w:val="36"/>
          <w:szCs w:val="36"/>
        </w:rPr>
        <w:lastRenderedPageBreak/>
        <w:t>目录</w:t>
      </w:r>
    </w:p>
    <w:p w:rsidR="00BA0365" w:rsidRDefault="008D4B2E">
      <w:pPr>
        <w:pStyle w:val="1"/>
        <w:tabs>
          <w:tab w:val="left" w:leader="dot" w:pos="9469"/>
        </w:tabs>
        <w:rPr>
          <w:noProof/>
        </w:rPr>
      </w:pPr>
      <w:r>
        <w:fldChar w:fldCharType="begin"/>
      </w:r>
      <w:r>
        <w:instrText xml:space="preserve"> </w:instrText>
      </w:r>
      <w:r>
        <w:rPr>
          <w:rFonts w:ascii="宋体" w:eastAsia="宋体" w:hAnsi="宋体" w:hint="eastAsia"/>
        </w:rPr>
        <w:instrText>TOC \o "1-2" \h \z \u</w:instrText>
      </w:r>
      <w:r>
        <w:instrText xml:space="preserve"> </w:instrText>
      </w:r>
      <w:r>
        <w:fldChar w:fldCharType="separate"/>
      </w:r>
      <w:hyperlink w:anchor="_Toc988889" w:history="1">
        <w:r>
          <w:rPr>
            <w:rFonts w:ascii="宋体" w:eastAsia="宋体" w:hAnsi="宋体" w:hint="eastAsia"/>
            <w:b/>
            <w:bCs/>
            <w:noProof/>
            <w:sz w:val="24"/>
          </w:rPr>
          <w:t>第一节 重要提示、目录和释义</w:t>
        </w:r>
        <w:r>
          <w:rPr>
            <w:noProof/>
            <w:webHidden/>
          </w:rPr>
          <w:tab/>
        </w:r>
        <w:r>
          <w:rPr>
            <w:noProof/>
            <w:webHidden/>
          </w:rPr>
          <w:fldChar w:fldCharType="begin"/>
        </w:r>
        <w:r>
          <w:rPr>
            <w:noProof/>
            <w:webHidden/>
          </w:rPr>
          <w:instrText xml:space="preserve"> PAGEREF _Toc988889 \h </w:instrText>
        </w:r>
        <w:r>
          <w:rPr>
            <w:noProof/>
            <w:webHidden/>
          </w:rPr>
        </w:r>
        <w:r>
          <w:rPr>
            <w:noProof/>
            <w:webHidden/>
          </w:rPr>
          <w:fldChar w:fldCharType="separate"/>
        </w:r>
        <w:r w:rsidR="00BB1593">
          <w:rPr>
            <w:noProof/>
            <w:webHidden/>
          </w:rPr>
          <w:t>2</w:t>
        </w:r>
        <w:r>
          <w:rPr>
            <w:noProof/>
            <w:webHidden/>
          </w:rPr>
          <w:fldChar w:fldCharType="end"/>
        </w:r>
      </w:hyperlink>
    </w:p>
    <w:p w:rsidR="00BA0365" w:rsidRDefault="0062781D">
      <w:pPr>
        <w:pStyle w:val="1"/>
        <w:tabs>
          <w:tab w:val="left" w:leader="dot" w:pos="9469"/>
        </w:tabs>
        <w:rPr>
          <w:noProof/>
        </w:rPr>
      </w:pPr>
      <w:hyperlink w:anchor="_Toc988890" w:history="1">
        <w:r w:rsidR="008D4B2E">
          <w:rPr>
            <w:rFonts w:ascii="宋体" w:eastAsia="宋体" w:hAnsi="宋体" w:hint="eastAsia"/>
            <w:b/>
            <w:bCs/>
            <w:noProof/>
            <w:sz w:val="24"/>
          </w:rPr>
          <w:t>第二节 公司简介和主要财务指标</w:t>
        </w:r>
        <w:r w:rsidR="008D4B2E">
          <w:rPr>
            <w:noProof/>
            <w:webHidden/>
          </w:rPr>
          <w:tab/>
        </w:r>
        <w:r w:rsidR="008D4B2E">
          <w:rPr>
            <w:noProof/>
            <w:webHidden/>
          </w:rPr>
          <w:fldChar w:fldCharType="begin"/>
        </w:r>
        <w:r w:rsidR="008D4B2E">
          <w:rPr>
            <w:noProof/>
            <w:webHidden/>
          </w:rPr>
          <w:instrText xml:space="preserve"> PAGEREF _Toc988890 \h </w:instrText>
        </w:r>
        <w:r w:rsidR="008D4B2E">
          <w:rPr>
            <w:noProof/>
            <w:webHidden/>
          </w:rPr>
        </w:r>
        <w:r w:rsidR="008D4B2E">
          <w:rPr>
            <w:noProof/>
            <w:webHidden/>
          </w:rPr>
          <w:fldChar w:fldCharType="separate"/>
        </w:r>
        <w:r w:rsidR="00BB1593">
          <w:rPr>
            <w:noProof/>
            <w:webHidden/>
          </w:rPr>
          <w:t>6</w:t>
        </w:r>
        <w:r w:rsidR="008D4B2E">
          <w:rPr>
            <w:noProof/>
            <w:webHidden/>
          </w:rPr>
          <w:fldChar w:fldCharType="end"/>
        </w:r>
      </w:hyperlink>
    </w:p>
    <w:p w:rsidR="00BA0365" w:rsidRDefault="0062781D">
      <w:pPr>
        <w:pStyle w:val="1"/>
        <w:tabs>
          <w:tab w:val="left" w:leader="dot" w:pos="9469"/>
        </w:tabs>
        <w:rPr>
          <w:noProof/>
        </w:rPr>
      </w:pPr>
      <w:hyperlink w:anchor="_Toc988902" w:history="1">
        <w:r w:rsidR="008D4B2E">
          <w:rPr>
            <w:rFonts w:ascii="宋体" w:eastAsia="宋体" w:hAnsi="宋体" w:hint="eastAsia"/>
            <w:b/>
            <w:bCs/>
            <w:noProof/>
            <w:sz w:val="24"/>
          </w:rPr>
          <w:t>第三节 管理层讨论与分析</w:t>
        </w:r>
        <w:r w:rsidR="008D4B2E">
          <w:rPr>
            <w:noProof/>
            <w:webHidden/>
          </w:rPr>
          <w:tab/>
        </w:r>
        <w:r w:rsidR="008D4B2E">
          <w:rPr>
            <w:noProof/>
            <w:webHidden/>
          </w:rPr>
          <w:fldChar w:fldCharType="begin"/>
        </w:r>
        <w:r w:rsidR="008D4B2E">
          <w:rPr>
            <w:noProof/>
            <w:webHidden/>
          </w:rPr>
          <w:instrText xml:space="preserve"> PAGEREF _Toc988902 \h </w:instrText>
        </w:r>
        <w:r w:rsidR="008D4B2E">
          <w:rPr>
            <w:noProof/>
            <w:webHidden/>
          </w:rPr>
        </w:r>
        <w:r w:rsidR="008D4B2E">
          <w:rPr>
            <w:noProof/>
            <w:webHidden/>
          </w:rPr>
          <w:fldChar w:fldCharType="separate"/>
        </w:r>
        <w:r w:rsidR="00BB1593">
          <w:rPr>
            <w:noProof/>
            <w:webHidden/>
          </w:rPr>
          <w:t>10</w:t>
        </w:r>
        <w:r w:rsidR="008D4B2E">
          <w:rPr>
            <w:noProof/>
            <w:webHidden/>
          </w:rPr>
          <w:fldChar w:fldCharType="end"/>
        </w:r>
      </w:hyperlink>
    </w:p>
    <w:p w:rsidR="00BA0365" w:rsidRDefault="0062781D">
      <w:pPr>
        <w:pStyle w:val="1"/>
        <w:tabs>
          <w:tab w:val="left" w:leader="dot" w:pos="9469"/>
        </w:tabs>
        <w:rPr>
          <w:noProof/>
        </w:rPr>
      </w:pPr>
      <w:hyperlink w:anchor="_Toc988944" w:history="1">
        <w:r w:rsidR="008D4B2E">
          <w:rPr>
            <w:rFonts w:ascii="宋体" w:eastAsia="宋体" w:hAnsi="宋体" w:hint="eastAsia"/>
            <w:b/>
            <w:bCs/>
            <w:noProof/>
            <w:sz w:val="24"/>
          </w:rPr>
          <w:t>第四节 公司治理</w:t>
        </w:r>
        <w:r w:rsidR="008D4B2E">
          <w:rPr>
            <w:noProof/>
            <w:webHidden/>
          </w:rPr>
          <w:tab/>
        </w:r>
        <w:r w:rsidR="008D4B2E">
          <w:rPr>
            <w:noProof/>
            <w:webHidden/>
          </w:rPr>
          <w:fldChar w:fldCharType="begin"/>
        </w:r>
        <w:r w:rsidR="008D4B2E">
          <w:rPr>
            <w:noProof/>
            <w:webHidden/>
          </w:rPr>
          <w:instrText xml:space="preserve"> PAGEREF _Toc988944 \h </w:instrText>
        </w:r>
        <w:r w:rsidR="008D4B2E">
          <w:rPr>
            <w:noProof/>
            <w:webHidden/>
          </w:rPr>
        </w:r>
        <w:r w:rsidR="008D4B2E">
          <w:rPr>
            <w:noProof/>
            <w:webHidden/>
          </w:rPr>
          <w:fldChar w:fldCharType="separate"/>
        </w:r>
        <w:r w:rsidR="00BB1593">
          <w:rPr>
            <w:noProof/>
            <w:webHidden/>
          </w:rPr>
          <w:t>27</w:t>
        </w:r>
        <w:r w:rsidR="008D4B2E">
          <w:rPr>
            <w:noProof/>
            <w:webHidden/>
          </w:rPr>
          <w:fldChar w:fldCharType="end"/>
        </w:r>
      </w:hyperlink>
    </w:p>
    <w:p w:rsidR="00BA0365" w:rsidRDefault="0062781D">
      <w:pPr>
        <w:pStyle w:val="1"/>
        <w:tabs>
          <w:tab w:val="left" w:leader="dot" w:pos="9469"/>
        </w:tabs>
        <w:rPr>
          <w:noProof/>
        </w:rPr>
      </w:pPr>
      <w:hyperlink w:anchor="_Toc988980" w:history="1">
        <w:r w:rsidR="008D4B2E">
          <w:rPr>
            <w:rFonts w:ascii="宋体" w:eastAsia="宋体" w:hAnsi="宋体" w:hint="eastAsia"/>
            <w:b/>
            <w:bCs/>
            <w:noProof/>
            <w:sz w:val="24"/>
          </w:rPr>
          <w:t>第五节 环境和社会责任</w:t>
        </w:r>
        <w:r w:rsidR="008D4B2E">
          <w:rPr>
            <w:noProof/>
            <w:webHidden/>
          </w:rPr>
          <w:tab/>
        </w:r>
        <w:r w:rsidR="008D4B2E">
          <w:rPr>
            <w:noProof/>
            <w:webHidden/>
          </w:rPr>
          <w:fldChar w:fldCharType="begin"/>
        </w:r>
        <w:r w:rsidR="008D4B2E">
          <w:rPr>
            <w:noProof/>
            <w:webHidden/>
          </w:rPr>
          <w:instrText xml:space="preserve"> PAGEREF _Toc988980 \h </w:instrText>
        </w:r>
        <w:r w:rsidR="008D4B2E">
          <w:rPr>
            <w:noProof/>
            <w:webHidden/>
          </w:rPr>
        </w:r>
        <w:r w:rsidR="008D4B2E">
          <w:rPr>
            <w:noProof/>
            <w:webHidden/>
          </w:rPr>
          <w:fldChar w:fldCharType="separate"/>
        </w:r>
        <w:r w:rsidR="00BB1593">
          <w:rPr>
            <w:noProof/>
            <w:webHidden/>
          </w:rPr>
          <w:t>43</w:t>
        </w:r>
        <w:r w:rsidR="008D4B2E">
          <w:rPr>
            <w:noProof/>
            <w:webHidden/>
          </w:rPr>
          <w:fldChar w:fldCharType="end"/>
        </w:r>
      </w:hyperlink>
    </w:p>
    <w:p w:rsidR="00BA0365" w:rsidRDefault="0062781D">
      <w:pPr>
        <w:pStyle w:val="1"/>
        <w:tabs>
          <w:tab w:val="left" w:leader="dot" w:pos="9469"/>
        </w:tabs>
        <w:rPr>
          <w:noProof/>
        </w:rPr>
      </w:pPr>
      <w:hyperlink w:anchor="_Toc988984" w:history="1">
        <w:r w:rsidR="008D4B2E">
          <w:rPr>
            <w:rFonts w:ascii="宋体" w:eastAsia="宋体" w:hAnsi="宋体" w:hint="eastAsia"/>
            <w:b/>
            <w:bCs/>
            <w:noProof/>
            <w:sz w:val="24"/>
          </w:rPr>
          <w:t>第六节 重要事项</w:t>
        </w:r>
        <w:r w:rsidR="008D4B2E">
          <w:rPr>
            <w:noProof/>
            <w:webHidden/>
          </w:rPr>
          <w:tab/>
        </w:r>
        <w:r w:rsidR="008D4B2E">
          <w:rPr>
            <w:noProof/>
            <w:webHidden/>
          </w:rPr>
          <w:fldChar w:fldCharType="begin"/>
        </w:r>
        <w:r w:rsidR="008D4B2E">
          <w:rPr>
            <w:noProof/>
            <w:webHidden/>
          </w:rPr>
          <w:instrText xml:space="preserve"> PAGEREF _Toc988984 \h </w:instrText>
        </w:r>
        <w:r w:rsidR="008D4B2E">
          <w:rPr>
            <w:noProof/>
            <w:webHidden/>
          </w:rPr>
        </w:r>
        <w:r w:rsidR="008D4B2E">
          <w:rPr>
            <w:noProof/>
            <w:webHidden/>
          </w:rPr>
          <w:fldChar w:fldCharType="separate"/>
        </w:r>
        <w:r w:rsidR="00BB1593">
          <w:rPr>
            <w:noProof/>
            <w:webHidden/>
          </w:rPr>
          <w:t>48</w:t>
        </w:r>
        <w:r w:rsidR="008D4B2E">
          <w:rPr>
            <w:noProof/>
            <w:webHidden/>
          </w:rPr>
          <w:fldChar w:fldCharType="end"/>
        </w:r>
      </w:hyperlink>
    </w:p>
    <w:p w:rsidR="00BA0365" w:rsidRDefault="0062781D">
      <w:pPr>
        <w:pStyle w:val="1"/>
        <w:tabs>
          <w:tab w:val="left" w:leader="dot" w:pos="9469"/>
        </w:tabs>
        <w:rPr>
          <w:noProof/>
        </w:rPr>
      </w:pPr>
      <w:hyperlink w:anchor="_Toc989020" w:history="1">
        <w:r w:rsidR="008D4B2E">
          <w:rPr>
            <w:rFonts w:ascii="宋体" w:eastAsia="宋体" w:hAnsi="宋体" w:hint="eastAsia"/>
            <w:b/>
            <w:bCs/>
            <w:noProof/>
            <w:sz w:val="24"/>
          </w:rPr>
          <w:t>第七节 股份变动及股东情况</w:t>
        </w:r>
        <w:r w:rsidR="008D4B2E">
          <w:rPr>
            <w:noProof/>
            <w:webHidden/>
          </w:rPr>
          <w:tab/>
        </w:r>
        <w:r w:rsidR="008D4B2E">
          <w:rPr>
            <w:noProof/>
            <w:webHidden/>
          </w:rPr>
          <w:fldChar w:fldCharType="begin"/>
        </w:r>
        <w:r w:rsidR="008D4B2E">
          <w:rPr>
            <w:noProof/>
            <w:webHidden/>
          </w:rPr>
          <w:instrText xml:space="preserve"> PAGEREF _Toc989020 \h </w:instrText>
        </w:r>
        <w:r w:rsidR="008D4B2E">
          <w:rPr>
            <w:noProof/>
            <w:webHidden/>
          </w:rPr>
        </w:r>
        <w:r w:rsidR="008D4B2E">
          <w:rPr>
            <w:noProof/>
            <w:webHidden/>
          </w:rPr>
          <w:fldChar w:fldCharType="separate"/>
        </w:r>
        <w:r w:rsidR="00BB1593">
          <w:rPr>
            <w:noProof/>
            <w:webHidden/>
          </w:rPr>
          <w:t>62</w:t>
        </w:r>
        <w:r w:rsidR="008D4B2E">
          <w:rPr>
            <w:noProof/>
            <w:webHidden/>
          </w:rPr>
          <w:fldChar w:fldCharType="end"/>
        </w:r>
      </w:hyperlink>
    </w:p>
    <w:p w:rsidR="00BA0365" w:rsidRDefault="0062781D">
      <w:pPr>
        <w:pStyle w:val="1"/>
        <w:tabs>
          <w:tab w:val="left" w:leader="dot" w:pos="9469"/>
        </w:tabs>
        <w:rPr>
          <w:noProof/>
        </w:rPr>
      </w:pPr>
      <w:hyperlink w:anchor="_Toc989036" w:history="1">
        <w:r w:rsidR="008D4B2E">
          <w:rPr>
            <w:rFonts w:ascii="宋体" w:eastAsia="宋体" w:hAnsi="宋体" w:hint="eastAsia"/>
            <w:b/>
            <w:bCs/>
            <w:noProof/>
            <w:sz w:val="24"/>
          </w:rPr>
          <w:t>第八节 优先股相关情况</w:t>
        </w:r>
        <w:r w:rsidR="008D4B2E">
          <w:rPr>
            <w:noProof/>
            <w:webHidden/>
          </w:rPr>
          <w:tab/>
        </w:r>
        <w:r w:rsidR="008D4B2E">
          <w:rPr>
            <w:noProof/>
            <w:webHidden/>
          </w:rPr>
          <w:fldChar w:fldCharType="begin"/>
        </w:r>
        <w:r w:rsidR="008D4B2E">
          <w:rPr>
            <w:noProof/>
            <w:webHidden/>
          </w:rPr>
          <w:instrText xml:space="preserve"> PAGEREF _Toc989036 \h </w:instrText>
        </w:r>
        <w:r w:rsidR="008D4B2E">
          <w:rPr>
            <w:noProof/>
            <w:webHidden/>
          </w:rPr>
        </w:r>
        <w:r w:rsidR="008D4B2E">
          <w:rPr>
            <w:noProof/>
            <w:webHidden/>
          </w:rPr>
          <w:fldChar w:fldCharType="separate"/>
        </w:r>
        <w:r w:rsidR="00BB1593">
          <w:rPr>
            <w:noProof/>
            <w:webHidden/>
          </w:rPr>
          <w:t>69</w:t>
        </w:r>
        <w:r w:rsidR="008D4B2E">
          <w:rPr>
            <w:noProof/>
            <w:webHidden/>
          </w:rPr>
          <w:fldChar w:fldCharType="end"/>
        </w:r>
      </w:hyperlink>
    </w:p>
    <w:p w:rsidR="00BA0365" w:rsidRDefault="0062781D">
      <w:pPr>
        <w:pStyle w:val="1"/>
        <w:tabs>
          <w:tab w:val="left" w:leader="dot" w:pos="9469"/>
        </w:tabs>
        <w:rPr>
          <w:noProof/>
        </w:rPr>
      </w:pPr>
      <w:hyperlink w:anchor="_Toc989037" w:history="1">
        <w:r w:rsidR="008D4B2E">
          <w:rPr>
            <w:rFonts w:ascii="宋体" w:eastAsia="宋体" w:hAnsi="宋体" w:hint="eastAsia"/>
            <w:b/>
            <w:bCs/>
            <w:noProof/>
            <w:sz w:val="24"/>
          </w:rPr>
          <w:t>第九节 债券相关情况</w:t>
        </w:r>
        <w:r w:rsidR="008D4B2E">
          <w:rPr>
            <w:noProof/>
            <w:webHidden/>
          </w:rPr>
          <w:tab/>
        </w:r>
        <w:r w:rsidR="008D4B2E">
          <w:rPr>
            <w:noProof/>
            <w:webHidden/>
          </w:rPr>
          <w:fldChar w:fldCharType="begin"/>
        </w:r>
        <w:r w:rsidR="008D4B2E">
          <w:rPr>
            <w:noProof/>
            <w:webHidden/>
          </w:rPr>
          <w:instrText xml:space="preserve"> PAGEREF _Toc989037 \h </w:instrText>
        </w:r>
        <w:r w:rsidR="008D4B2E">
          <w:rPr>
            <w:noProof/>
            <w:webHidden/>
          </w:rPr>
        </w:r>
        <w:r w:rsidR="008D4B2E">
          <w:rPr>
            <w:noProof/>
            <w:webHidden/>
          </w:rPr>
          <w:fldChar w:fldCharType="separate"/>
        </w:r>
        <w:r w:rsidR="00BB1593">
          <w:rPr>
            <w:noProof/>
            <w:webHidden/>
          </w:rPr>
          <w:t>70</w:t>
        </w:r>
        <w:r w:rsidR="008D4B2E">
          <w:rPr>
            <w:noProof/>
            <w:webHidden/>
          </w:rPr>
          <w:fldChar w:fldCharType="end"/>
        </w:r>
      </w:hyperlink>
    </w:p>
    <w:p w:rsidR="00BA0365" w:rsidRDefault="0062781D">
      <w:pPr>
        <w:pStyle w:val="1"/>
        <w:tabs>
          <w:tab w:val="left" w:leader="dot" w:pos="9469"/>
        </w:tabs>
        <w:rPr>
          <w:noProof/>
        </w:rPr>
      </w:pPr>
      <w:hyperlink w:anchor="_Toc989038" w:history="1">
        <w:r w:rsidR="008D4B2E">
          <w:rPr>
            <w:rFonts w:ascii="宋体" w:eastAsia="宋体" w:hAnsi="宋体" w:hint="eastAsia"/>
            <w:b/>
            <w:bCs/>
            <w:noProof/>
            <w:sz w:val="24"/>
          </w:rPr>
          <w:t>第十节 财务报告</w:t>
        </w:r>
        <w:r w:rsidR="008D4B2E">
          <w:rPr>
            <w:noProof/>
            <w:webHidden/>
          </w:rPr>
          <w:tab/>
        </w:r>
        <w:r w:rsidR="008D4B2E">
          <w:rPr>
            <w:noProof/>
            <w:webHidden/>
          </w:rPr>
          <w:fldChar w:fldCharType="begin"/>
        </w:r>
        <w:r w:rsidR="008D4B2E">
          <w:rPr>
            <w:noProof/>
            <w:webHidden/>
          </w:rPr>
          <w:instrText xml:space="preserve"> PAGEREF _Toc989038 \h </w:instrText>
        </w:r>
        <w:r w:rsidR="008D4B2E">
          <w:rPr>
            <w:noProof/>
            <w:webHidden/>
          </w:rPr>
        </w:r>
        <w:r w:rsidR="008D4B2E">
          <w:rPr>
            <w:noProof/>
            <w:webHidden/>
          </w:rPr>
          <w:fldChar w:fldCharType="separate"/>
        </w:r>
        <w:r w:rsidR="00BB1593">
          <w:rPr>
            <w:noProof/>
            <w:webHidden/>
          </w:rPr>
          <w:t>71</w:t>
        </w:r>
        <w:r w:rsidR="008D4B2E">
          <w:rPr>
            <w:noProof/>
            <w:webHidden/>
          </w:rPr>
          <w:fldChar w:fldCharType="end"/>
        </w:r>
      </w:hyperlink>
      <w:r w:rsidR="008D4B2E">
        <w:fldChar w:fldCharType="end"/>
      </w:r>
    </w:p>
    <w:p w:rsidR="00BA0365" w:rsidRDefault="008D4B2E">
      <w:r>
        <w:br w:type="page"/>
      </w:r>
    </w:p>
    <w:p w:rsidR="00BA0365" w:rsidRDefault="008D4B2E">
      <w:pPr>
        <w:spacing w:line="640" w:lineRule="exact"/>
        <w:jc w:val="center"/>
        <w:rPr>
          <w:rFonts w:ascii="宋体" w:eastAsia="宋体" w:hAnsi="宋体" w:cs="宋体"/>
          <w:b/>
          <w:bCs/>
          <w:sz w:val="32"/>
          <w:szCs w:val="32"/>
        </w:rPr>
      </w:pPr>
      <w:r>
        <w:rPr>
          <w:rFonts w:ascii="宋体" w:eastAsia="宋体" w:hAnsi="宋体" w:cs="宋体"/>
          <w:b/>
          <w:bCs/>
          <w:sz w:val="32"/>
          <w:szCs w:val="32"/>
        </w:rPr>
        <w:lastRenderedPageBreak/>
        <w:t>备查文件目录</w:t>
      </w:r>
    </w:p>
    <w:p w:rsidR="008D4B2E" w:rsidRDefault="008D4B2E">
      <w:pPr>
        <w:pStyle w:val="a3"/>
        <w:spacing w:line="560" w:lineRule="atLeast"/>
        <w:ind w:firstLine="408"/>
        <w:divId w:val="829171578"/>
        <w:rPr>
          <w:sz w:val="18"/>
          <w:szCs w:val="18"/>
        </w:rPr>
      </w:pPr>
      <w:r>
        <w:rPr>
          <w:rFonts w:hint="eastAsia"/>
          <w:sz w:val="18"/>
          <w:szCs w:val="18"/>
        </w:rPr>
        <w:t>一、载有公司负责人、主管会计工作负责人、会计机构负责人签名并盖章的财务报表。</w:t>
      </w:r>
    </w:p>
    <w:p w:rsidR="008D4B2E" w:rsidRDefault="008D4B2E">
      <w:pPr>
        <w:pStyle w:val="a3"/>
        <w:spacing w:line="560" w:lineRule="atLeast"/>
        <w:ind w:firstLine="408"/>
        <w:divId w:val="829171578"/>
        <w:rPr>
          <w:sz w:val="18"/>
          <w:szCs w:val="18"/>
        </w:rPr>
      </w:pPr>
      <w:r>
        <w:rPr>
          <w:rFonts w:hint="eastAsia"/>
          <w:sz w:val="18"/>
          <w:szCs w:val="18"/>
        </w:rPr>
        <w:t>二、载有会计师事务所盖章、注册会计师签名并盖章的审计报告原件。</w:t>
      </w:r>
    </w:p>
    <w:p w:rsidR="008D4B2E" w:rsidRDefault="008D4B2E">
      <w:pPr>
        <w:pStyle w:val="a3"/>
        <w:spacing w:line="560" w:lineRule="atLeast"/>
        <w:ind w:firstLine="408"/>
        <w:divId w:val="829171578"/>
        <w:rPr>
          <w:sz w:val="18"/>
          <w:szCs w:val="18"/>
        </w:rPr>
      </w:pPr>
      <w:r>
        <w:rPr>
          <w:rFonts w:hint="eastAsia"/>
          <w:sz w:val="18"/>
          <w:szCs w:val="18"/>
        </w:rPr>
        <w:t>三、报告期内在中国证监会指定网站上公开披露过的所有公司文件的正本及公告的原稿。</w:t>
      </w:r>
    </w:p>
    <w:p w:rsidR="008D4B2E" w:rsidRDefault="008D4B2E">
      <w:pPr>
        <w:pStyle w:val="a3"/>
        <w:spacing w:line="560" w:lineRule="atLeast"/>
        <w:ind w:firstLine="408"/>
        <w:divId w:val="829171578"/>
        <w:rPr>
          <w:sz w:val="18"/>
          <w:szCs w:val="18"/>
        </w:rPr>
      </w:pPr>
      <w:r>
        <w:rPr>
          <w:rFonts w:hint="eastAsia"/>
          <w:sz w:val="18"/>
          <w:szCs w:val="18"/>
        </w:rPr>
        <w:t>四、载有董事长官</w:t>
      </w:r>
      <w:proofErr w:type="gramStart"/>
      <w:r>
        <w:rPr>
          <w:rFonts w:hint="eastAsia"/>
          <w:sz w:val="18"/>
          <w:szCs w:val="18"/>
        </w:rPr>
        <w:t>炳</w:t>
      </w:r>
      <w:proofErr w:type="gramEnd"/>
      <w:r>
        <w:rPr>
          <w:rFonts w:hint="eastAsia"/>
          <w:sz w:val="18"/>
          <w:szCs w:val="18"/>
        </w:rPr>
        <w:t>政先生签名的2023年年度报告文件原件。</w:t>
      </w:r>
    </w:p>
    <w:p w:rsidR="008D4B2E" w:rsidRDefault="008D4B2E">
      <w:pPr>
        <w:pStyle w:val="a3"/>
        <w:spacing w:line="560" w:lineRule="atLeast"/>
        <w:ind w:firstLine="408"/>
        <w:divId w:val="829171578"/>
        <w:rPr>
          <w:sz w:val="18"/>
          <w:szCs w:val="18"/>
        </w:rPr>
      </w:pPr>
      <w:r>
        <w:rPr>
          <w:rFonts w:hint="eastAsia"/>
          <w:sz w:val="18"/>
          <w:szCs w:val="18"/>
        </w:rPr>
        <w:t>五、以上备查文件的备置地点：公司证券部。</w:t>
      </w:r>
    </w:p>
    <w:p w:rsidR="00BA0365" w:rsidRDefault="008D4B2E">
      <w:r>
        <w:br w:type="page"/>
      </w:r>
    </w:p>
    <w:p w:rsidR="00BA0365" w:rsidRDefault="008D4B2E">
      <w:pPr>
        <w:spacing w:before="40" w:after="40" w:line="560" w:lineRule="exact"/>
        <w:jc w:val="center"/>
        <w:rPr>
          <w:rFonts w:ascii="宋体" w:eastAsia="宋体" w:hAnsi="宋体" w:cs="宋体"/>
          <w:b/>
          <w:bCs/>
          <w:sz w:val="32"/>
          <w:szCs w:val="32"/>
        </w:rPr>
      </w:pPr>
      <w:r>
        <w:rPr>
          <w:rFonts w:ascii="宋体" w:eastAsia="宋体" w:hAnsi="宋体" w:cs="宋体"/>
          <w:b/>
          <w:bCs/>
          <w:sz w:val="32"/>
          <w:szCs w:val="32"/>
        </w:rPr>
        <w:lastRenderedPageBreak/>
        <w:t>释义</w:t>
      </w:r>
    </w:p>
    <w:tbl>
      <w:tblPr>
        <w:tblW w:w="9639" w:type="dxa"/>
        <w:tblLayout w:type="fixed"/>
        <w:tblLook w:val="04A0" w:firstRow="1" w:lastRow="0" w:firstColumn="1" w:lastColumn="0" w:noHBand="0" w:noVBand="1"/>
      </w:tblPr>
      <w:tblGrid>
        <w:gridCol w:w="3213"/>
        <w:gridCol w:w="2140"/>
        <w:gridCol w:w="4286"/>
      </w:tblGrid>
      <w:tr w:rsidR="00157EA0" w:rsidTr="00220C19">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释义项</w:t>
            </w:r>
          </w:p>
        </w:tc>
        <w:tc>
          <w:tcPr>
            <w:tcW w:w="214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28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释义内容</w:t>
            </w:r>
          </w:p>
        </w:tc>
      </w:tr>
      <w:tr w:rsidR="00157EA0" w:rsidTr="00220C1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本公司/公司/母公司/</w:t>
            </w:r>
            <w:proofErr w:type="gramStart"/>
            <w:r>
              <w:rPr>
                <w:rFonts w:ascii="宋体" w:eastAsia="宋体" w:hAnsi="宋体" w:cs="宋体"/>
                <w:sz w:val="18"/>
                <w:szCs w:val="18"/>
              </w:rPr>
              <w:t>软控</w:t>
            </w:r>
            <w:proofErr w:type="gramEnd"/>
          </w:p>
        </w:tc>
        <w:tc>
          <w:tcPr>
            <w:tcW w:w="214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28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软控股份有限公司</w:t>
            </w:r>
            <w:proofErr w:type="gramEnd"/>
          </w:p>
        </w:tc>
      </w:tr>
      <w:tr w:rsidR="00157EA0" w:rsidTr="00220C1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会计师事务所/注册会计师</w:t>
            </w:r>
          </w:p>
        </w:tc>
        <w:tc>
          <w:tcPr>
            <w:tcW w:w="214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28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中兴华会计师事务所（特殊普通合伙）</w:t>
            </w:r>
          </w:p>
        </w:tc>
      </w:tr>
      <w:tr w:rsidR="00157EA0" w:rsidTr="00220C1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《公司法》</w:t>
            </w:r>
          </w:p>
        </w:tc>
        <w:tc>
          <w:tcPr>
            <w:tcW w:w="214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28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《中华人民共和国公司法》</w:t>
            </w:r>
          </w:p>
        </w:tc>
      </w:tr>
      <w:tr w:rsidR="00157EA0" w:rsidTr="00220C1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《证券法》</w:t>
            </w:r>
          </w:p>
        </w:tc>
        <w:tc>
          <w:tcPr>
            <w:tcW w:w="214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28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《中华人民共和国证券法》</w:t>
            </w:r>
          </w:p>
        </w:tc>
      </w:tr>
      <w:tr w:rsidR="00157EA0" w:rsidTr="00220C1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《公司章程》</w:t>
            </w:r>
          </w:p>
        </w:tc>
        <w:tc>
          <w:tcPr>
            <w:tcW w:w="214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28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《软控股份有限公司章程》</w:t>
            </w:r>
          </w:p>
        </w:tc>
      </w:tr>
      <w:tr w:rsidR="00157EA0" w:rsidTr="00220C1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中国证监会</w:t>
            </w:r>
          </w:p>
        </w:tc>
        <w:tc>
          <w:tcPr>
            <w:tcW w:w="214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28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中国证券监督管理委员会</w:t>
            </w:r>
          </w:p>
        </w:tc>
      </w:tr>
      <w:tr w:rsidR="00157EA0" w:rsidTr="00220C1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深交所</w:t>
            </w:r>
          </w:p>
        </w:tc>
        <w:tc>
          <w:tcPr>
            <w:tcW w:w="214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28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深圳证券交易所</w:t>
            </w:r>
          </w:p>
        </w:tc>
      </w:tr>
      <w:tr w:rsidR="00157EA0" w:rsidTr="00220C1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RFID</w:t>
            </w:r>
          </w:p>
        </w:tc>
        <w:tc>
          <w:tcPr>
            <w:tcW w:w="214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28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射频识别</w:t>
            </w:r>
          </w:p>
        </w:tc>
      </w:tr>
      <w:tr w:rsidR="00157EA0" w:rsidTr="00220C1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报告期</w:t>
            </w:r>
          </w:p>
        </w:tc>
        <w:tc>
          <w:tcPr>
            <w:tcW w:w="214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28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2023年1月1日至2023年12月31日</w:t>
            </w:r>
          </w:p>
        </w:tc>
      </w:tr>
      <w:tr w:rsidR="00157EA0" w:rsidTr="00220C1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元/万元</w:t>
            </w:r>
          </w:p>
        </w:tc>
        <w:tc>
          <w:tcPr>
            <w:tcW w:w="214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28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人民币元/万元</w:t>
            </w:r>
          </w:p>
        </w:tc>
      </w:tr>
      <w:tr w:rsidR="00157EA0" w:rsidTr="00220C1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软控机电</w:t>
            </w:r>
            <w:proofErr w:type="gramEnd"/>
          </w:p>
        </w:tc>
        <w:tc>
          <w:tcPr>
            <w:tcW w:w="214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28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青岛软控机电工程</w:t>
            </w:r>
            <w:proofErr w:type="gramEnd"/>
            <w:r>
              <w:rPr>
                <w:rFonts w:ascii="宋体" w:eastAsia="宋体" w:hAnsi="宋体" w:cs="宋体"/>
                <w:sz w:val="18"/>
                <w:szCs w:val="18"/>
              </w:rPr>
              <w:t>有限公司</w:t>
            </w:r>
          </w:p>
        </w:tc>
      </w:tr>
      <w:tr w:rsidR="00157EA0" w:rsidTr="00220C1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益</w:t>
            </w:r>
            <w:proofErr w:type="gramStart"/>
            <w:r>
              <w:rPr>
                <w:rFonts w:ascii="宋体" w:eastAsia="宋体" w:hAnsi="宋体" w:cs="宋体"/>
                <w:sz w:val="18"/>
                <w:szCs w:val="18"/>
              </w:rPr>
              <w:t>凯</w:t>
            </w:r>
            <w:proofErr w:type="gramEnd"/>
            <w:r>
              <w:rPr>
                <w:rFonts w:ascii="宋体" w:eastAsia="宋体" w:hAnsi="宋体" w:cs="宋体"/>
                <w:sz w:val="18"/>
                <w:szCs w:val="18"/>
              </w:rPr>
              <w:t>/益</w:t>
            </w:r>
            <w:proofErr w:type="gramStart"/>
            <w:r>
              <w:rPr>
                <w:rFonts w:ascii="宋体" w:eastAsia="宋体" w:hAnsi="宋体" w:cs="宋体"/>
                <w:sz w:val="18"/>
                <w:szCs w:val="18"/>
              </w:rPr>
              <w:t>凯</w:t>
            </w:r>
            <w:proofErr w:type="gramEnd"/>
            <w:r>
              <w:rPr>
                <w:rFonts w:ascii="宋体" w:eastAsia="宋体" w:hAnsi="宋体" w:cs="宋体"/>
                <w:sz w:val="18"/>
                <w:szCs w:val="18"/>
              </w:rPr>
              <w:t>新材料</w:t>
            </w:r>
          </w:p>
        </w:tc>
        <w:tc>
          <w:tcPr>
            <w:tcW w:w="214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28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益</w:t>
            </w:r>
            <w:proofErr w:type="gramStart"/>
            <w:r>
              <w:rPr>
                <w:rFonts w:ascii="宋体" w:eastAsia="宋体" w:hAnsi="宋体" w:cs="宋体"/>
                <w:sz w:val="18"/>
                <w:szCs w:val="18"/>
              </w:rPr>
              <w:t>凯</w:t>
            </w:r>
            <w:proofErr w:type="gramEnd"/>
            <w:r>
              <w:rPr>
                <w:rFonts w:ascii="宋体" w:eastAsia="宋体" w:hAnsi="宋体" w:cs="宋体"/>
                <w:sz w:val="18"/>
                <w:szCs w:val="18"/>
              </w:rPr>
              <w:t>新材料有限公司</w:t>
            </w:r>
          </w:p>
        </w:tc>
      </w:tr>
      <w:tr w:rsidR="00157EA0" w:rsidTr="00220C1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抚顺伊科思</w:t>
            </w:r>
          </w:p>
        </w:tc>
        <w:tc>
          <w:tcPr>
            <w:tcW w:w="214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28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抚顺伊科思新材料有限公司</w:t>
            </w:r>
          </w:p>
        </w:tc>
      </w:tr>
      <w:tr w:rsidR="00157EA0" w:rsidTr="00220C19">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盘锦伊科思</w:t>
            </w:r>
          </w:p>
        </w:tc>
        <w:tc>
          <w:tcPr>
            <w:tcW w:w="214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指</w:t>
            </w:r>
          </w:p>
        </w:tc>
        <w:tc>
          <w:tcPr>
            <w:tcW w:w="428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盘锦伊科思新材料有限公司</w:t>
            </w:r>
          </w:p>
        </w:tc>
      </w:tr>
    </w:tbl>
    <w:p w:rsidR="00BA0365" w:rsidRDefault="008D4B2E">
      <w:r>
        <w:br w:type="page"/>
      </w:r>
    </w:p>
    <w:p w:rsidR="00BA0365" w:rsidRDefault="008D4B2E">
      <w:pPr>
        <w:pStyle w:val="headingh1"/>
        <w:spacing w:before="340" w:after="330" w:line="773" w:lineRule="exact"/>
        <w:jc w:val="center"/>
        <w:rPr>
          <w:rFonts w:ascii="宋体" w:eastAsia="宋体" w:hAnsi="宋体" w:cs="宋体"/>
          <w:b/>
          <w:bCs/>
          <w:sz w:val="32"/>
          <w:szCs w:val="32"/>
        </w:rPr>
      </w:pPr>
      <w:bookmarkStart w:id="1" w:name="_Toc988890"/>
      <w:r>
        <w:rPr>
          <w:rFonts w:ascii="宋体" w:eastAsia="宋体" w:hAnsi="宋体" w:cs="宋体"/>
          <w:b/>
          <w:bCs/>
          <w:sz w:val="32"/>
          <w:szCs w:val="32"/>
        </w:rPr>
        <w:lastRenderedPageBreak/>
        <w:t>第二节 公司简介和主要财务指标</w:t>
      </w:r>
      <w:bookmarkEnd w:id="1"/>
    </w:p>
    <w:p w:rsidR="00BA0365" w:rsidRDefault="008D4B2E">
      <w:pPr>
        <w:pStyle w:val="2"/>
        <w:spacing w:before="300" w:after="300" w:line="320" w:lineRule="exact"/>
        <w:rPr>
          <w:rFonts w:ascii="宋体" w:eastAsia="宋体" w:hAnsi="宋体" w:cs="宋体"/>
          <w:b/>
          <w:bCs/>
          <w:sz w:val="24"/>
          <w:szCs w:val="24"/>
        </w:rPr>
      </w:pPr>
      <w:bookmarkStart w:id="2" w:name="_Toc988891"/>
      <w:r>
        <w:rPr>
          <w:rFonts w:ascii="宋体" w:eastAsia="宋体" w:hAnsi="宋体" w:cs="宋体"/>
          <w:b/>
          <w:bCs/>
          <w:sz w:val="24"/>
          <w:szCs w:val="24"/>
        </w:rPr>
        <w:t>一、公司信息</w:t>
      </w:r>
      <w:bookmarkEnd w:id="2"/>
    </w:p>
    <w:tbl>
      <w:tblPr>
        <w:tblW w:w="9639" w:type="dxa"/>
        <w:tblLayout w:type="fixed"/>
        <w:tblLook w:val="04A0" w:firstRow="1" w:lastRow="0" w:firstColumn="1" w:lastColumn="0" w:noHBand="0" w:noVBand="1"/>
      </w:tblPr>
      <w:tblGrid>
        <w:gridCol w:w="2660"/>
        <w:gridCol w:w="2159"/>
        <w:gridCol w:w="2410"/>
        <w:gridCol w:w="2410"/>
      </w:tblGrid>
      <w:tr w:rsidR="00157EA0" w:rsidTr="008D4B2E">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股票简称</w:t>
            </w:r>
          </w:p>
        </w:tc>
        <w:tc>
          <w:tcPr>
            <w:tcW w:w="21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软控股份</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股票代码</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002073</w:t>
            </w:r>
          </w:p>
        </w:tc>
      </w:tr>
      <w:tr w:rsidR="00157EA0" w:rsidTr="008D4B2E">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股票上市证券交易所</w:t>
            </w:r>
          </w:p>
        </w:tc>
        <w:tc>
          <w:tcPr>
            <w:tcW w:w="6979" w:type="dxa"/>
            <w:gridSpan w:val="3"/>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深圳证券交易所</w:t>
            </w:r>
          </w:p>
        </w:tc>
      </w:tr>
      <w:tr w:rsidR="00157EA0" w:rsidTr="008D4B2E">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公司的中文名称</w:t>
            </w:r>
          </w:p>
        </w:tc>
        <w:tc>
          <w:tcPr>
            <w:tcW w:w="6979" w:type="dxa"/>
            <w:gridSpan w:val="3"/>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软控股份有限公司</w:t>
            </w:r>
            <w:proofErr w:type="gramEnd"/>
          </w:p>
        </w:tc>
      </w:tr>
      <w:tr w:rsidR="00157EA0" w:rsidTr="008D4B2E">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公司的中文简称</w:t>
            </w:r>
          </w:p>
        </w:tc>
        <w:tc>
          <w:tcPr>
            <w:tcW w:w="6979" w:type="dxa"/>
            <w:gridSpan w:val="3"/>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软控股份</w:t>
            </w:r>
          </w:p>
        </w:tc>
      </w:tr>
      <w:tr w:rsidR="00157EA0" w:rsidTr="008D4B2E">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公司的外文名称（如有）</w:t>
            </w:r>
          </w:p>
        </w:tc>
        <w:tc>
          <w:tcPr>
            <w:tcW w:w="6979" w:type="dxa"/>
            <w:gridSpan w:val="3"/>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MESNAC Co., Ltd.</w:t>
            </w:r>
          </w:p>
        </w:tc>
      </w:tr>
      <w:tr w:rsidR="00157EA0" w:rsidTr="008D4B2E">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公司的外文名称缩写（如有）</w:t>
            </w:r>
          </w:p>
        </w:tc>
        <w:tc>
          <w:tcPr>
            <w:tcW w:w="6979" w:type="dxa"/>
            <w:gridSpan w:val="3"/>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MESNAC</w:t>
            </w:r>
          </w:p>
        </w:tc>
      </w:tr>
      <w:tr w:rsidR="00157EA0" w:rsidTr="008D4B2E">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公司的法定代表人</w:t>
            </w:r>
          </w:p>
        </w:tc>
        <w:tc>
          <w:tcPr>
            <w:tcW w:w="6979" w:type="dxa"/>
            <w:gridSpan w:val="3"/>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官</w:t>
            </w:r>
            <w:proofErr w:type="gramStart"/>
            <w:r>
              <w:rPr>
                <w:rFonts w:ascii="宋体" w:eastAsia="宋体" w:hAnsi="宋体" w:cs="宋体"/>
                <w:sz w:val="18"/>
                <w:szCs w:val="18"/>
              </w:rPr>
              <w:t>炳</w:t>
            </w:r>
            <w:proofErr w:type="gramEnd"/>
            <w:r>
              <w:rPr>
                <w:rFonts w:ascii="宋体" w:eastAsia="宋体" w:hAnsi="宋体" w:cs="宋体"/>
                <w:sz w:val="18"/>
                <w:szCs w:val="18"/>
              </w:rPr>
              <w:t>政</w:t>
            </w:r>
          </w:p>
        </w:tc>
      </w:tr>
      <w:tr w:rsidR="00157EA0" w:rsidTr="008D4B2E">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注册地址</w:t>
            </w:r>
          </w:p>
        </w:tc>
        <w:tc>
          <w:tcPr>
            <w:tcW w:w="6979" w:type="dxa"/>
            <w:gridSpan w:val="3"/>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山东省青岛市高新区新</w:t>
            </w:r>
            <w:proofErr w:type="gramStart"/>
            <w:r>
              <w:rPr>
                <w:rFonts w:ascii="宋体" w:eastAsia="宋体" w:hAnsi="宋体" w:cs="宋体"/>
                <w:sz w:val="18"/>
                <w:szCs w:val="18"/>
              </w:rPr>
              <w:t>业路31号远创国际蓝湾创意园</w:t>
            </w:r>
            <w:proofErr w:type="gramEnd"/>
            <w:r>
              <w:rPr>
                <w:rFonts w:ascii="宋体" w:eastAsia="宋体" w:hAnsi="宋体" w:cs="宋体"/>
                <w:sz w:val="18"/>
                <w:szCs w:val="18"/>
              </w:rPr>
              <w:t>B区1号楼202室</w:t>
            </w:r>
          </w:p>
        </w:tc>
      </w:tr>
      <w:tr w:rsidR="00157EA0" w:rsidTr="008D4B2E">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注册地址的邮政编码</w:t>
            </w:r>
          </w:p>
        </w:tc>
        <w:tc>
          <w:tcPr>
            <w:tcW w:w="6979" w:type="dxa"/>
            <w:gridSpan w:val="3"/>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266555</w:t>
            </w:r>
          </w:p>
        </w:tc>
      </w:tr>
      <w:tr w:rsidR="00157EA0" w:rsidTr="008D4B2E">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公司注册地址历史变更情况</w:t>
            </w:r>
          </w:p>
        </w:tc>
        <w:tc>
          <w:tcPr>
            <w:tcW w:w="6979" w:type="dxa"/>
            <w:gridSpan w:val="3"/>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公司注册地址于2017年7月12日由青岛市保税区纽约路2号变更为山东省青岛市高新区新</w:t>
            </w:r>
            <w:proofErr w:type="gramStart"/>
            <w:r>
              <w:rPr>
                <w:rFonts w:ascii="宋体" w:eastAsia="宋体" w:hAnsi="宋体" w:cs="宋体"/>
                <w:sz w:val="18"/>
                <w:szCs w:val="18"/>
              </w:rPr>
              <w:t>业路31号远创国际蓝湾创意园</w:t>
            </w:r>
            <w:proofErr w:type="gramEnd"/>
            <w:r>
              <w:rPr>
                <w:rFonts w:ascii="宋体" w:eastAsia="宋体" w:hAnsi="宋体" w:cs="宋体"/>
                <w:sz w:val="18"/>
                <w:szCs w:val="18"/>
              </w:rPr>
              <w:t>B区1号楼202室</w:t>
            </w:r>
          </w:p>
        </w:tc>
      </w:tr>
      <w:tr w:rsidR="00157EA0" w:rsidTr="008D4B2E">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办公地址</w:t>
            </w:r>
          </w:p>
        </w:tc>
        <w:tc>
          <w:tcPr>
            <w:tcW w:w="6979" w:type="dxa"/>
            <w:gridSpan w:val="3"/>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山东省青岛市郑州路43号</w:t>
            </w:r>
          </w:p>
        </w:tc>
      </w:tr>
      <w:tr w:rsidR="00157EA0" w:rsidTr="008D4B2E">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办公地址的邮政编码</w:t>
            </w:r>
          </w:p>
        </w:tc>
        <w:tc>
          <w:tcPr>
            <w:tcW w:w="6979" w:type="dxa"/>
            <w:gridSpan w:val="3"/>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266042</w:t>
            </w:r>
          </w:p>
        </w:tc>
      </w:tr>
      <w:tr w:rsidR="00157EA0" w:rsidTr="008D4B2E">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公司网址</w:t>
            </w:r>
          </w:p>
        </w:tc>
        <w:tc>
          <w:tcPr>
            <w:tcW w:w="6979" w:type="dxa"/>
            <w:gridSpan w:val="3"/>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www.mesnac.com</w:t>
            </w:r>
          </w:p>
        </w:tc>
      </w:tr>
      <w:tr w:rsidR="00157EA0" w:rsidTr="008D4B2E">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电子信箱</w:t>
            </w:r>
          </w:p>
        </w:tc>
        <w:tc>
          <w:tcPr>
            <w:tcW w:w="6979" w:type="dxa"/>
            <w:gridSpan w:val="3"/>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info@mesnac.com</w:t>
            </w:r>
          </w:p>
        </w:tc>
      </w:tr>
    </w:tbl>
    <w:p w:rsidR="00BA0365" w:rsidRDefault="008D4B2E">
      <w:pPr>
        <w:pStyle w:val="2"/>
        <w:spacing w:before="300" w:after="300" w:line="320" w:lineRule="exact"/>
        <w:rPr>
          <w:rFonts w:ascii="宋体" w:eastAsia="宋体" w:hAnsi="宋体" w:cs="宋体"/>
          <w:b/>
          <w:bCs/>
          <w:sz w:val="24"/>
          <w:szCs w:val="24"/>
        </w:rPr>
      </w:pPr>
      <w:bookmarkStart w:id="3" w:name="_Toc988892"/>
      <w:r>
        <w:rPr>
          <w:rFonts w:ascii="宋体" w:eastAsia="宋体" w:hAnsi="宋体" w:cs="宋体"/>
          <w:b/>
          <w:bCs/>
          <w:sz w:val="24"/>
          <w:szCs w:val="24"/>
        </w:rPr>
        <w:t>二、联系人和联系方式</w:t>
      </w:r>
      <w:bookmarkEnd w:id="3"/>
    </w:p>
    <w:tbl>
      <w:tblPr>
        <w:tblW w:w="9639" w:type="dxa"/>
        <w:tblLayout w:type="fixed"/>
        <w:tblLook w:val="04A0" w:firstRow="1" w:lastRow="0" w:firstColumn="1" w:lastColumn="0" w:noHBand="0" w:noVBand="1"/>
      </w:tblPr>
      <w:tblGrid>
        <w:gridCol w:w="3213"/>
        <w:gridCol w:w="3213"/>
        <w:gridCol w:w="3213"/>
      </w:tblGrid>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董事会秘书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证券事务代表</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姓名</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张垚</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孙志慧</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联系地址</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山东省青岛市郑州路43号</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山东省青岛市郑州路43号</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电话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0532-84012387</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0532-84012387</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传真</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0532-84011517</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0532-84011517</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电子信箱</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info@mesnac.com</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sunzh@mesnac.com</w:t>
            </w:r>
          </w:p>
        </w:tc>
      </w:tr>
    </w:tbl>
    <w:p w:rsidR="00BA0365" w:rsidRDefault="008D4B2E">
      <w:pPr>
        <w:pStyle w:val="2"/>
        <w:spacing w:before="300" w:after="300" w:line="320" w:lineRule="exact"/>
        <w:rPr>
          <w:rFonts w:ascii="宋体" w:eastAsia="宋体" w:hAnsi="宋体" w:cs="宋体"/>
          <w:b/>
          <w:bCs/>
          <w:sz w:val="24"/>
          <w:szCs w:val="24"/>
        </w:rPr>
      </w:pPr>
      <w:bookmarkStart w:id="4" w:name="_Toc988893"/>
      <w:r>
        <w:rPr>
          <w:rFonts w:ascii="宋体" w:eastAsia="宋体" w:hAnsi="宋体" w:cs="宋体"/>
          <w:b/>
          <w:bCs/>
          <w:sz w:val="24"/>
          <w:szCs w:val="24"/>
        </w:rPr>
        <w:t>三、信息披露及备置地点</w:t>
      </w:r>
      <w:bookmarkEnd w:id="4"/>
    </w:p>
    <w:tbl>
      <w:tblPr>
        <w:tblW w:w="9639" w:type="dxa"/>
        <w:tblLayout w:type="fixed"/>
        <w:tblLook w:val="04A0" w:firstRow="1" w:lastRow="0" w:firstColumn="1" w:lastColumn="0" w:noHBand="0" w:noVBand="1"/>
      </w:tblPr>
      <w:tblGrid>
        <w:gridCol w:w="4820"/>
        <w:gridCol w:w="4819"/>
      </w:tblGrid>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公司披露年度报告的证券交易所网站</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深圳证券交易所（http://www.szse.cn）</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公司披露年度报告的媒体名称及网址</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《证券时报》《中国证券报》《上海证券报》《证券日报》及巨潮资讯网：（http://www.cninfo.com.cn）</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公司年度报告备置地点</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公司证券部</w:t>
            </w:r>
          </w:p>
        </w:tc>
      </w:tr>
    </w:tbl>
    <w:p w:rsidR="00BA0365" w:rsidRDefault="008D4B2E">
      <w:pPr>
        <w:pStyle w:val="2"/>
        <w:spacing w:before="300" w:after="300" w:line="320" w:lineRule="exact"/>
        <w:rPr>
          <w:rFonts w:ascii="宋体" w:eastAsia="宋体" w:hAnsi="宋体" w:cs="宋体"/>
          <w:b/>
          <w:bCs/>
          <w:sz w:val="24"/>
          <w:szCs w:val="24"/>
        </w:rPr>
      </w:pPr>
      <w:bookmarkStart w:id="5" w:name="_Toc988894"/>
      <w:r>
        <w:rPr>
          <w:rFonts w:ascii="宋体" w:eastAsia="宋体" w:hAnsi="宋体" w:cs="宋体"/>
          <w:b/>
          <w:bCs/>
          <w:sz w:val="24"/>
          <w:szCs w:val="24"/>
        </w:rPr>
        <w:t>四、注册变更情况</w:t>
      </w:r>
      <w:bookmarkEnd w:id="5"/>
    </w:p>
    <w:tbl>
      <w:tblPr>
        <w:tblW w:w="9639" w:type="dxa"/>
        <w:tblLayout w:type="fixed"/>
        <w:tblLook w:val="04A0" w:firstRow="1" w:lastRow="0" w:firstColumn="1" w:lastColumn="0" w:noHBand="0" w:noVBand="1"/>
      </w:tblPr>
      <w:tblGrid>
        <w:gridCol w:w="4820"/>
        <w:gridCol w:w="4819"/>
      </w:tblGrid>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统一社会信用代码</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913702007180555372</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公司上市以来主营业务的变化情况（如有）</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无变更</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历次控股股东的变更情况（如有）</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无变更</w:t>
            </w:r>
          </w:p>
        </w:tc>
      </w:tr>
    </w:tbl>
    <w:p w:rsidR="00BA0365" w:rsidRDefault="008D4B2E">
      <w:pPr>
        <w:pStyle w:val="2"/>
        <w:spacing w:before="300" w:after="300" w:line="320" w:lineRule="exact"/>
        <w:rPr>
          <w:rFonts w:ascii="宋体" w:eastAsia="宋体" w:hAnsi="宋体" w:cs="宋体"/>
          <w:b/>
          <w:bCs/>
          <w:sz w:val="24"/>
          <w:szCs w:val="24"/>
        </w:rPr>
      </w:pPr>
      <w:bookmarkStart w:id="6" w:name="_Toc988895"/>
      <w:r>
        <w:rPr>
          <w:rFonts w:ascii="宋体" w:eastAsia="宋体" w:hAnsi="宋体" w:cs="宋体"/>
          <w:b/>
          <w:bCs/>
          <w:sz w:val="24"/>
          <w:szCs w:val="24"/>
        </w:rPr>
        <w:lastRenderedPageBreak/>
        <w:t>五、其他有关资料</w:t>
      </w:r>
      <w:bookmarkEnd w:id="6"/>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公司聘请的会计师事务所</w:t>
      </w:r>
    </w:p>
    <w:tbl>
      <w:tblPr>
        <w:tblW w:w="9639" w:type="dxa"/>
        <w:tblLayout w:type="fixed"/>
        <w:tblLook w:val="04A0" w:firstRow="1" w:lastRow="0" w:firstColumn="1" w:lastColumn="0" w:noHBand="0" w:noVBand="1"/>
      </w:tblPr>
      <w:tblGrid>
        <w:gridCol w:w="4820"/>
        <w:gridCol w:w="4819"/>
      </w:tblGrid>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会计师事务所名称</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中兴华会计师事务所（特殊普通合伙）</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会计师事务所办公地址</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青岛市市南区东海西路39号世纪大厦27层</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签字会计师姓名</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丁兆栋、高宁</w:t>
            </w:r>
          </w:p>
        </w:tc>
      </w:tr>
    </w:tbl>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公司聘请的报告期内履行持续督导职责的保荐机构</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Layout w:type="fixed"/>
        <w:tblLook w:val="04A0" w:firstRow="1" w:lastRow="0" w:firstColumn="1" w:lastColumn="0" w:noHBand="0" w:noVBand="1"/>
      </w:tblPr>
      <w:tblGrid>
        <w:gridCol w:w="1242"/>
        <w:gridCol w:w="2410"/>
        <w:gridCol w:w="1134"/>
        <w:gridCol w:w="4853"/>
      </w:tblGrid>
      <w:tr w:rsidR="00157EA0" w:rsidTr="008D4B2E">
        <w:trPr>
          <w:trHeight w:val="240"/>
        </w:trPr>
        <w:tc>
          <w:tcPr>
            <w:tcW w:w="124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保荐机构名称</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保荐机构办公地址</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保荐代表人姓名</w:t>
            </w:r>
          </w:p>
        </w:tc>
        <w:tc>
          <w:tcPr>
            <w:tcW w:w="485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持续督导期间</w:t>
            </w:r>
          </w:p>
        </w:tc>
      </w:tr>
      <w:tr w:rsidR="00157EA0" w:rsidTr="008D4B2E">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国金证券股份有限公司</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上海市浦东新区芳</w:t>
            </w:r>
            <w:proofErr w:type="gramStart"/>
            <w:r>
              <w:rPr>
                <w:rFonts w:ascii="宋体" w:eastAsia="宋体" w:hAnsi="宋体" w:cs="宋体"/>
                <w:sz w:val="18"/>
                <w:szCs w:val="18"/>
              </w:rPr>
              <w:t>甸</w:t>
            </w:r>
            <w:proofErr w:type="gramEnd"/>
            <w:r>
              <w:rPr>
                <w:rFonts w:ascii="宋体" w:eastAsia="宋体" w:hAnsi="宋体" w:cs="宋体"/>
                <w:sz w:val="18"/>
                <w:szCs w:val="18"/>
              </w:rPr>
              <w:t>路1088号紫竹国际大厦23楼</w:t>
            </w:r>
          </w:p>
        </w:tc>
        <w:tc>
          <w:tcPr>
            <w:tcW w:w="11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江岚、高俊</w:t>
            </w:r>
          </w:p>
        </w:tc>
        <w:tc>
          <w:tcPr>
            <w:tcW w:w="485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国金证券股份有限公司为软控股份2016 年度非公开发行股票的保荐机构，持续督导期截止至 2017 年 12 月</w:t>
            </w:r>
          </w:p>
          <w:p w:rsidR="00BA0365" w:rsidRDefault="008D4B2E">
            <w:pPr>
              <w:spacing w:line="240" w:lineRule="exact"/>
              <w:rPr>
                <w:rFonts w:ascii="宋体" w:eastAsia="宋体" w:hAnsi="宋体" w:cs="宋体"/>
                <w:sz w:val="18"/>
                <w:szCs w:val="18"/>
              </w:rPr>
            </w:pPr>
            <w:r>
              <w:rPr>
                <w:rFonts w:ascii="宋体" w:eastAsia="宋体" w:hAnsi="宋体" w:cs="宋体"/>
                <w:sz w:val="18"/>
                <w:szCs w:val="18"/>
              </w:rPr>
              <w:t>31 日，国金证券已于2018年5月出具了《关于软控股份有限公司非公开发行股票之保荐工作总结》。因2016年非公开发行股票募集的资金尚未使用完毕，保荐机构仍需对公司募集资金的使用和管理继续履行督导义务，持续督导义务将履行至公司募集资金使用完毕为止。</w:t>
            </w:r>
          </w:p>
        </w:tc>
      </w:tr>
    </w:tbl>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公司聘请的报告期内履行持续督导职责的财务顾问</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pStyle w:val="2"/>
        <w:spacing w:before="300" w:after="300" w:line="320" w:lineRule="exact"/>
        <w:rPr>
          <w:rFonts w:ascii="宋体" w:eastAsia="宋体" w:hAnsi="宋体" w:cs="宋体"/>
          <w:b/>
          <w:bCs/>
          <w:sz w:val="24"/>
          <w:szCs w:val="24"/>
        </w:rPr>
      </w:pPr>
      <w:bookmarkStart w:id="7" w:name="_Toc988896"/>
      <w:r>
        <w:rPr>
          <w:rFonts w:ascii="宋体" w:eastAsia="宋体" w:hAnsi="宋体" w:cs="宋体"/>
          <w:b/>
          <w:bCs/>
          <w:sz w:val="24"/>
          <w:szCs w:val="24"/>
        </w:rPr>
        <w:t>六、主要会计数据和财务指标</w:t>
      </w:r>
      <w:bookmarkEnd w:id="7"/>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公司是否需追溯调整或重述以前年度会计数据</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tbl>
      <w:tblPr>
        <w:tblW w:w="9639" w:type="dxa"/>
        <w:tblLayout w:type="fixed"/>
        <w:tblLook w:val="04A0" w:firstRow="1" w:lastRow="0" w:firstColumn="1" w:lastColumn="0" w:noHBand="0" w:noVBand="1"/>
      </w:tblPr>
      <w:tblGrid>
        <w:gridCol w:w="2235"/>
        <w:gridCol w:w="1842"/>
        <w:gridCol w:w="1843"/>
        <w:gridCol w:w="1843"/>
        <w:gridCol w:w="1876"/>
      </w:tblGrid>
      <w:tr w:rsidR="00157EA0" w:rsidTr="00220C19">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84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2023年</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2022年</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本年比上年增减</w:t>
            </w:r>
          </w:p>
        </w:tc>
        <w:tc>
          <w:tcPr>
            <w:tcW w:w="1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2021年</w:t>
            </w:r>
          </w:p>
        </w:tc>
      </w:tr>
      <w:tr w:rsidR="00157EA0" w:rsidTr="00220C19">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营业收入（元）</w:t>
            </w:r>
          </w:p>
        </w:tc>
        <w:tc>
          <w:tcPr>
            <w:tcW w:w="1842" w:type="dxa"/>
            <w:tcBorders>
              <w:top w:val="single" w:sz="2" w:space="0" w:color="auto"/>
              <w:left w:val="single" w:sz="2" w:space="0" w:color="auto"/>
              <w:bottom w:val="single" w:sz="2" w:space="0" w:color="auto"/>
              <w:right w:val="single" w:sz="2" w:space="0" w:color="auto"/>
            </w:tcBorders>
            <w:vAlign w:val="center"/>
          </w:tcPr>
          <w:p w:rsidR="00BA0365" w:rsidRDefault="008D4B2E" w:rsidP="008D4B2E">
            <w:pPr>
              <w:spacing w:line="240" w:lineRule="exact"/>
              <w:jc w:val="right"/>
              <w:rPr>
                <w:rFonts w:ascii="宋体" w:eastAsia="宋体" w:hAnsi="宋体" w:cs="宋体"/>
                <w:sz w:val="18"/>
                <w:szCs w:val="18"/>
              </w:rPr>
            </w:pPr>
            <w:r>
              <w:rPr>
                <w:rFonts w:ascii="宋体" w:eastAsia="宋体" w:hAnsi="宋体" w:cs="宋体"/>
                <w:sz w:val="18"/>
                <w:szCs w:val="18"/>
              </w:rPr>
              <w:t>5,647,595,165.99</w:t>
            </w:r>
          </w:p>
        </w:tc>
        <w:tc>
          <w:tcPr>
            <w:tcW w:w="1843" w:type="dxa"/>
            <w:tcBorders>
              <w:top w:val="single" w:sz="2" w:space="0" w:color="auto"/>
              <w:left w:val="single" w:sz="2" w:space="0" w:color="auto"/>
              <w:bottom w:val="single" w:sz="2" w:space="0" w:color="auto"/>
              <w:right w:val="single" w:sz="2" w:space="0" w:color="auto"/>
            </w:tcBorders>
            <w:vAlign w:val="center"/>
          </w:tcPr>
          <w:p w:rsidR="00BA0365" w:rsidRDefault="008D4B2E" w:rsidP="008D4B2E">
            <w:pPr>
              <w:spacing w:line="240" w:lineRule="exact"/>
              <w:jc w:val="right"/>
              <w:rPr>
                <w:rFonts w:ascii="宋体" w:eastAsia="宋体" w:hAnsi="宋体" w:cs="宋体"/>
                <w:sz w:val="18"/>
                <w:szCs w:val="18"/>
              </w:rPr>
            </w:pPr>
            <w:r>
              <w:rPr>
                <w:rFonts w:ascii="宋体" w:eastAsia="宋体" w:hAnsi="宋体" w:cs="宋体"/>
                <w:sz w:val="18"/>
                <w:szCs w:val="18"/>
              </w:rPr>
              <w:t>5,735,914,957.58</w:t>
            </w:r>
          </w:p>
        </w:tc>
        <w:tc>
          <w:tcPr>
            <w:tcW w:w="1843" w:type="dxa"/>
            <w:tcBorders>
              <w:top w:val="single" w:sz="2" w:space="0" w:color="auto"/>
              <w:left w:val="single" w:sz="2" w:space="0" w:color="auto"/>
              <w:bottom w:val="single" w:sz="2" w:space="0" w:color="auto"/>
              <w:right w:val="single" w:sz="2" w:space="0" w:color="auto"/>
            </w:tcBorders>
            <w:vAlign w:val="center"/>
          </w:tcPr>
          <w:p w:rsidR="00BA0365" w:rsidRDefault="008D4B2E" w:rsidP="008D4B2E">
            <w:pPr>
              <w:spacing w:line="240" w:lineRule="exact"/>
              <w:jc w:val="right"/>
              <w:rPr>
                <w:rFonts w:ascii="宋体" w:eastAsia="宋体" w:hAnsi="宋体" w:cs="宋体"/>
                <w:sz w:val="18"/>
                <w:szCs w:val="18"/>
              </w:rPr>
            </w:pPr>
            <w:r>
              <w:rPr>
                <w:rFonts w:ascii="宋体" w:eastAsia="宋体" w:hAnsi="宋体" w:cs="宋体"/>
                <w:sz w:val="18"/>
                <w:szCs w:val="18"/>
              </w:rPr>
              <w:t>-1.54%</w:t>
            </w:r>
          </w:p>
        </w:tc>
        <w:tc>
          <w:tcPr>
            <w:tcW w:w="1876" w:type="dxa"/>
            <w:tcBorders>
              <w:top w:val="single" w:sz="2" w:space="0" w:color="auto"/>
              <w:left w:val="single" w:sz="2" w:space="0" w:color="auto"/>
              <w:bottom w:val="single" w:sz="2" w:space="0" w:color="auto"/>
              <w:right w:val="single" w:sz="2" w:space="0" w:color="auto"/>
            </w:tcBorders>
            <w:vAlign w:val="center"/>
          </w:tcPr>
          <w:p w:rsidR="00BA0365" w:rsidRDefault="008D4B2E" w:rsidP="008D4B2E">
            <w:pPr>
              <w:spacing w:line="240" w:lineRule="exact"/>
              <w:jc w:val="right"/>
              <w:rPr>
                <w:rFonts w:ascii="宋体" w:eastAsia="宋体" w:hAnsi="宋体" w:cs="宋体"/>
                <w:sz w:val="18"/>
                <w:szCs w:val="18"/>
              </w:rPr>
            </w:pPr>
            <w:r>
              <w:rPr>
                <w:rFonts w:ascii="宋体" w:eastAsia="宋体" w:hAnsi="宋体" w:cs="宋体"/>
                <w:sz w:val="18"/>
                <w:szCs w:val="18"/>
              </w:rPr>
              <w:t>5,454,796,036.74</w:t>
            </w:r>
          </w:p>
        </w:tc>
      </w:tr>
      <w:tr w:rsidR="00157EA0" w:rsidTr="00220C19">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归属于上市公司股东的净利润（元）</w:t>
            </w:r>
          </w:p>
        </w:tc>
        <w:tc>
          <w:tcPr>
            <w:tcW w:w="1842" w:type="dxa"/>
            <w:tcBorders>
              <w:top w:val="single" w:sz="2" w:space="0" w:color="auto"/>
              <w:left w:val="single" w:sz="2" w:space="0" w:color="auto"/>
              <w:bottom w:val="single" w:sz="2" w:space="0" w:color="auto"/>
              <w:right w:val="single" w:sz="2" w:space="0" w:color="auto"/>
            </w:tcBorders>
            <w:vAlign w:val="center"/>
          </w:tcPr>
          <w:p w:rsidR="00BA0365" w:rsidRDefault="008D4B2E" w:rsidP="008D4B2E">
            <w:pPr>
              <w:spacing w:line="240" w:lineRule="exact"/>
              <w:jc w:val="right"/>
              <w:rPr>
                <w:rFonts w:ascii="宋体" w:eastAsia="宋体" w:hAnsi="宋体" w:cs="宋体"/>
                <w:sz w:val="18"/>
                <w:szCs w:val="18"/>
              </w:rPr>
            </w:pPr>
            <w:r>
              <w:rPr>
                <w:rFonts w:ascii="宋体" w:eastAsia="宋体" w:hAnsi="宋体" w:cs="宋体"/>
                <w:sz w:val="18"/>
                <w:szCs w:val="18"/>
              </w:rPr>
              <w:t>333,149,674.13</w:t>
            </w:r>
          </w:p>
        </w:tc>
        <w:tc>
          <w:tcPr>
            <w:tcW w:w="1843" w:type="dxa"/>
            <w:tcBorders>
              <w:top w:val="single" w:sz="2" w:space="0" w:color="auto"/>
              <w:left w:val="single" w:sz="2" w:space="0" w:color="auto"/>
              <w:bottom w:val="single" w:sz="2" w:space="0" w:color="auto"/>
              <w:right w:val="single" w:sz="2" w:space="0" w:color="auto"/>
            </w:tcBorders>
            <w:vAlign w:val="center"/>
          </w:tcPr>
          <w:p w:rsidR="00BA0365" w:rsidRDefault="008D4B2E" w:rsidP="008D4B2E">
            <w:pPr>
              <w:spacing w:line="240" w:lineRule="exact"/>
              <w:jc w:val="right"/>
              <w:rPr>
                <w:rFonts w:ascii="宋体" w:eastAsia="宋体" w:hAnsi="宋体" w:cs="宋体"/>
                <w:sz w:val="18"/>
                <w:szCs w:val="18"/>
              </w:rPr>
            </w:pPr>
            <w:r>
              <w:rPr>
                <w:rFonts w:ascii="宋体" w:eastAsia="宋体" w:hAnsi="宋体" w:cs="宋体"/>
                <w:sz w:val="18"/>
                <w:szCs w:val="18"/>
              </w:rPr>
              <w:t>202,651,631.16</w:t>
            </w:r>
          </w:p>
        </w:tc>
        <w:tc>
          <w:tcPr>
            <w:tcW w:w="1843" w:type="dxa"/>
            <w:tcBorders>
              <w:top w:val="single" w:sz="2" w:space="0" w:color="auto"/>
              <w:left w:val="single" w:sz="2" w:space="0" w:color="auto"/>
              <w:bottom w:val="single" w:sz="2" w:space="0" w:color="auto"/>
              <w:right w:val="single" w:sz="2" w:space="0" w:color="auto"/>
            </w:tcBorders>
            <w:vAlign w:val="center"/>
          </w:tcPr>
          <w:p w:rsidR="00BA0365" w:rsidRDefault="008D4B2E" w:rsidP="008D4B2E">
            <w:pPr>
              <w:spacing w:line="240" w:lineRule="exact"/>
              <w:jc w:val="right"/>
              <w:rPr>
                <w:rFonts w:ascii="宋体" w:eastAsia="宋体" w:hAnsi="宋体" w:cs="宋体"/>
                <w:sz w:val="18"/>
                <w:szCs w:val="18"/>
              </w:rPr>
            </w:pPr>
            <w:r>
              <w:rPr>
                <w:rFonts w:ascii="宋体" w:eastAsia="宋体" w:hAnsi="宋体" w:cs="宋体"/>
                <w:sz w:val="18"/>
                <w:szCs w:val="18"/>
              </w:rPr>
              <w:t>64.40%</w:t>
            </w:r>
          </w:p>
        </w:tc>
        <w:tc>
          <w:tcPr>
            <w:tcW w:w="1876" w:type="dxa"/>
            <w:tcBorders>
              <w:top w:val="single" w:sz="2" w:space="0" w:color="auto"/>
              <w:left w:val="single" w:sz="2" w:space="0" w:color="auto"/>
              <w:bottom w:val="single" w:sz="2" w:space="0" w:color="auto"/>
              <w:right w:val="single" w:sz="2" w:space="0" w:color="auto"/>
            </w:tcBorders>
            <w:vAlign w:val="center"/>
          </w:tcPr>
          <w:p w:rsidR="00BA0365" w:rsidRDefault="008D4B2E" w:rsidP="008D4B2E">
            <w:pPr>
              <w:spacing w:line="240" w:lineRule="exact"/>
              <w:jc w:val="right"/>
              <w:rPr>
                <w:rFonts w:ascii="宋体" w:eastAsia="宋体" w:hAnsi="宋体" w:cs="宋体"/>
                <w:sz w:val="18"/>
                <w:szCs w:val="18"/>
              </w:rPr>
            </w:pPr>
            <w:r>
              <w:rPr>
                <w:rFonts w:ascii="宋体" w:eastAsia="宋体" w:hAnsi="宋体" w:cs="宋体"/>
                <w:sz w:val="18"/>
                <w:szCs w:val="18"/>
              </w:rPr>
              <w:t>142,257,023.71</w:t>
            </w:r>
          </w:p>
        </w:tc>
      </w:tr>
      <w:tr w:rsidR="00157EA0" w:rsidTr="00220C19">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归属于上市公司股东的扣除非经常性损益的净利润（元）</w:t>
            </w:r>
          </w:p>
        </w:tc>
        <w:tc>
          <w:tcPr>
            <w:tcW w:w="1842" w:type="dxa"/>
            <w:tcBorders>
              <w:top w:val="single" w:sz="2" w:space="0" w:color="auto"/>
              <w:left w:val="single" w:sz="2" w:space="0" w:color="auto"/>
              <w:bottom w:val="single" w:sz="2" w:space="0" w:color="auto"/>
              <w:right w:val="single" w:sz="2" w:space="0" w:color="auto"/>
            </w:tcBorders>
            <w:vAlign w:val="center"/>
          </w:tcPr>
          <w:p w:rsidR="00BA0365" w:rsidRDefault="008D4B2E" w:rsidP="008D4B2E">
            <w:pPr>
              <w:spacing w:line="240" w:lineRule="exact"/>
              <w:jc w:val="right"/>
              <w:rPr>
                <w:rFonts w:ascii="宋体" w:eastAsia="宋体" w:hAnsi="宋体" w:cs="宋体"/>
                <w:sz w:val="18"/>
                <w:szCs w:val="18"/>
              </w:rPr>
            </w:pPr>
            <w:r>
              <w:rPr>
                <w:rFonts w:ascii="宋体" w:eastAsia="宋体" w:hAnsi="宋体" w:cs="宋体"/>
                <w:sz w:val="18"/>
                <w:szCs w:val="18"/>
              </w:rPr>
              <w:t>262,711,422.40</w:t>
            </w:r>
          </w:p>
        </w:tc>
        <w:tc>
          <w:tcPr>
            <w:tcW w:w="1843" w:type="dxa"/>
            <w:tcBorders>
              <w:top w:val="single" w:sz="2" w:space="0" w:color="auto"/>
              <w:left w:val="single" w:sz="2" w:space="0" w:color="auto"/>
              <w:bottom w:val="single" w:sz="2" w:space="0" w:color="auto"/>
              <w:right w:val="single" w:sz="2" w:space="0" w:color="auto"/>
            </w:tcBorders>
            <w:vAlign w:val="center"/>
          </w:tcPr>
          <w:p w:rsidR="00BA0365" w:rsidRDefault="008D4B2E" w:rsidP="008D4B2E">
            <w:pPr>
              <w:spacing w:line="240" w:lineRule="exact"/>
              <w:jc w:val="right"/>
              <w:rPr>
                <w:rFonts w:ascii="宋体" w:eastAsia="宋体" w:hAnsi="宋体" w:cs="宋体"/>
                <w:sz w:val="18"/>
                <w:szCs w:val="18"/>
              </w:rPr>
            </w:pPr>
            <w:r>
              <w:rPr>
                <w:rFonts w:ascii="宋体" w:eastAsia="宋体" w:hAnsi="宋体" w:cs="宋体"/>
                <w:sz w:val="18"/>
                <w:szCs w:val="18"/>
              </w:rPr>
              <w:t>152,358,505.11</w:t>
            </w:r>
          </w:p>
        </w:tc>
        <w:tc>
          <w:tcPr>
            <w:tcW w:w="1843" w:type="dxa"/>
            <w:tcBorders>
              <w:top w:val="single" w:sz="2" w:space="0" w:color="auto"/>
              <w:left w:val="single" w:sz="2" w:space="0" w:color="auto"/>
              <w:bottom w:val="single" w:sz="2" w:space="0" w:color="auto"/>
              <w:right w:val="single" w:sz="2" w:space="0" w:color="auto"/>
            </w:tcBorders>
            <w:vAlign w:val="center"/>
          </w:tcPr>
          <w:p w:rsidR="00BA0365" w:rsidRDefault="008D4B2E" w:rsidP="008D4B2E">
            <w:pPr>
              <w:spacing w:line="240" w:lineRule="exact"/>
              <w:jc w:val="right"/>
              <w:rPr>
                <w:rFonts w:ascii="宋体" w:eastAsia="宋体" w:hAnsi="宋体" w:cs="宋体"/>
                <w:sz w:val="18"/>
                <w:szCs w:val="18"/>
              </w:rPr>
            </w:pPr>
            <w:r>
              <w:rPr>
                <w:rFonts w:ascii="宋体" w:eastAsia="宋体" w:hAnsi="宋体" w:cs="宋体"/>
                <w:sz w:val="18"/>
                <w:szCs w:val="18"/>
              </w:rPr>
              <w:t>72.43%</w:t>
            </w:r>
          </w:p>
        </w:tc>
        <w:tc>
          <w:tcPr>
            <w:tcW w:w="1876" w:type="dxa"/>
            <w:tcBorders>
              <w:top w:val="single" w:sz="2" w:space="0" w:color="auto"/>
              <w:left w:val="single" w:sz="2" w:space="0" w:color="auto"/>
              <w:bottom w:val="single" w:sz="2" w:space="0" w:color="auto"/>
              <w:right w:val="single" w:sz="2" w:space="0" w:color="auto"/>
            </w:tcBorders>
            <w:vAlign w:val="center"/>
          </w:tcPr>
          <w:p w:rsidR="00BA0365" w:rsidRDefault="008D4B2E" w:rsidP="008D4B2E">
            <w:pPr>
              <w:spacing w:line="240" w:lineRule="exact"/>
              <w:jc w:val="right"/>
              <w:rPr>
                <w:rFonts w:ascii="宋体" w:eastAsia="宋体" w:hAnsi="宋体" w:cs="宋体"/>
                <w:sz w:val="18"/>
                <w:szCs w:val="18"/>
              </w:rPr>
            </w:pPr>
            <w:r>
              <w:rPr>
                <w:rFonts w:ascii="宋体" w:eastAsia="宋体" w:hAnsi="宋体" w:cs="宋体"/>
                <w:sz w:val="18"/>
                <w:szCs w:val="18"/>
              </w:rPr>
              <w:t>84,611,269.69</w:t>
            </w:r>
          </w:p>
        </w:tc>
      </w:tr>
      <w:tr w:rsidR="00157EA0" w:rsidTr="00220C19">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经营活动产生的现金流量净额（元）</w:t>
            </w:r>
          </w:p>
        </w:tc>
        <w:tc>
          <w:tcPr>
            <w:tcW w:w="1842" w:type="dxa"/>
            <w:tcBorders>
              <w:top w:val="single" w:sz="2" w:space="0" w:color="auto"/>
              <w:left w:val="single" w:sz="2" w:space="0" w:color="auto"/>
              <w:bottom w:val="single" w:sz="2" w:space="0" w:color="auto"/>
              <w:right w:val="single" w:sz="2" w:space="0" w:color="auto"/>
            </w:tcBorders>
            <w:vAlign w:val="center"/>
          </w:tcPr>
          <w:p w:rsidR="00BA0365" w:rsidRDefault="008D4B2E" w:rsidP="008D4B2E">
            <w:pPr>
              <w:spacing w:line="240" w:lineRule="exact"/>
              <w:jc w:val="right"/>
              <w:rPr>
                <w:rFonts w:ascii="宋体" w:eastAsia="宋体" w:hAnsi="宋体" w:cs="宋体"/>
                <w:sz w:val="18"/>
                <w:szCs w:val="18"/>
              </w:rPr>
            </w:pPr>
            <w:r>
              <w:rPr>
                <w:rFonts w:ascii="宋体" w:eastAsia="宋体" w:hAnsi="宋体" w:cs="宋体"/>
                <w:sz w:val="18"/>
                <w:szCs w:val="18"/>
              </w:rPr>
              <w:t>231,404,747.57</w:t>
            </w:r>
          </w:p>
        </w:tc>
        <w:tc>
          <w:tcPr>
            <w:tcW w:w="1843" w:type="dxa"/>
            <w:tcBorders>
              <w:top w:val="single" w:sz="2" w:space="0" w:color="auto"/>
              <w:left w:val="single" w:sz="2" w:space="0" w:color="auto"/>
              <w:bottom w:val="single" w:sz="2" w:space="0" w:color="auto"/>
              <w:right w:val="single" w:sz="2" w:space="0" w:color="auto"/>
            </w:tcBorders>
            <w:vAlign w:val="center"/>
          </w:tcPr>
          <w:p w:rsidR="00BA0365" w:rsidRDefault="008D4B2E" w:rsidP="008D4B2E">
            <w:pPr>
              <w:spacing w:line="240" w:lineRule="exact"/>
              <w:jc w:val="right"/>
              <w:rPr>
                <w:rFonts w:ascii="宋体" w:eastAsia="宋体" w:hAnsi="宋体" w:cs="宋体"/>
                <w:sz w:val="18"/>
                <w:szCs w:val="18"/>
              </w:rPr>
            </w:pPr>
            <w:r>
              <w:rPr>
                <w:rFonts w:ascii="宋体" w:eastAsia="宋体" w:hAnsi="宋体" w:cs="宋体"/>
                <w:sz w:val="18"/>
                <w:szCs w:val="18"/>
              </w:rPr>
              <w:t>382,734,652.91</w:t>
            </w:r>
          </w:p>
        </w:tc>
        <w:tc>
          <w:tcPr>
            <w:tcW w:w="1843" w:type="dxa"/>
            <w:tcBorders>
              <w:top w:val="single" w:sz="2" w:space="0" w:color="auto"/>
              <w:left w:val="single" w:sz="2" w:space="0" w:color="auto"/>
              <w:bottom w:val="single" w:sz="2" w:space="0" w:color="auto"/>
              <w:right w:val="single" w:sz="2" w:space="0" w:color="auto"/>
            </w:tcBorders>
            <w:vAlign w:val="center"/>
          </w:tcPr>
          <w:p w:rsidR="00BA0365" w:rsidRDefault="008D4B2E" w:rsidP="008D4B2E">
            <w:pPr>
              <w:spacing w:line="240" w:lineRule="exact"/>
              <w:jc w:val="right"/>
              <w:rPr>
                <w:rFonts w:ascii="宋体" w:eastAsia="宋体" w:hAnsi="宋体" w:cs="宋体"/>
                <w:sz w:val="18"/>
                <w:szCs w:val="18"/>
              </w:rPr>
            </w:pPr>
            <w:r>
              <w:rPr>
                <w:rFonts w:ascii="宋体" w:eastAsia="宋体" w:hAnsi="宋体" w:cs="宋体"/>
                <w:sz w:val="18"/>
                <w:szCs w:val="18"/>
              </w:rPr>
              <w:t>-39.54%</w:t>
            </w:r>
          </w:p>
        </w:tc>
        <w:tc>
          <w:tcPr>
            <w:tcW w:w="1876" w:type="dxa"/>
            <w:tcBorders>
              <w:top w:val="single" w:sz="2" w:space="0" w:color="auto"/>
              <w:left w:val="single" w:sz="2" w:space="0" w:color="auto"/>
              <w:bottom w:val="single" w:sz="2" w:space="0" w:color="auto"/>
              <w:right w:val="single" w:sz="2" w:space="0" w:color="auto"/>
            </w:tcBorders>
            <w:vAlign w:val="center"/>
          </w:tcPr>
          <w:p w:rsidR="00BA0365" w:rsidRDefault="008D4B2E" w:rsidP="008D4B2E">
            <w:pPr>
              <w:spacing w:line="240" w:lineRule="exact"/>
              <w:jc w:val="right"/>
              <w:rPr>
                <w:rFonts w:ascii="宋体" w:eastAsia="宋体" w:hAnsi="宋体" w:cs="宋体"/>
                <w:sz w:val="18"/>
                <w:szCs w:val="18"/>
              </w:rPr>
            </w:pPr>
            <w:r>
              <w:rPr>
                <w:rFonts w:ascii="宋体" w:eastAsia="宋体" w:hAnsi="宋体" w:cs="宋体"/>
                <w:sz w:val="18"/>
                <w:szCs w:val="18"/>
              </w:rPr>
              <w:t>252,585,944.10</w:t>
            </w:r>
          </w:p>
        </w:tc>
      </w:tr>
      <w:tr w:rsidR="00157EA0" w:rsidTr="00220C19">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基本每股收益（元/股）</w:t>
            </w:r>
          </w:p>
        </w:tc>
        <w:tc>
          <w:tcPr>
            <w:tcW w:w="1842" w:type="dxa"/>
            <w:tcBorders>
              <w:top w:val="single" w:sz="2" w:space="0" w:color="auto"/>
              <w:left w:val="single" w:sz="2" w:space="0" w:color="auto"/>
              <w:bottom w:val="single" w:sz="2" w:space="0" w:color="auto"/>
              <w:right w:val="single" w:sz="2" w:space="0" w:color="auto"/>
            </w:tcBorders>
            <w:vAlign w:val="center"/>
          </w:tcPr>
          <w:p w:rsidR="00BA0365" w:rsidRDefault="008D4B2E" w:rsidP="008D4B2E">
            <w:pPr>
              <w:spacing w:line="240" w:lineRule="exact"/>
              <w:jc w:val="right"/>
              <w:rPr>
                <w:rFonts w:ascii="宋体" w:eastAsia="宋体" w:hAnsi="宋体" w:cs="宋体"/>
                <w:sz w:val="18"/>
                <w:szCs w:val="18"/>
              </w:rPr>
            </w:pPr>
            <w:r>
              <w:rPr>
                <w:rFonts w:ascii="宋体" w:eastAsia="宋体" w:hAnsi="宋体" w:cs="宋体"/>
                <w:sz w:val="18"/>
                <w:szCs w:val="18"/>
              </w:rPr>
              <w:t>0.3486</w:t>
            </w:r>
          </w:p>
        </w:tc>
        <w:tc>
          <w:tcPr>
            <w:tcW w:w="1843" w:type="dxa"/>
            <w:tcBorders>
              <w:top w:val="single" w:sz="2" w:space="0" w:color="auto"/>
              <w:left w:val="single" w:sz="2" w:space="0" w:color="auto"/>
              <w:bottom w:val="single" w:sz="2" w:space="0" w:color="auto"/>
              <w:right w:val="single" w:sz="2" w:space="0" w:color="auto"/>
            </w:tcBorders>
            <w:vAlign w:val="center"/>
          </w:tcPr>
          <w:p w:rsidR="00BA0365" w:rsidRDefault="008D4B2E" w:rsidP="008D4B2E">
            <w:pPr>
              <w:spacing w:line="240" w:lineRule="exact"/>
              <w:jc w:val="right"/>
              <w:rPr>
                <w:rFonts w:ascii="宋体" w:eastAsia="宋体" w:hAnsi="宋体" w:cs="宋体"/>
                <w:sz w:val="18"/>
                <w:szCs w:val="18"/>
              </w:rPr>
            </w:pPr>
            <w:r>
              <w:rPr>
                <w:rFonts w:ascii="宋体" w:eastAsia="宋体" w:hAnsi="宋体" w:cs="宋体"/>
                <w:sz w:val="18"/>
                <w:szCs w:val="18"/>
              </w:rPr>
              <w:t>0.2147</w:t>
            </w:r>
          </w:p>
        </w:tc>
        <w:tc>
          <w:tcPr>
            <w:tcW w:w="1843" w:type="dxa"/>
            <w:tcBorders>
              <w:top w:val="single" w:sz="2" w:space="0" w:color="auto"/>
              <w:left w:val="single" w:sz="2" w:space="0" w:color="auto"/>
              <w:bottom w:val="single" w:sz="2" w:space="0" w:color="auto"/>
              <w:right w:val="single" w:sz="2" w:space="0" w:color="auto"/>
            </w:tcBorders>
            <w:vAlign w:val="center"/>
          </w:tcPr>
          <w:p w:rsidR="00BA0365" w:rsidRDefault="008D4B2E" w:rsidP="008D4B2E">
            <w:pPr>
              <w:spacing w:line="240" w:lineRule="exact"/>
              <w:jc w:val="right"/>
              <w:rPr>
                <w:rFonts w:ascii="宋体" w:eastAsia="宋体" w:hAnsi="宋体" w:cs="宋体"/>
                <w:sz w:val="18"/>
                <w:szCs w:val="18"/>
              </w:rPr>
            </w:pPr>
            <w:r>
              <w:rPr>
                <w:rFonts w:ascii="宋体" w:eastAsia="宋体" w:hAnsi="宋体" w:cs="宋体"/>
                <w:sz w:val="18"/>
                <w:szCs w:val="18"/>
              </w:rPr>
              <w:t>62.37%</w:t>
            </w:r>
          </w:p>
        </w:tc>
        <w:tc>
          <w:tcPr>
            <w:tcW w:w="1876" w:type="dxa"/>
            <w:tcBorders>
              <w:top w:val="single" w:sz="2" w:space="0" w:color="auto"/>
              <w:left w:val="single" w:sz="2" w:space="0" w:color="auto"/>
              <w:bottom w:val="single" w:sz="2" w:space="0" w:color="auto"/>
              <w:right w:val="single" w:sz="2" w:space="0" w:color="auto"/>
            </w:tcBorders>
            <w:vAlign w:val="center"/>
          </w:tcPr>
          <w:p w:rsidR="00BA0365" w:rsidRDefault="008D4B2E" w:rsidP="008D4B2E">
            <w:pPr>
              <w:spacing w:line="240" w:lineRule="exact"/>
              <w:jc w:val="right"/>
              <w:rPr>
                <w:rFonts w:ascii="宋体" w:eastAsia="宋体" w:hAnsi="宋体" w:cs="宋体"/>
                <w:sz w:val="18"/>
                <w:szCs w:val="18"/>
              </w:rPr>
            </w:pPr>
            <w:r>
              <w:rPr>
                <w:rFonts w:ascii="宋体" w:eastAsia="宋体" w:hAnsi="宋体" w:cs="宋体"/>
                <w:sz w:val="18"/>
                <w:szCs w:val="18"/>
              </w:rPr>
              <w:t>0.1541</w:t>
            </w:r>
          </w:p>
        </w:tc>
      </w:tr>
      <w:tr w:rsidR="00157EA0" w:rsidTr="00220C19">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稀释每股收益（元/股）</w:t>
            </w:r>
          </w:p>
        </w:tc>
        <w:tc>
          <w:tcPr>
            <w:tcW w:w="1842" w:type="dxa"/>
            <w:tcBorders>
              <w:top w:val="single" w:sz="2" w:space="0" w:color="auto"/>
              <w:left w:val="single" w:sz="2" w:space="0" w:color="auto"/>
              <w:bottom w:val="single" w:sz="2" w:space="0" w:color="auto"/>
              <w:right w:val="single" w:sz="2" w:space="0" w:color="auto"/>
            </w:tcBorders>
            <w:vAlign w:val="center"/>
          </w:tcPr>
          <w:p w:rsidR="00BA0365" w:rsidRDefault="008D4B2E" w:rsidP="008D4B2E">
            <w:pPr>
              <w:spacing w:line="240" w:lineRule="exact"/>
              <w:jc w:val="right"/>
              <w:rPr>
                <w:rFonts w:ascii="宋体" w:eastAsia="宋体" w:hAnsi="宋体" w:cs="宋体"/>
                <w:sz w:val="18"/>
                <w:szCs w:val="18"/>
              </w:rPr>
            </w:pPr>
            <w:r>
              <w:rPr>
                <w:rFonts w:ascii="宋体" w:eastAsia="宋体" w:hAnsi="宋体" w:cs="宋体"/>
                <w:sz w:val="18"/>
                <w:szCs w:val="18"/>
              </w:rPr>
              <w:t>0.3552</w:t>
            </w:r>
          </w:p>
        </w:tc>
        <w:tc>
          <w:tcPr>
            <w:tcW w:w="1843" w:type="dxa"/>
            <w:tcBorders>
              <w:top w:val="single" w:sz="2" w:space="0" w:color="auto"/>
              <w:left w:val="single" w:sz="2" w:space="0" w:color="auto"/>
              <w:bottom w:val="single" w:sz="2" w:space="0" w:color="auto"/>
              <w:right w:val="single" w:sz="2" w:space="0" w:color="auto"/>
            </w:tcBorders>
            <w:vAlign w:val="center"/>
          </w:tcPr>
          <w:p w:rsidR="00BA0365" w:rsidRDefault="008D4B2E" w:rsidP="008D4B2E">
            <w:pPr>
              <w:spacing w:line="240" w:lineRule="exact"/>
              <w:jc w:val="right"/>
              <w:rPr>
                <w:rFonts w:ascii="宋体" w:eastAsia="宋体" w:hAnsi="宋体" w:cs="宋体"/>
                <w:sz w:val="18"/>
                <w:szCs w:val="18"/>
              </w:rPr>
            </w:pPr>
            <w:r>
              <w:rPr>
                <w:rFonts w:ascii="宋体" w:eastAsia="宋体" w:hAnsi="宋体" w:cs="宋体"/>
                <w:sz w:val="18"/>
                <w:szCs w:val="18"/>
              </w:rPr>
              <w:t>0.217</w:t>
            </w:r>
          </w:p>
        </w:tc>
        <w:tc>
          <w:tcPr>
            <w:tcW w:w="1843" w:type="dxa"/>
            <w:tcBorders>
              <w:top w:val="single" w:sz="2" w:space="0" w:color="auto"/>
              <w:left w:val="single" w:sz="2" w:space="0" w:color="auto"/>
              <w:bottom w:val="single" w:sz="2" w:space="0" w:color="auto"/>
              <w:right w:val="single" w:sz="2" w:space="0" w:color="auto"/>
            </w:tcBorders>
            <w:vAlign w:val="center"/>
          </w:tcPr>
          <w:p w:rsidR="00BA0365" w:rsidRDefault="008D4B2E" w:rsidP="008D4B2E">
            <w:pPr>
              <w:spacing w:line="240" w:lineRule="exact"/>
              <w:jc w:val="right"/>
              <w:rPr>
                <w:rFonts w:ascii="宋体" w:eastAsia="宋体" w:hAnsi="宋体" w:cs="宋体"/>
                <w:sz w:val="18"/>
                <w:szCs w:val="18"/>
              </w:rPr>
            </w:pPr>
            <w:r>
              <w:rPr>
                <w:rFonts w:ascii="宋体" w:eastAsia="宋体" w:hAnsi="宋体" w:cs="宋体"/>
                <w:sz w:val="18"/>
                <w:szCs w:val="18"/>
              </w:rPr>
              <w:t>63.69%</w:t>
            </w:r>
          </w:p>
        </w:tc>
        <w:tc>
          <w:tcPr>
            <w:tcW w:w="1876" w:type="dxa"/>
            <w:tcBorders>
              <w:top w:val="single" w:sz="2" w:space="0" w:color="auto"/>
              <w:left w:val="single" w:sz="2" w:space="0" w:color="auto"/>
              <w:bottom w:val="single" w:sz="2" w:space="0" w:color="auto"/>
              <w:right w:val="single" w:sz="2" w:space="0" w:color="auto"/>
            </w:tcBorders>
            <w:vAlign w:val="center"/>
          </w:tcPr>
          <w:p w:rsidR="00BA0365" w:rsidRDefault="008D4B2E" w:rsidP="008D4B2E">
            <w:pPr>
              <w:spacing w:line="240" w:lineRule="exact"/>
              <w:jc w:val="right"/>
              <w:rPr>
                <w:rFonts w:ascii="宋体" w:eastAsia="宋体" w:hAnsi="宋体" w:cs="宋体"/>
                <w:sz w:val="18"/>
                <w:szCs w:val="18"/>
              </w:rPr>
            </w:pPr>
            <w:r>
              <w:rPr>
                <w:rFonts w:ascii="宋体" w:eastAsia="宋体" w:hAnsi="宋体" w:cs="宋体"/>
                <w:sz w:val="18"/>
                <w:szCs w:val="18"/>
              </w:rPr>
              <w:t>0.1564</w:t>
            </w:r>
          </w:p>
        </w:tc>
      </w:tr>
      <w:tr w:rsidR="00157EA0" w:rsidTr="00220C19">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加权平均净资产收益率</w:t>
            </w:r>
          </w:p>
        </w:tc>
        <w:tc>
          <w:tcPr>
            <w:tcW w:w="1842" w:type="dxa"/>
            <w:tcBorders>
              <w:top w:val="single" w:sz="2" w:space="0" w:color="auto"/>
              <w:left w:val="single" w:sz="2" w:space="0" w:color="auto"/>
              <w:bottom w:val="single" w:sz="2" w:space="0" w:color="auto"/>
              <w:right w:val="single" w:sz="2" w:space="0" w:color="auto"/>
            </w:tcBorders>
            <w:vAlign w:val="center"/>
          </w:tcPr>
          <w:p w:rsidR="00BA0365" w:rsidRDefault="008D4B2E" w:rsidP="008D4B2E">
            <w:pPr>
              <w:spacing w:line="240" w:lineRule="exact"/>
              <w:jc w:val="right"/>
              <w:rPr>
                <w:rFonts w:ascii="宋体" w:eastAsia="宋体" w:hAnsi="宋体" w:cs="宋体"/>
                <w:sz w:val="18"/>
                <w:szCs w:val="18"/>
              </w:rPr>
            </w:pPr>
            <w:r>
              <w:rPr>
                <w:rFonts w:ascii="宋体" w:eastAsia="宋体" w:hAnsi="宋体" w:cs="宋体"/>
                <w:sz w:val="18"/>
                <w:szCs w:val="18"/>
              </w:rPr>
              <w:t>6.63%</w:t>
            </w:r>
          </w:p>
        </w:tc>
        <w:tc>
          <w:tcPr>
            <w:tcW w:w="1843" w:type="dxa"/>
            <w:tcBorders>
              <w:top w:val="single" w:sz="2" w:space="0" w:color="auto"/>
              <w:left w:val="single" w:sz="2" w:space="0" w:color="auto"/>
              <w:bottom w:val="single" w:sz="2" w:space="0" w:color="auto"/>
              <w:right w:val="single" w:sz="2" w:space="0" w:color="auto"/>
            </w:tcBorders>
            <w:vAlign w:val="center"/>
          </w:tcPr>
          <w:p w:rsidR="00BA0365" w:rsidRDefault="008D4B2E" w:rsidP="008D4B2E">
            <w:pPr>
              <w:spacing w:line="240" w:lineRule="exact"/>
              <w:jc w:val="right"/>
              <w:rPr>
                <w:rFonts w:ascii="宋体" w:eastAsia="宋体" w:hAnsi="宋体" w:cs="宋体"/>
                <w:sz w:val="18"/>
                <w:szCs w:val="18"/>
              </w:rPr>
            </w:pPr>
            <w:r>
              <w:rPr>
                <w:rFonts w:ascii="宋体" w:eastAsia="宋体" w:hAnsi="宋体" w:cs="宋体"/>
                <w:sz w:val="18"/>
                <w:szCs w:val="18"/>
              </w:rPr>
              <w:t>4.37%</w:t>
            </w:r>
          </w:p>
        </w:tc>
        <w:tc>
          <w:tcPr>
            <w:tcW w:w="1843" w:type="dxa"/>
            <w:tcBorders>
              <w:top w:val="single" w:sz="2" w:space="0" w:color="auto"/>
              <w:left w:val="single" w:sz="2" w:space="0" w:color="auto"/>
              <w:bottom w:val="single" w:sz="2" w:space="0" w:color="auto"/>
              <w:right w:val="single" w:sz="2" w:space="0" w:color="auto"/>
            </w:tcBorders>
            <w:vAlign w:val="center"/>
          </w:tcPr>
          <w:p w:rsidR="00BA0365" w:rsidRDefault="008D4B2E" w:rsidP="008D4B2E">
            <w:pPr>
              <w:spacing w:line="240" w:lineRule="exact"/>
              <w:jc w:val="right"/>
              <w:rPr>
                <w:rFonts w:ascii="宋体" w:eastAsia="宋体" w:hAnsi="宋体" w:cs="宋体"/>
                <w:sz w:val="18"/>
                <w:szCs w:val="18"/>
              </w:rPr>
            </w:pPr>
            <w:r>
              <w:rPr>
                <w:rFonts w:ascii="宋体" w:eastAsia="宋体" w:hAnsi="宋体" w:cs="宋体"/>
                <w:sz w:val="18"/>
                <w:szCs w:val="18"/>
              </w:rPr>
              <w:t>2.26%</w:t>
            </w:r>
          </w:p>
        </w:tc>
        <w:tc>
          <w:tcPr>
            <w:tcW w:w="1876" w:type="dxa"/>
            <w:tcBorders>
              <w:top w:val="single" w:sz="2" w:space="0" w:color="auto"/>
              <w:left w:val="single" w:sz="2" w:space="0" w:color="auto"/>
              <w:bottom w:val="single" w:sz="2" w:space="0" w:color="auto"/>
              <w:right w:val="single" w:sz="2" w:space="0" w:color="auto"/>
            </w:tcBorders>
            <w:vAlign w:val="center"/>
          </w:tcPr>
          <w:p w:rsidR="00BA0365" w:rsidRDefault="008D4B2E" w:rsidP="008D4B2E">
            <w:pPr>
              <w:spacing w:line="240" w:lineRule="exact"/>
              <w:jc w:val="right"/>
              <w:rPr>
                <w:rFonts w:ascii="宋体" w:eastAsia="宋体" w:hAnsi="宋体" w:cs="宋体"/>
                <w:sz w:val="18"/>
                <w:szCs w:val="18"/>
              </w:rPr>
            </w:pPr>
            <w:r>
              <w:rPr>
                <w:rFonts w:ascii="宋体" w:eastAsia="宋体" w:hAnsi="宋体" w:cs="宋体"/>
                <w:sz w:val="18"/>
                <w:szCs w:val="18"/>
              </w:rPr>
              <w:t>3.28%</w:t>
            </w:r>
          </w:p>
        </w:tc>
      </w:tr>
      <w:tr w:rsidR="00157EA0" w:rsidTr="00220C19">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84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2023年末</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2022年末</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本年末比上年末增减</w:t>
            </w:r>
          </w:p>
        </w:tc>
        <w:tc>
          <w:tcPr>
            <w:tcW w:w="1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2021年末</w:t>
            </w:r>
          </w:p>
        </w:tc>
      </w:tr>
      <w:tr w:rsidR="00157EA0" w:rsidTr="00220C19">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总资产（元）</w:t>
            </w:r>
          </w:p>
        </w:tc>
        <w:tc>
          <w:tcPr>
            <w:tcW w:w="18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15,961,879,130.52</w:t>
            </w:r>
          </w:p>
        </w:tc>
        <w:tc>
          <w:tcPr>
            <w:tcW w:w="184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13,725,145,226.54</w:t>
            </w:r>
          </w:p>
        </w:tc>
        <w:tc>
          <w:tcPr>
            <w:tcW w:w="184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16.30%</w:t>
            </w:r>
          </w:p>
        </w:tc>
        <w:tc>
          <w:tcPr>
            <w:tcW w:w="1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10,867,289,080.28</w:t>
            </w:r>
          </w:p>
        </w:tc>
      </w:tr>
      <w:tr w:rsidR="00157EA0" w:rsidTr="00220C19">
        <w:trPr>
          <w:trHeight w:val="240"/>
        </w:trPr>
        <w:tc>
          <w:tcPr>
            <w:tcW w:w="223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归属于上市公司股东的净资产（元）</w:t>
            </w:r>
          </w:p>
        </w:tc>
        <w:tc>
          <w:tcPr>
            <w:tcW w:w="18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5,287,960,374.22</w:t>
            </w:r>
          </w:p>
        </w:tc>
        <w:tc>
          <w:tcPr>
            <w:tcW w:w="184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4,811,090,771.69</w:t>
            </w:r>
          </w:p>
        </w:tc>
        <w:tc>
          <w:tcPr>
            <w:tcW w:w="184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9.91%</w:t>
            </w:r>
          </w:p>
        </w:tc>
        <w:tc>
          <w:tcPr>
            <w:tcW w:w="1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4,453,572,239.35</w:t>
            </w:r>
          </w:p>
        </w:tc>
      </w:tr>
    </w:tbl>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公司最近三个会计年度扣除非经常性损益</w:t>
      </w:r>
      <w:proofErr w:type="gramStart"/>
      <w:r>
        <w:rPr>
          <w:rFonts w:ascii="宋体" w:eastAsia="宋体" w:hAnsi="宋体" w:cs="宋体"/>
          <w:sz w:val="18"/>
          <w:szCs w:val="18"/>
        </w:rPr>
        <w:t>前后净</w:t>
      </w:r>
      <w:proofErr w:type="gramEnd"/>
      <w:r>
        <w:rPr>
          <w:rFonts w:ascii="宋体" w:eastAsia="宋体" w:hAnsi="宋体" w:cs="宋体"/>
          <w:sz w:val="18"/>
          <w:szCs w:val="18"/>
        </w:rPr>
        <w:t>利润孰低者均为负值，且最近一年审计报告显示公司持续经营能力存在不确定性</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扣除非经常损益前后的净利润孰低者为负值</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BA0365" w:rsidRDefault="008D4B2E">
      <w:pPr>
        <w:pStyle w:val="2"/>
        <w:spacing w:before="300" w:after="300" w:line="320" w:lineRule="exact"/>
        <w:rPr>
          <w:rFonts w:ascii="宋体" w:eastAsia="宋体" w:hAnsi="宋体" w:cs="宋体"/>
          <w:b/>
          <w:bCs/>
          <w:sz w:val="24"/>
          <w:szCs w:val="24"/>
        </w:rPr>
      </w:pPr>
      <w:bookmarkStart w:id="8" w:name="_Toc988897"/>
      <w:r>
        <w:rPr>
          <w:rFonts w:ascii="宋体" w:eastAsia="宋体" w:hAnsi="宋体" w:cs="宋体"/>
          <w:b/>
          <w:bCs/>
          <w:sz w:val="24"/>
          <w:szCs w:val="24"/>
        </w:rPr>
        <w:lastRenderedPageBreak/>
        <w:t>七、境内外会计准则下会计数据差异</w:t>
      </w:r>
      <w:bookmarkEnd w:id="8"/>
    </w:p>
    <w:p w:rsidR="00BA0365" w:rsidRDefault="008D4B2E">
      <w:pPr>
        <w:pStyle w:val="3"/>
        <w:spacing w:line="280" w:lineRule="exact"/>
        <w:jc w:val="left"/>
        <w:rPr>
          <w:rFonts w:ascii="宋体" w:hAnsi="宋体" w:cs="宋体"/>
          <w:b/>
          <w:bCs/>
        </w:rPr>
      </w:pPr>
      <w:bookmarkStart w:id="9" w:name="_Toc988898"/>
      <w:r>
        <w:rPr>
          <w:rFonts w:ascii="宋体" w:hAnsi="宋体" w:cs="宋体"/>
          <w:b/>
          <w:bCs/>
        </w:rPr>
        <w:t>1、同时按照国际会计准则与按照中国会计准则披露的财务</w:t>
      </w:r>
      <w:proofErr w:type="gramStart"/>
      <w:r>
        <w:rPr>
          <w:rFonts w:ascii="宋体" w:hAnsi="宋体" w:cs="宋体"/>
          <w:b/>
          <w:bCs/>
        </w:rPr>
        <w:t>报告中净利润</w:t>
      </w:r>
      <w:proofErr w:type="gramEnd"/>
      <w:r>
        <w:rPr>
          <w:rFonts w:ascii="宋体" w:hAnsi="宋体" w:cs="宋体"/>
          <w:b/>
          <w:bCs/>
        </w:rPr>
        <w:t>和净资产差异情况</w:t>
      </w:r>
      <w:bookmarkEnd w:id="9"/>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公司报告期不存在按照国际会计准则与按照中国会计准则披露的财务</w:t>
      </w:r>
      <w:proofErr w:type="gramStart"/>
      <w:r>
        <w:rPr>
          <w:rFonts w:ascii="宋体" w:eastAsia="宋体" w:hAnsi="宋体" w:cs="宋体"/>
          <w:sz w:val="18"/>
          <w:szCs w:val="18"/>
        </w:rPr>
        <w:t>报告中净利润</w:t>
      </w:r>
      <w:proofErr w:type="gramEnd"/>
      <w:r>
        <w:rPr>
          <w:rFonts w:ascii="宋体" w:eastAsia="宋体" w:hAnsi="宋体" w:cs="宋体"/>
          <w:sz w:val="18"/>
          <w:szCs w:val="18"/>
        </w:rPr>
        <w:t>和净资产差异情况。</w:t>
      </w:r>
    </w:p>
    <w:p w:rsidR="00BA0365" w:rsidRDefault="008D4B2E">
      <w:pPr>
        <w:pStyle w:val="3"/>
        <w:spacing w:line="280" w:lineRule="exact"/>
        <w:jc w:val="left"/>
        <w:rPr>
          <w:rFonts w:ascii="宋体" w:hAnsi="宋体" w:cs="宋体"/>
          <w:b/>
          <w:bCs/>
        </w:rPr>
      </w:pPr>
      <w:bookmarkStart w:id="10" w:name="_Toc988899"/>
      <w:r>
        <w:rPr>
          <w:rFonts w:ascii="宋体" w:hAnsi="宋体" w:cs="宋体"/>
          <w:b/>
          <w:bCs/>
        </w:rPr>
        <w:t>2、同时按照境外会计准则与按照中国会计准则披露的财务</w:t>
      </w:r>
      <w:proofErr w:type="gramStart"/>
      <w:r>
        <w:rPr>
          <w:rFonts w:ascii="宋体" w:hAnsi="宋体" w:cs="宋体"/>
          <w:b/>
          <w:bCs/>
        </w:rPr>
        <w:t>报告中净利润</w:t>
      </w:r>
      <w:proofErr w:type="gramEnd"/>
      <w:r>
        <w:rPr>
          <w:rFonts w:ascii="宋体" w:hAnsi="宋体" w:cs="宋体"/>
          <w:b/>
          <w:bCs/>
        </w:rPr>
        <w:t>和净资产差异情况</w:t>
      </w:r>
      <w:bookmarkEnd w:id="10"/>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公司报告期不存在按照境外会计准则与按照中国会计准则披露的财务</w:t>
      </w:r>
      <w:proofErr w:type="gramStart"/>
      <w:r>
        <w:rPr>
          <w:rFonts w:ascii="宋体" w:eastAsia="宋体" w:hAnsi="宋体" w:cs="宋体"/>
          <w:sz w:val="18"/>
          <w:szCs w:val="18"/>
        </w:rPr>
        <w:t>报告中净利润</w:t>
      </w:r>
      <w:proofErr w:type="gramEnd"/>
      <w:r>
        <w:rPr>
          <w:rFonts w:ascii="宋体" w:eastAsia="宋体" w:hAnsi="宋体" w:cs="宋体"/>
          <w:sz w:val="18"/>
          <w:szCs w:val="18"/>
        </w:rPr>
        <w:t>和净资产差异情况。</w:t>
      </w:r>
    </w:p>
    <w:p w:rsidR="00BA0365" w:rsidRDefault="008D4B2E">
      <w:pPr>
        <w:pStyle w:val="2"/>
        <w:spacing w:before="300" w:after="300" w:line="320" w:lineRule="exact"/>
        <w:rPr>
          <w:rFonts w:ascii="宋体" w:eastAsia="宋体" w:hAnsi="宋体" w:cs="宋体"/>
          <w:b/>
          <w:bCs/>
          <w:sz w:val="24"/>
          <w:szCs w:val="24"/>
        </w:rPr>
      </w:pPr>
      <w:bookmarkStart w:id="11" w:name="_Toc988900"/>
      <w:r>
        <w:rPr>
          <w:rFonts w:ascii="宋体" w:eastAsia="宋体" w:hAnsi="宋体" w:cs="宋体"/>
          <w:b/>
          <w:bCs/>
          <w:sz w:val="24"/>
          <w:szCs w:val="24"/>
        </w:rPr>
        <w:t>八、分季度主要财务指标</w:t>
      </w:r>
      <w:bookmarkEnd w:id="11"/>
    </w:p>
    <w:p w:rsidR="00BA0365" w:rsidRDefault="008D4B2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2660"/>
        <w:gridCol w:w="1843"/>
        <w:gridCol w:w="1701"/>
        <w:gridCol w:w="1701"/>
        <w:gridCol w:w="1734"/>
      </w:tblGrid>
      <w:tr w:rsidR="00157EA0" w:rsidTr="00220C19">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第一季度</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第二季度</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第三季度</w:t>
            </w:r>
          </w:p>
        </w:tc>
        <w:tc>
          <w:tcPr>
            <w:tcW w:w="1734"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第四季度</w:t>
            </w:r>
          </w:p>
        </w:tc>
      </w:tr>
      <w:tr w:rsidR="00157EA0" w:rsidTr="00220C19">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营业收入</w:t>
            </w:r>
          </w:p>
        </w:tc>
        <w:tc>
          <w:tcPr>
            <w:tcW w:w="184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1,194,346,860.71</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1,246,364,904.75</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1,236,619,435.04</w:t>
            </w:r>
          </w:p>
        </w:tc>
        <w:tc>
          <w:tcPr>
            <w:tcW w:w="17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1,970,263,965.49</w:t>
            </w:r>
          </w:p>
        </w:tc>
      </w:tr>
      <w:tr w:rsidR="00157EA0" w:rsidTr="00220C19">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归属于上市公司股东的净利润</w:t>
            </w:r>
          </w:p>
        </w:tc>
        <w:tc>
          <w:tcPr>
            <w:tcW w:w="184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18,647,909.34</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76,530,128.19</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114,453,338.37</w:t>
            </w:r>
          </w:p>
        </w:tc>
        <w:tc>
          <w:tcPr>
            <w:tcW w:w="17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123,518,298.23</w:t>
            </w:r>
          </w:p>
        </w:tc>
      </w:tr>
      <w:tr w:rsidR="00157EA0" w:rsidTr="00220C19">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归属于上市公司股东的扣除非经常性损益的净利润</w:t>
            </w:r>
          </w:p>
        </w:tc>
        <w:tc>
          <w:tcPr>
            <w:tcW w:w="184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11,069,027.90</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49,510,064.27</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107,233,811.49</w:t>
            </w:r>
          </w:p>
        </w:tc>
        <w:tc>
          <w:tcPr>
            <w:tcW w:w="17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94,898,518.74</w:t>
            </w:r>
          </w:p>
        </w:tc>
      </w:tr>
      <w:tr w:rsidR="00157EA0" w:rsidTr="00220C19">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经营活动产生的现金流量净额</w:t>
            </w:r>
          </w:p>
        </w:tc>
        <w:tc>
          <w:tcPr>
            <w:tcW w:w="184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-3,232,443.69</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216,589,035.89</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31,012,167.85</w:t>
            </w:r>
          </w:p>
        </w:tc>
        <w:tc>
          <w:tcPr>
            <w:tcW w:w="17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-12,964,012.48</w:t>
            </w:r>
          </w:p>
        </w:tc>
      </w:tr>
    </w:tbl>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上述财务指标或其加总数是否与公司已披露季度报告、半年度报告相关财务指标存在重大差异</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BA0365" w:rsidRDefault="008D4B2E">
      <w:pPr>
        <w:pStyle w:val="2"/>
        <w:spacing w:before="300" w:after="300" w:line="320" w:lineRule="exact"/>
        <w:rPr>
          <w:rFonts w:ascii="宋体" w:eastAsia="宋体" w:hAnsi="宋体" w:cs="宋体"/>
          <w:b/>
          <w:bCs/>
          <w:sz w:val="24"/>
          <w:szCs w:val="24"/>
        </w:rPr>
      </w:pPr>
      <w:bookmarkStart w:id="12" w:name="_Toc988901"/>
      <w:r>
        <w:rPr>
          <w:rFonts w:ascii="宋体" w:eastAsia="宋体" w:hAnsi="宋体" w:cs="宋体"/>
          <w:b/>
          <w:bCs/>
          <w:sz w:val="24"/>
          <w:szCs w:val="24"/>
        </w:rPr>
        <w:t>九、非经常性损益项目及金额</w:t>
      </w:r>
      <w:bookmarkEnd w:id="12"/>
    </w:p>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BA0365" w:rsidRDefault="008D4B2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3227"/>
        <w:gridCol w:w="1417"/>
        <w:gridCol w:w="1560"/>
        <w:gridCol w:w="1507"/>
        <w:gridCol w:w="1928"/>
      </w:tblGrid>
      <w:tr w:rsidR="00157EA0" w:rsidTr="00220C19">
        <w:trPr>
          <w:trHeight w:val="240"/>
        </w:trPr>
        <w:tc>
          <w:tcPr>
            <w:tcW w:w="322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2023年金额</w:t>
            </w:r>
          </w:p>
        </w:tc>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2022年金额</w:t>
            </w:r>
          </w:p>
        </w:tc>
        <w:tc>
          <w:tcPr>
            <w:tcW w:w="150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2021年金额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说明</w:t>
            </w:r>
          </w:p>
        </w:tc>
      </w:tr>
      <w:tr w:rsidR="00157EA0" w:rsidTr="00220C19">
        <w:trPr>
          <w:trHeight w:val="240"/>
        </w:trPr>
        <w:tc>
          <w:tcPr>
            <w:tcW w:w="322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非流动性资产处置损益（包括已计提资产减值准备的冲销部分）</w:t>
            </w:r>
          </w:p>
        </w:tc>
        <w:tc>
          <w:tcPr>
            <w:tcW w:w="141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1,439,983.31</w:t>
            </w: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7,854,081.29</w:t>
            </w:r>
          </w:p>
        </w:tc>
        <w:tc>
          <w:tcPr>
            <w:tcW w:w="150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-8,108,639.55</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hint="eastAsia"/>
                <w:sz w:val="18"/>
                <w:szCs w:val="18"/>
              </w:rPr>
              <w:t>-</w:t>
            </w:r>
          </w:p>
        </w:tc>
      </w:tr>
      <w:tr w:rsidR="00157EA0" w:rsidTr="00220C19">
        <w:trPr>
          <w:trHeight w:val="240"/>
        </w:trPr>
        <w:tc>
          <w:tcPr>
            <w:tcW w:w="322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计入当期损益的政府补助（与公司正常经营业务密切相关，符合国家政策规定、按照确定的标准享有、对公司损益产生持续影响的政府补助除外）</w:t>
            </w:r>
          </w:p>
        </w:tc>
        <w:tc>
          <w:tcPr>
            <w:tcW w:w="141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32,553,445.69</w:t>
            </w: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38,449,548.20</w:t>
            </w:r>
          </w:p>
        </w:tc>
        <w:tc>
          <w:tcPr>
            <w:tcW w:w="150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33,280,114.99</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hint="eastAsia"/>
                <w:sz w:val="18"/>
                <w:szCs w:val="18"/>
              </w:rPr>
              <w:t>-</w:t>
            </w:r>
          </w:p>
        </w:tc>
      </w:tr>
      <w:tr w:rsidR="00157EA0" w:rsidTr="00220C19">
        <w:trPr>
          <w:trHeight w:val="240"/>
        </w:trPr>
        <w:tc>
          <w:tcPr>
            <w:tcW w:w="322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除同公司正常经营业务相关的有效套期保值业务外，非金融企业持有金融资产和金融负债产生的公允价值变动损益以及处置金融资产和金融负债产生的损益</w:t>
            </w:r>
          </w:p>
        </w:tc>
        <w:tc>
          <w:tcPr>
            <w:tcW w:w="141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-9,712,107.65</w:t>
            </w: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hint="eastAsia"/>
                <w:sz w:val="18"/>
                <w:szCs w:val="18"/>
              </w:rPr>
              <w:t>-</w:t>
            </w:r>
          </w:p>
        </w:tc>
        <w:tc>
          <w:tcPr>
            <w:tcW w:w="150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hint="eastAsia"/>
                <w:sz w:val="18"/>
                <w:szCs w:val="18"/>
              </w:rPr>
              <w:t>-</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主要为本年度持有基金清算所致</w:t>
            </w:r>
          </w:p>
        </w:tc>
      </w:tr>
      <w:tr w:rsidR="00157EA0" w:rsidTr="00220C19">
        <w:trPr>
          <w:trHeight w:val="240"/>
        </w:trPr>
        <w:tc>
          <w:tcPr>
            <w:tcW w:w="322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委托他人投资或管理资产的损益</w:t>
            </w:r>
          </w:p>
        </w:tc>
        <w:tc>
          <w:tcPr>
            <w:tcW w:w="141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51,322,270.12</w:t>
            </w: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36,411,282.16</w:t>
            </w:r>
          </w:p>
        </w:tc>
        <w:tc>
          <w:tcPr>
            <w:tcW w:w="150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48,971,107.99</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本期变动主要是由于理财收益增多所致</w:t>
            </w:r>
          </w:p>
        </w:tc>
      </w:tr>
      <w:tr w:rsidR="00157EA0" w:rsidTr="00220C19">
        <w:trPr>
          <w:trHeight w:val="240"/>
        </w:trPr>
        <w:tc>
          <w:tcPr>
            <w:tcW w:w="322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单独进行减值测试的应收款项减值准备转回</w:t>
            </w:r>
          </w:p>
        </w:tc>
        <w:tc>
          <w:tcPr>
            <w:tcW w:w="141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10,638,414.26</w:t>
            </w: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340,000.00</w:t>
            </w:r>
          </w:p>
        </w:tc>
        <w:tc>
          <w:tcPr>
            <w:tcW w:w="150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4,287,192.51</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本期变动主要是由于收回前期单项计提应收账款所致</w:t>
            </w:r>
          </w:p>
        </w:tc>
      </w:tr>
      <w:tr w:rsidR="00157EA0" w:rsidTr="00220C19">
        <w:trPr>
          <w:trHeight w:val="240"/>
        </w:trPr>
        <w:tc>
          <w:tcPr>
            <w:tcW w:w="322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债务重组损益</w:t>
            </w:r>
          </w:p>
        </w:tc>
        <w:tc>
          <w:tcPr>
            <w:tcW w:w="141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1,589,274.07</w:t>
            </w: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-8,104,968.50</w:t>
            </w:r>
          </w:p>
        </w:tc>
        <w:tc>
          <w:tcPr>
            <w:tcW w:w="150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-172,997.92</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本期变动主要是由于与客户进行的债权债务重组行为较少所致</w:t>
            </w:r>
          </w:p>
        </w:tc>
      </w:tr>
      <w:tr w:rsidR="00157EA0" w:rsidTr="00220C19">
        <w:trPr>
          <w:trHeight w:val="240"/>
        </w:trPr>
        <w:tc>
          <w:tcPr>
            <w:tcW w:w="322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lastRenderedPageBreak/>
              <w:t>除上述各项之外的其他营业外收入和支出</w:t>
            </w:r>
          </w:p>
        </w:tc>
        <w:tc>
          <w:tcPr>
            <w:tcW w:w="141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-89,289.14</w:t>
            </w: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-1,176,507.36</w:t>
            </w:r>
          </w:p>
        </w:tc>
        <w:tc>
          <w:tcPr>
            <w:tcW w:w="150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-1,366,747.29</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hint="eastAsia"/>
                <w:sz w:val="18"/>
                <w:szCs w:val="18"/>
              </w:rPr>
              <w:t>-</w:t>
            </w:r>
          </w:p>
        </w:tc>
      </w:tr>
      <w:tr w:rsidR="00157EA0" w:rsidTr="00220C19">
        <w:trPr>
          <w:trHeight w:val="240"/>
        </w:trPr>
        <w:tc>
          <w:tcPr>
            <w:tcW w:w="322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减：所得税影响额</w:t>
            </w:r>
          </w:p>
        </w:tc>
        <w:tc>
          <w:tcPr>
            <w:tcW w:w="141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13,706,420.35</w:t>
            </w: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11,907,540.40</w:t>
            </w:r>
          </w:p>
        </w:tc>
        <w:tc>
          <w:tcPr>
            <w:tcW w:w="150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11,521,426.69</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hint="eastAsia"/>
                <w:sz w:val="18"/>
                <w:szCs w:val="18"/>
              </w:rPr>
              <w:t>-</w:t>
            </w:r>
          </w:p>
        </w:tc>
      </w:tr>
      <w:tr w:rsidR="00157EA0" w:rsidTr="00220C19">
        <w:trPr>
          <w:trHeight w:val="240"/>
        </w:trPr>
        <w:tc>
          <w:tcPr>
            <w:tcW w:w="322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少数股东权益影响额（税后）</w:t>
            </w:r>
          </w:p>
        </w:tc>
        <w:tc>
          <w:tcPr>
            <w:tcW w:w="141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3,597,318.58</w:t>
            </w: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11,572,769.34</w:t>
            </w:r>
          </w:p>
        </w:tc>
        <w:tc>
          <w:tcPr>
            <w:tcW w:w="150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7,722,850.02</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hint="eastAsia"/>
                <w:sz w:val="18"/>
                <w:szCs w:val="18"/>
              </w:rPr>
              <w:t>-</w:t>
            </w:r>
          </w:p>
        </w:tc>
      </w:tr>
      <w:tr w:rsidR="00157EA0" w:rsidTr="00220C19">
        <w:trPr>
          <w:trHeight w:val="240"/>
        </w:trPr>
        <w:tc>
          <w:tcPr>
            <w:tcW w:w="322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41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70,438,251.73</w:t>
            </w: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50,293,126.05</w:t>
            </w:r>
          </w:p>
        </w:tc>
        <w:tc>
          <w:tcPr>
            <w:tcW w:w="150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57,645,754.02</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shd w:val="clear" w:color="auto" w:fill="D3D3D3"/>
              </w:rPr>
            </w:pPr>
            <w:r>
              <w:rPr>
                <w:rFonts w:ascii="宋体" w:eastAsia="宋体" w:hAnsi="宋体" w:cs="宋体"/>
                <w:sz w:val="18"/>
                <w:szCs w:val="18"/>
                <w:shd w:val="clear" w:color="auto" w:fill="D3D3D3"/>
              </w:rPr>
              <w:t>--</w:t>
            </w:r>
          </w:p>
        </w:tc>
      </w:tr>
    </w:tbl>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其他符合非经常性损益定义的损益项目的具体情况：</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公司不存在其他符合非经常性损益定义的损益项目的具体情况。</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将《公开发行证券的公司信息披露解释性公告第1号——非经常性损益》中列举的非经常性损益项目界定为经常性损益项目的情况说明</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公司不存在将《公开发行证券的公司信息披露解释性公告第1号——非经常性损益》中列举的非经常性损益项目界定为经常性损益的项目的情形。</w:t>
      </w:r>
    </w:p>
    <w:p w:rsidR="00BA0365" w:rsidRDefault="008D4B2E">
      <w:r>
        <w:br w:type="page"/>
      </w:r>
    </w:p>
    <w:p w:rsidR="00BA0365" w:rsidRDefault="008D4B2E">
      <w:pPr>
        <w:pStyle w:val="headingh1"/>
        <w:spacing w:before="340" w:after="330" w:line="773" w:lineRule="exact"/>
        <w:jc w:val="center"/>
        <w:rPr>
          <w:rFonts w:ascii="宋体" w:eastAsia="宋体" w:hAnsi="宋体" w:cs="宋体"/>
          <w:b/>
          <w:bCs/>
          <w:sz w:val="32"/>
          <w:szCs w:val="32"/>
        </w:rPr>
      </w:pPr>
      <w:bookmarkStart w:id="13" w:name="_Toc988902"/>
      <w:r>
        <w:rPr>
          <w:rFonts w:ascii="宋体" w:eastAsia="宋体" w:hAnsi="宋体" w:cs="宋体"/>
          <w:b/>
          <w:bCs/>
          <w:sz w:val="32"/>
          <w:szCs w:val="32"/>
        </w:rPr>
        <w:lastRenderedPageBreak/>
        <w:t>第三节 管理</w:t>
      </w:r>
      <w:proofErr w:type="gramStart"/>
      <w:r>
        <w:rPr>
          <w:rFonts w:ascii="宋体" w:eastAsia="宋体" w:hAnsi="宋体" w:cs="宋体"/>
          <w:b/>
          <w:bCs/>
          <w:sz w:val="32"/>
          <w:szCs w:val="32"/>
        </w:rPr>
        <w:t>层讨论</w:t>
      </w:r>
      <w:proofErr w:type="gramEnd"/>
      <w:r>
        <w:rPr>
          <w:rFonts w:ascii="宋体" w:eastAsia="宋体" w:hAnsi="宋体" w:cs="宋体"/>
          <w:b/>
          <w:bCs/>
          <w:sz w:val="32"/>
          <w:szCs w:val="32"/>
        </w:rPr>
        <w:t>与分析</w:t>
      </w:r>
      <w:bookmarkEnd w:id="13"/>
    </w:p>
    <w:p w:rsidR="00BA0365" w:rsidRDefault="008D4B2E">
      <w:pPr>
        <w:pStyle w:val="2"/>
        <w:spacing w:before="300" w:after="300" w:line="320" w:lineRule="exact"/>
        <w:rPr>
          <w:rFonts w:ascii="宋体" w:eastAsia="宋体" w:hAnsi="宋体" w:cs="宋体"/>
          <w:b/>
          <w:bCs/>
          <w:sz w:val="24"/>
          <w:szCs w:val="24"/>
        </w:rPr>
      </w:pPr>
      <w:bookmarkStart w:id="14" w:name="_Toc988903"/>
      <w:r>
        <w:rPr>
          <w:rFonts w:ascii="宋体" w:eastAsia="宋体" w:hAnsi="宋体" w:cs="宋体"/>
          <w:b/>
          <w:bCs/>
          <w:sz w:val="24"/>
          <w:szCs w:val="24"/>
        </w:rPr>
        <w:t>一、报告期内公司所处行业情况</w:t>
      </w:r>
      <w:bookmarkEnd w:id="14"/>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公司需遵守《深圳证券交易所上市公司自律监管指引第3号——行业信息披露》中化工行业的披露要求</w:t>
      </w:r>
    </w:p>
    <w:p w:rsidR="008D4B2E" w:rsidRDefault="008D4B2E">
      <w:pPr>
        <w:pStyle w:val="a3"/>
        <w:spacing w:before="0" w:beforeAutospacing="0" w:after="0" w:afterAutospacing="0"/>
        <w:ind w:firstLine="360"/>
        <w:divId w:val="2020813861"/>
      </w:pPr>
      <w:r>
        <w:rPr>
          <w:rFonts w:hint="eastAsia"/>
          <w:sz w:val="18"/>
          <w:szCs w:val="18"/>
        </w:rPr>
        <w:t>2023年，全球经济下行压力持续凸显，全球经济总体疲软，在全球产业链调整、俄乌冲突、巴以冲突等事件长期影响下，叠加紧缩货币政策、债务风险上升等周期性因素，主要大型经济体经济周期分化持续加剧；在复杂严峻的国际形势下，我国经济向潜在增速中枢回归，恢复回升态势更趋明显。随着国家一揽子稳增长、扩内需、促消费、提振民营经济等政策密集落地，橡胶工业经济回升向好基础进一步夯实，橡胶机械行业也抓住国家政策持续推出、经济企稳向好的机遇，呈现出稳中向好的态势。公司作为国内橡胶机械领域的龙头企业，报告期内继续稳扎稳打，国内市场签单完成率高，客户结构持续优化；海外市场签单创历史新高，与部分高端客户的合作取得突破性进展，国际团队继续完善。</w:t>
      </w:r>
    </w:p>
    <w:p w:rsidR="008D4B2E" w:rsidRDefault="008D4B2E">
      <w:pPr>
        <w:pStyle w:val="a3"/>
        <w:spacing w:before="0" w:beforeAutospacing="0" w:after="0" w:afterAutospacing="0"/>
        <w:ind w:firstLine="360"/>
        <w:divId w:val="2020813861"/>
      </w:pPr>
      <w:r>
        <w:rPr>
          <w:rFonts w:hint="eastAsia"/>
          <w:sz w:val="18"/>
          <w:szCs w:val="18"/>
        </w:rPr>
        <w:t>2023年，国内化工行业供需矛盾依然突出，尤其是上半年，国内外经济修复不及预期，化工行业下游需求不振，行业景气度震荡下行，但随着下半年国内出台了一系列经济刺激政策，下游需求弱复苏，且受国际环境的影响，部分化工产品价格上涨，行业景气度小幅回暖。报告期内，公司化工行业方面经营质量大幅改善，盘锦伊</w:t>
      </w:r>
      <w:proofErr w:type="gramStart"/>
      <w:r>
        <w:rPr>
          <w:rFonts w:hint="eastAsia"/>
          <w:sz w:val="18"/>
          <w:szCs w:val="18"/>
        </w:rPr>
        <w:t>科思项目</w:t>
      </w:r>
      <w:proofErr w:type="gramEnd"/>
      <w:r>
        <w:rPr>
          <w:rFonts w:hint="eastAsia"/>
          <w:sz w:val="18"/>
          <w:szCs w:val="18"/>
        </w:rPr>
        <w:t>建设顺利推进，新产品研发工作全面展开；益</w:t>
      </w:r>
      <w:proofErr w:type="gramStart"/>
      <w:r>
        <w:rPr>
          <w:rFonts w:hint="eastAsia"/>
          <w:sz w:val="18"/>
          <w:szCs w:val="18"/>
        </w:rPr>
        <w:t>凯</w:t>
      </w:r>
      <w:proofErr w:type="gramEnd"/>
      <w:r>
        <w:rPr>
          <w:rFonts w:hint="eastAsia"/>
          <w:sz w:val="18"/>
          <w:szCs w:val="18"/>
        </w:rPr>
        <w:t>新材料通过网络化的供应链系统搭建，不断优化计划、生产、仓储、物流等业务环节和标准化水平，产品能力不断提升。</w:t>
      </w:r>
    </w:p>
    <w:p w:rsidR="00BA0365" w:rsidRDefault="008D4B2E">
      <w:pPr>
        <w:pStyle w:val="2"/>
        <w:spacing w:before="300" w:after="300" w:line="320" w:lineRule="exact"/>
        <w:rPr>
          <w:rFonts w:ascii="宋体" w:eastAsia="宋体" w:hAnsi="宋体" w:cs="宋体"/>
          <w:b/>
          <w:bCs/>
          <w:sz w:val="24"/>
          <w:szCs w:val="24"/>
        </w:rPr>
      </w:pPr>
      <w:bookmarkStart w:id="15" w:name="_Toc988904"/>
      <w:r>
        <w:rPr>
          <w:rFonts w:ascii="宋体" w:eastAsia="宋体" w:hAnsi="宋体" w:cs="宋体"/>
          <w:b/>
          <w:bCs/>
          <w:sz w:val="24"/>
          <w:szCs w:val="24"/>
        </w:rPr>
        <w:t>二、报告期内公司从事的主要业务</w:t>
      </w:r>
      <w:bookmarkEnd w:id="15"/>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公司需遵守《深圳证券交易所上市公司自律监管指引第3号——行业信息披露》中化工行业的披露要求</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主要原材料的采购模式</w:t>
      </w:r>
    </w:p>
    <w:p w:rsidR="00BA0365" w:rsidRDefault="008D4B2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1242"/>
        <w:gridCol w:w="1970"/>
        <w:gridCol w:w="1606"/>
        <w:gridCol w:w="1607"/>
        <w:gridCol w:w="1607"/>
        <w:gridCol w:w="1607"/>
      </w:tblGrid>
      <w:tr w:rsidR="00157EA0" w:rsidTr="00220C19">
        <w:trPr>
          <w:trHeight w:val="240"/>
        </w:trPr>
        <w:tc>
          <w:tcPr>
            <w:tcW w:w="124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主要原材料</w:t>
            </w:r>
          </w:p>
        </w:tc>
        <w:tc>
          <w:tcPr>
            <w:tcW w:w="197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采购模式</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采购额占采购总额的比例</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结算方式是否发生重大变化</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上半年平均价格</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下半年平均价格</w:t>
            </w:r>
          </w:p>
        </w:tc>
      </w:tr>
      <w:tr w:rsidR="001542D9" w:rsidTr="00220C19">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rPr>
                <w:rFonts w:ascii="宋体" w:eastAsia="宋体" w:hAnsi="宋体" w:cs="宋体"/>
                <w:sz w:val="18"/>
                <w:szCs w:val="18"/>
              </w:rPr>
            </w:pPr>
            <w:r>
              <w:rPr>
                <w:rFonts w:ascii="宋体" w:eastAsia="宋体" w:hAnsi="宋体" w:cs="宋体"/>
                <w:sz w:val="18"/>
                <w:szCs w:val="18"/>
              </w:rPr>
              <w:t>裂解碳五</w:t>
            </w:r>
          </w:p>
        </w:tc>
        <w:tc>
          <w:tcPr>
            <w:tcW w:w="1970"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rPr>
                <w:rFonts w:ascii="宋体" w:eastAsia="宋体" w:hAnsi="宋体" w:cs="宋体"/>
                <w:sz w:val="18"/>
                <w:szCs w:val="18"/>
              </w:rPr>
            </w:pPr>
            <w:r>
              <w:rPr>
                <w:rFonts w:ascii="宋体" w:eastAsia="宋体" w:hAnsi="宋体" w:cs="宋体"/>
                <w:sz w:val="18"/>
                <w:szCs w:val="18"/>
              </w:rPr>
              <w:t>询价购买</w:t>
            </w:r>
          </w:p>
        </w:tc>
        <w:tc>
          <w:tcPr>
            <w:tcW w:w="1606" w:type="dxa"/>
            <w:tcBorders>
              <w:top w:val="single" w:sz="2" w:space="0" w:color="auto"/>
              <w:left w:val="single" w:sz="2" w:space="0" w:color="auto"/>
              <w:bottom w:val="single" w:sz="2" w:space="0" w:color="auto"/>
              <w:right w:val="single" w:sz="2" w:space="0" w:color="auto"/>
            </w:tcBorders>
            <w:vAlign w:val="center"/>
          </w:tcPr>
          <w:p w:rsidR="001542D9" w:rsidRPr="001542D9" w:rsidRDefault="001542D9" w:rsidP="001542D9">
            <w:pPr>
              <w:spacing w:line="240" w:lineRule="exact"/>
              <w:jc w:val="right"/>
              <w:rPr>
                <w:rFonts w:ascii="宋体" w:eastAsia="宋体" w:hAnsi="宋体" w:cs="宋体"/>
                <w:sz w:val="18"/>
                <w:szCs w:val="18"/>
              </w:rPr>
            </w:pPr>
            <w:r w:rsidRPr="001542D9">
              <w:rPr>
                <w:rFonts w:ascii="宋体" w:eastAsia="宋体" w:hAnsi="宋体" w:cs="宋体" w:hint="eastAsia"/>
                <w:sz w:val="18"/>
                <w:szCs w:val="18"/>
              </w:rPr>
              <w:t>43.02%</w:t>
            </w:r>
          </w:p>
        </w:tc>
        <w:tc>
          <w:tcPr>
            <w:tcW w:w="1607"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rPr>
                <w:rFonts w:ascii="宋体" w:eastAsia="宋体" w:hAnsi="宋体" w:cs="宋体"/>
                <w:sz w:val="18"/>
                <w:szCs w:val="18"/>
              </w:rPr>
            </w:pPr>
            <w:r>
              <w:rPr>
                <w:rFonts w:ascii="宋体" w:eastAsia="宋体" w:hAnsi="宋体" w:cs="宋体"/>
                <w:sz w:val="18"/>
                <w:szCs w:val="18"/>
              </w:rPr>
              <w:t>否</w:t>
            </w:r>
          </w:p>
        </w:tc>
        <w:tc>
          <w:tcPr>
            <w:tcW w:w="1607"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r>
              <w:rPr>
                <w:rFonts w:ascii="宋体" w:eastAsia="宋体" w:hAnsi="宋体" w:cs="宋体"/>
                <w:sz w:val="18"/>
                <w:szCs w:val="18"/>
              </w:rPr>
              <w:t>5,012.00</w:t>
            </w:r>
          </w:p>
        </w:tc>
        <w:tc>
          <w:tcPr>
            <w:tcW w:w="1607"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r>
              <w:rPr>
                <w:rFonts w:ascii="宋体" w:eastAsia="宋体" w:hAnsi="宋体" w:cs="宋体"/>
                <w:sz w:val="18"/>
                <w:szCs w:val="18"/>
              </w:rPr>
              <w:t>5,261.00</w:t>
            </w:r>
          </w:p>
        </w:tc>
      </w:tr>
      <w:tr w:rsidR="001542D9" w:rsidTr="00220C19">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rPr>
                <w:rFonts w:ascii="宋体" w:eastAsia="宋体" w:hAnsi="宋体" w:cs="宋体"/>
                <w:sz w:val="18"/>
                <w:szCs w:val="18"/>
              </w:rPr>
            </w:pPr>
            <w:r>
              <w:rPr>
                <w:rFonts w:ascii="宋体" w:eastAsia="宋体" w:hAnsi="宋体" w:cs="宋体"/>
                <w:sz w:val="18"/>
                <w:szCs w:val="18"/>
              </w:rPr>
              <w:t>三异丁基铝</w:t>
            </w:r>
          </w:p>
        </w:tc>
        <w:tc>
          <w:tcPr>
            <w:tcW w:w="1970"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rPr>
                <w:rFonts w:ascii="宋体" w:eastAsia="宋体" w:hAnsi="宋体" w:cs="宋体"/>
                <w:sz w:val="18"/>
                <w:szCs w:val="18"/>
              </w:rPr>
            </w:pPr>
            <w:r>
              <w:rPr>
                <w:rFonts w:ascii="宋体" w:eastAsia="宋体" w:hAnsi="宋体" w:cs="宋体"/>
                <w:sz w:val="18"/>
                <w:szCs w:val="18"/>
              </w:rPr>
              <w:t>询价购买</w:t>
            </w:r>
          </w:p>
        </w:tc>
        <w:tc>
          <w:tcPr>
            <w:tcW w:w="1606" w:type="dxa"/>
            <w:tcBorders>
              <w:top w:val="single" w:sz="2" w:space="0" w:color="auto"/>
              <w:left w:val="single" w:sz="2" w:space="0" w:color="auto"/>
              <w:bottom w:val="single" w:sz="2" w:space="0" w:color="auto"/>
              <w:right w:val="single" w:sz="2" w:space="0" w:color="auto"/>
            </w:tcBorders>
            <w:vAlign w:val="center"/>
          </w:tcPr>
          <w:p w:rsidR="001542D9" w:rsidRPr="001542D9" w:rsidRDefault="001542D9" w:rsidP="001542D9">
            <w:pPr>
              <w:spacing w:line="240" w:lineRule="exact"/>
              <w:jc w:val="right"/>
              <w:rPr>
                <w:rFonts w:ascii="宋体" w:eastAsia="宋体" w:hAnsi="宋体" w:cs="宋体"/>
                <w:sz w:val="18"/>
                <w:szCs w:val="18"/>
              </w:rPr>
            </w:pPr>
            <w:r w:rsidRPr="001542D9">
              <w:rPr>
                <w:rFonts w:ascii="宋体" w:eastAsia="宋体" w:hAnsi="宋体" w:cs="宋体" w:hint="eastAsia"/>
                <w:sz w:val="18"/>
                <w:szCs w:val="18"/>
              </w:rPr>
              <w:t>0.44%</w:t>
            </w:r>
          </w:p>
        </w:tc>
        <w:tc>
          <w:tcPr>
            <w:tcW w:w="1607"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rPr>
                <w:rFonts w:ascii="宋体" w:eastAsia="宋体" w:hAnsi="宋体" w:cs="宋体"/>
                <w:sz w:val="18"/>
                <w:szCs w:val="18"/>
              </w:rPr>
            </w:pPr>
            <w:r>
              <w:rPr>
                <w:rFonts w:ascii="宋体" w:eastAsia="宋体" w:hAnsi="宋体" w:cs="宋体"/>
                <w:sz w:val="18"/>
                <w:szCs w:val="18"/>
              </w:rPr>
              <w:t>否</w:t>
            </w:r>
          </w:p>
        </w:tc>
        <w:tc>
          <w:tcPr>
            <w:tcW w:w="1607"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r>
              <w:rPr>
                <w:rFonts w:ascii="宋体" w:eastAsia="宋体" w:hAnsi="宋体" w:cs="宋体"/>
                <w:sz w:val="18"/>
                <w:szCs w:val="18"/>
              </w:rPr>
              <w:t>97,055.00</w:t>
            </w:r>
          </w:p>
        </w:tc>
        <w:tc>
          <w:tcPr>
            <w:tcW w:w="1607"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r>
              <w:rPr>
                <w:rFonts w:ascii="宋体" w:eastAsia="宋体" w:hAnsi="宋体" w:cs="宋体"/>
                <w:sz w:val="18"/>
                <w:szCs w:val="18"/>
              </w:rPr>
              <w:t>96,568.00</w:t>
            </w:r>
          </w:p>
        </w:tc>
      </w:tr>
      <w:tr w:rsidR="001542D9" w:rsidTr="00220C19">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rPr>
                <w:rFonts w:ascii="宋体" w:eastAsia="宋体" w:hAnsi="宋体" w:cs="宋体"/>
                <w:sz w:val="18"/>
                <w:szCs w:val="18"/>
              </w:rPr>
            </w:pPr>
            <w:r>
              <w:rPr>
                <w:rFonts w:ascii="宋体" w:eastAsia="宋体" w:hAnsi="宋体" w:cs="宋体"/>
                <w:sz w:val="18"/>
                <w:szCs w:val="18"/>
              </w:rPr>
              <w:t>正己烷</w:t>
            </w:r>
          </w:p>
        </w:tc>
        <w:tc>
          <w:tcPr>
            <w:tcW w:w="1970"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rPr>
                <w:rFonts w:ascii="宋体" w:eastAsia="宋体" w:hAnsi="宋体" w:cs="宋体"/>
                <w:sz w:val="18"/>
                <w:szCs w:val="18"/>
              </w:rPr>
            </w:pPr>
            <w:r>
              <w:rPr>
                <w:rFonts w:ascii="宋体" w:eastAsia="宋体" w:hAnsi="宋体" w:cs="宋体"/>
                <w:sz w:val="18"/>
                <w:szCs w:val="18"/>
              </w:rPr>
              <w:t>询价购买</w:t>
            </w:r>
          </w:p>
        </w:tc>
        <w:tc>
          <w:tcPr>
            <w:tcW w:w="1606" w:type="dxa"/>
            <w:tcBorders>
              <w:top w:val="single" w:sz="2" w:space="0" w:color="auto"/>
              <w:left w:val="single" w:sz="2" w:space="0" w:color="auto"/>
              <w:bottom w:val="single" w:sz="2" w:space="0" w:color="auto"/>
              <w:right w:val="single" w:sz="2" w:space="0" w:color="auto"/>
            </w:tcBorders>
            <w:vAlign w:val="center"/>
          </w:tcPr>
          <w:p w:rsidR="001542D9" w:rsidRPr="001542D9" w:rsidRDefault="001542D9" w:rsidP="001542D9">
            <w:pPr>
              <w:spacing w:line="240" w:lineRule="exact"/>
              <w:jc w:val="right"/>
              <w:rPr>
                <w:rFonts w:ascii="宋体" w:eastAsia="宋体" w:hAnsi="宋体" w:cs="宋体"/>
                <w:sz w:val="18"/>
                <w:szCs w:val="18"/>
              </w:rPr>
            </w:pPr>
            <w:r w:rsidRPr="001542D9">
              <w:rPr>
                <w:rFonts w:ascii="宋体" w:eastAsia="宋体" w:hAnsi="宋体" w:cs="宋体" w:hint="eastAsia"/>
                <w:sz w:val="18"/>
                <w:szCs w:val="18"/>
              </w:rPr>
              <w:t>0.55%</w:t>
            </w:r>
          </w:p>
        </w:tc>
        <w:tc>
          <w:tcPr>
            <w:tcW w:w="1607"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rPr>
                <w:rFonts w:ascii="宋体" w:eastAsia="宋体" w:hAnsi="宋体" w:cs="宋体"/>
                <w:sz w:val="18"/>
                <w:szCs w:val="18"/>
              </w:rPr>
            </w:pPr>
            <w:r>
              <w:rPr>
                <w:rFonts w:ascii="宋体" w:eastAsia="宋体" w:hAnsi="宋体" w:cs="宋体"/>
                <w:sz w:val="18"/>
                <w:szCs w:val="18"/>
              </w:rPr>
              <w:t>否</w:t>
            </w:r>
          </w:p>
        </w:tc>
        <w:tc>
          <w:tcPr>
            <w:tcW w:w="1607"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r>
              <w:rPr>
                <w:rFonts w:ascii="宋体" w:eastAsia="宋体" w:hAnsi="宋体" w:cs="宋体"/>
                <w:sz w:val="18"/>
                <w:szCs w:val="18"/>
              </w:rPr>
              <w:t>8,988.00</w:t>
            </w:r>
          </w:p>
        </w:tc>
        <w:tc>
          <w:tcPr>
            <w:tcW w:w="1607"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r>
              <w:rPr>
                <w:rFonts w:ascii="宋体" w:eastAsia="宋体" w:hAnsi="宋体" w:cs="宋体"/>
                <w:sz w:val="18"/>
                <w:szCs w:val="18"/>
              </w:rPr>
              <w:t>10,764.00</w:t>
            </w:r>
          </w:p>
        </w:tc>
      </w:tr>
      <w:tr w:rsidR="001542D9" w:rsidTr="00220C19">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rPr>
                <w:rFonts w:ascii="宋体" w:eastAsia="宋体" w:hAnsi="宋体" w:cs="宋体"/>
                <w:sz w:val="18"/>
                <w:szCs w:val="18"/>
              </w:rPr>
            </w:pPr>
            <w:r>
              <w:rPr>
                <w:rFonts w:ascii="宋体" w:eastAsia="宋体" w:hAnsi="宋体" w:cs="宋体"/>
                <w:sz w:val="18"/>
                <w:szCs w:val="18"/>
              </w:rPr>
              <w:t>白炭黑</w:t>
            </w:r>
          </w:p>
        </w:tc>
        <w:tc>
          <w:tcPr>
            <w:tcW w:w="1970"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rPr>
                <w:rFonts w:ascii="宋体" w:eastAsia="宋体" w:hAnsi="宋体" w:cs="宋体"/>
                <w:sz w:val="18"/>
                <w:szCs w:val="18"/>
              </w:rPr>
            </w:pPr>
            <w:r>
              <w:rPr>
                <w:rFonts w:ascii="宋体" w:eastAsia="宋体" w:hAnsi="宋体" w:cs="宋体"/>
                <w:sz w:val="18"/>
                <w:szCs w:val="18"/>
              </w:rPr>
              <w:t>询价购买</w:t>
            </w:r>
          </w:p>
        </w:tc>
        <w:tc>
          <w:tcPr>
            <w:tcW w:w="1606" w:type="dxa"/>
            <w:tcBorders>
              <w:top w:val="single" w:sz="2" w:space="0" w:color="auto"/>
              <w:left w:val="single" w:sz="2" w:space="0" w:color="auto"/>
              <w:bottom w:val="single" w:sz="2" w:space="0" w:color="auto"/>
              <w:right w:val="single" w:sz="2" w:space="0" w:color="auto"/>
            </w:tcBorders>
            <w:vAlign w:val="center"/>
          </w:tcPr>
          <w:p w:rsidR="001542D9" w:rsidRPr="001542D9" w:rsidRDefault="001542D9" w:rsidP="001542D9">
            <w:pPr>
              <w:spacing w:line="240" w:lineRule="exact"/>
              <w:jc w:val="right"/>
              <w:rPr>
                <w:rFonts w:ascii="宋体" w:eastAsia="宋体" w:hAnsi="宋体" w:cs="宋体"/>
                <w:sz w:val="18"/>
                <w:szCs w:val="18"/>
              </w:rPr>
            </w:pPr>
            <w:r w:rsidRPr="001542D9">
              <w:rPr>
                <w:rFonts w:ascii="宋体" w:eastAsia="宋体" w:hAnsi="宋体" w:cs="宋体" w:hint="eastAsia"/>
                <w:sz w:val="18"/>
                <w:szCs w:val="18"/>
              </w:rPr>
              <w:t>0.22%</w:t>
            </w:r>
          </w:p>
        </w:tc>
        <w:tc>
          <w:tcPr>
            <w:tcW w:w="1607"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rPr>
                <w:rFonts w:ascii="宋体" w:eastAsia="宋体" w:hAnsi="宋体" w:cs="宋体"/>
                <w:sz w:val="18"/>
                <w:szCs w:val="18"/>
              </w:rPr>
            </w:pPr>
            <w:r>
              <w:rPr>
                <w:rFonts w:ascii="宋体" w:eastAsia="宋体" w:hAnsi="宋体" w:cs="宋体"/>
                <w:sz w:val="18"/>
                <w:szCs w:val="18"/>
              </w:rPr>
              <w:t>否</w:t>
            </w:r>
          </w:p>
        </w:tc>
        <w:tc>
          <w:tcPr>
            <w:tcW w:w="1607"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r>
              <w:rPr>
                <w:rFonts w:ascii="宋体" w:eastAsia="宋体" w:hAnsi="宋体" w:cs="宋体"/>
                <w:sz w:val="18"/>
                <w:szCs w:val="18"/>
              </w:rPr>
              <w:t>5,418.00</w:t>
            </w:r>
          </w:p>
        </w:tc>
        <w:tc>
          <w:tcPr>
            <w:tcW w:w="1607"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r>
              <w:rPr>
                <w:rFonts w:ascii="宋体" w:eastAsia="宋体" w:hAnsi="宋体" w:cs="宋体"/>
                <w:sz w:val="18"/>
                <w:szCs w:val="18"/>
              </w:rPr>
              <w:t>5,387.00</w:t>
            </w:r>
          </w:p>
        </w:tc>
      </w:tr>
      <w:tr w:rsidR="001542D9" w:rsidTr="00220C19">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rPr>
                <w:rFonts w:ascii="宋体" w:eastAsia="宋体" w:hAnsi="宋体" w:cs="宋体"/>
                <w:sz w:val="18"/>
                <w:szCs w:val="18"/>
              </w:rPr>
            </w:pPr>
            <w:r>
              <w:rPr>
                <w:rFonts w:ascii="宋体" w:eastAsia="宋体" w:hAnsi="宋体" w:cs="宋体"/>
                <w:sz w:val="18"/>
                <w:szCs w:val="18"/>
              </w:rPr>
              <w:t>乙腈</w:t>
            </w:r>
          </w:p>
        </w:tc>
        <w:tc>
          <w:tcPr>
            <w:tcW w:w="1970"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rPr>
                <w:rFonts w:ascii="宋体" w:eastAsia="宋体" w:hAnsi="宋体" w:cs="宋体"/>
                <w:sz w:val="18"/>
                <w:szCs w:val="18"/>
              </w:rPr>
            </w:pPr>
            <w:r>
              <w:rPr>
                <w:rFonts w:ascii="宋体" w:eastAsia="宋体" w:hAnsi="宋体" w:cs="宋体"/>
                <w:sz w:val="18"/>
                <w:szCs w:val="18"/>
              </w:rPr>
              <w:t>询价购买</w:t>
            </w:r>
          </w:p>
        </w:tc>
        <w:tc>
          <w:tcPr>
            <w:tcW w:w="1606" w:type="dxa"/>
            <w:tcBorders>
              <w:top w:val="single" w:sz="2" w:space="0" w:color="auto"/>
              <w:left w:val="single" w:sz="2" w:space="0" w:color="auto"/>
              <w:bottom w:val="single" w:sz="2" w:space="0" w:color="auto"/>
              <w:right w:val="single" w:sz="2" w:space="0" w:color="auto"/>
            </w:tcBorders>
            <w:vAlign w:val="center"/>
          </w:tcPr>
          <w:p w:rsidR="001542D9" w:rsidRPr="001542D9" w:rsidRDefault="001542D9" w:rsidP="001542D9">
            <w:pPr>
              <w:spacing w:line="240" w:lineRule="exact"/>
              <w:jc w:val="right"/>
              <w:rPr>
                <w:rFonts w:ascii="宋体" w:eastAsia="宋体" w:hAnsi="宋体" w:cs="宋体"/>
                <w:sz w:val="18"/>
                <w:szCs w:val="18"/>
              </w:rPr>
            </w:pPr>
            <w:r w:rsidRPr="001542D9">
              <w:rPr>
                <w:rFonts w:ascii="宋体" w:eastAsia="宋体" w:hAnsi="宋体" w:cs="宋体" w:hint="eastAsia"/>
                <w:sz w:val="18"/>
                <w:szCs w:val="18"/>
              </w:rPr>
              <w:t>0.06%</w:t>
            </w:r>
          </w:p>
        </w:tc>
        <w:tc>
          <w:tcPr>
            <w:tcW w:w="1607"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rPr>
                <w:rFonts w:ascii="宋体" w:eastAsia="宋体" w:hAnsi="宋体" w:cs="宋体"/>
                <w:sz w:val="18"/>
                <w:szCs w:val="18"/>
              </w:rPr>
            </w:pPr>
            <w:r>
              <w:rPr>
                <w:rFonts w:ascii="宋体" w:eastAsia="宋体" w:hAnsi="宋体" w:cs="宋体"/>
                <w:sz w:val="18"/>
                <w:szCs w:val="18"/>
              </w:rPr>
              <w:t>否</w:t>
            </w:r>
          </w:p>
        </w:tc>
        <w:tc>
          <w:tcPr>
            <w:tcW w:w="1607"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r>
              <w:rPr>
                <w:rFonts w:ascii="宋体" w:eastAsia="宋体" w:hAnsi="宋体" w:cs="宋体"/>
                <w:sz w:val="18"/>
                <w:szCs w:val="18"/>
              </w:rPr>
              <w:t>9,992.00</w:t>
            </w:r>
          </w:p>
        </w:tc>
        <w:tc>
          <w:tcPr>
            <w:tcW w:w="1607" w:type="dxa"/>
            <w:tcBorders>
              <w:top w:val="single" w:sz="2" w:space="0" w:color="auto"/>
              <w:left w:val="single" w:sz="2" w:space="0" w:color="auto"/>
              <w:bottom w:val="single" w:sz="2" w:space="0" w:color="auto"/>
              <w:right w:val="single" w:sz="2" w:space="0" w:color="auto"/>
            </w:tcBorders>
            <w:vAlign w:val="center"/>
          </w:tcPr>
          <w:p w:rsidR="001542D9" w:rsidRDefault="0040791A" w:rsidP="001542D9">
            <w:pPr>
              <w:spacing w:line="240" w:lineRule="exact"/>
              <w:jc w:val="right"/>
              <w:rPr>
                <w:rFonts w:ascii="宋体" w:eastAsia="宋体" w:hAnsi="宋体" w:cs="宋体"/>
                <w:sz w:val="18"/>
                <w:szCs w:val="18"/>
              </w:rPr>
            </w:pPr>
            <w:r>
              <w:rPr>
                <w:rFonts w:ascii="宋体" w:eastAsia="宋体" w:hAnsi="宋体" w:cs="宋体" w:hint="eastAsia"/>
                <w:sz w:val="18"/>
                <w:szCs w:val="18"/>
              </w:rPr>
              <w:t>-</w:t>
            </w:r>
          </w:p>
        </w:tc>
      </w:tr>
      <w:tr w:rsidR="001542D9" w:rsidTr="00220C19">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rPr>
                <w:rFonts w:ascii="宋体" w:eastAsia="宋体" w:hAnsi="宋体" w:cs="宋体"/>
                <w:sz w:val="18"/>
                <w:szCs w:val="18"/>
              </w:rPr>
            </w:pPr>
            <w:r>
              <w:rPr>
                <w:rFonts w:ascii="宋体" w:eastAsia="宋体" w:hAnsi="宋体" w:cs="宋体"/>
                <w:sz w:val="18"/>
                <w:szCs w:val="18"/>
              </w:rPr>
              <w:t>异戊胶</w:t>
            </w:r>
          </w:p>
        </w:tc>
        <w:tc>
          <w:tcPr>
            <w:tcW w:w="1970"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rPr>
                <w:rFonts w:ascii="宋体" w:eastAsia="宋体" w:hAnsi="宋体" w:cs="宋体"/>
                <w:sz w:val="18"/>
                <w:szCs w:val="18"/>
              </w:rPr>
            </w:pPr>
            <w:r>
              <w:rPr>
                <w:rFonts w:ascii="宋体" w:eastAsia="宋体" w:hAnsi="宋体" w:cs="宋体"/>
                <w:sz w:val="18"/>
                <w:szCs w:val="18"/>
              </w:rPr>
              <w:t>长约、非</w:t>
            </w:r>
            <w:proofErr w:type="gramStart"/>
            <w:r>
              <w:rPr>
                <w:rFonts w:ascii="宋体" w:eastAsia="宋体" w:hAnsi="宋体" w:cs="宋体"/>
                <w:sz w:val="18"/>
                <w:szCs w:val="18"/>
              </w:rPr>
              <w:t>长约相结合</w:t>
            </w:r>
            <w:proofErr w:type="gramEnd"/>
          </w:p>
        </w:tc>
        <w:tc>
          <w:tcPr>
            <w:tcW w:w="1606" w:type="dxa"/>
            <w:tcBorders>
              <w:top w:val="single" w:sz="2" w:space="0" w:color="auto"/>
              <w:left w:val="single" w:sz="2" w:space="0" w:color="auto"/>
              <w:bottom w:val="single" w:sz="2" w:space="0" w:color="auto"/>
              <w:right w:val="single" w:sz="2" w:space="0" w:color="auto"/>
            </w:tcBorders>
            <w:vAlign w:val="center"/>
          </w:tcPr>
          <w:p w:rsidR="001542D9" w:rsidRPr="001542D9" w:rsidRDefault="001542D9" w:rsidP="001542D9">
            <w:pPr>
              <w:spacing w:line="240" w:lineRule="exact"/>
              <w:jc w:val="right"/>
              <w:rPr>
                <w:rFonts w:ascii="宋体" w:eastAsia="宋体" w:hAnsi="宋体" w:cs="宋体"/>
                <w:sz w:val="18"/>
                <w:szCs w:val="18"/>
              </w:rPr>
            </w:pPr>
            <w:r w:rsidRPr="001542D9">
              <w:rPr>
                <w:rFonts w:ascii="宋体" w:eastAsia="宋体" w:hAnsi="宋体" w:cs="宋体" w:hint="eastAsia"/>
                <w:sz w:val="18"/>
                <w:szCs w:val="18"/>
              </w:rPr>
              <w:t>4.01%</w:t>
            </w:r>
          </w:p>
        </w:tc>
        <w:tc>
          <w:tcPr>
            <w:tcW w:w="1607"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rPr>
                <w:rFonts w:ascii="宋体" w:eastAsia="宋体" w:hAnsi="宋体" w:cs="宋体"/>
                <w:sz w:val="18"/>
                <w:szCs w:val="18"/>
              </w:rPr>
            </w:pPr>
            <w:r>
              <w:rPr>
                <w:rFonts w:ascii="宋体" w:eastAsia="宋体" w:hAnsi="宋体" w:cs="宋体"/>
                <w:sz w:val="18"/>
                <w:szCs w:val="18"/>
              </w:rPr>
              <w:t>否</w:t>
            </w:r>
          </w:p>
        </w:tc>
        <w:tc>
          <w:tcPr>
            <w:tcW w:w="1607"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r>
              <w:rPr>
                <w:rFonts w:ascii="宋体" w:eastAsia="宋体" w:hAnsi="宋体" w:cs="宋体"/>
                <w:sz w:val="18"/>
                <w:szCs w:val="18"/>
              </w:rPr>
              <w:t>10,370.00</w:t>
            </w:r>
          </w:p>
        </w:tc>
        <w:tc>
          <w:tcPr>
            <w:tcW w:w="1607"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r>
              <w:rPr>
                <w:rFonts w:ascii="宋体" w:eastAsia="宋体" w:hAnsi="宋体" w:cs="宋体"/>
                <w:sz w:val="18"/>
                <w:szCs w:val="18"/>
              </w:rPr>
              <w:t>10,690.00</w:t>
            </w:r>
          </w:p>
        </w:tc>
      </w:tr>
      <w:tr w:rsidR="001542D9" w:rsidTr="00220C19">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rPr>
                <w:rFonts w:ascii="宋体" w:eastAsia="宋体" w:hAnsi="宋体" w:cs="宋体"/>
                <w:sz w:val="18"/>
                <w:szCs w:val="18"/>
              </w:rPr>
            </w:pPr>
            <w:r>
              <w:rPr>
                <w:rFonts w:ascii="宋体" w:eastAsia="宋体" w:hAnsi="宋体" w:cs="宋体"/>
                <w:sz w:val="18"/>
                <w:szCs w:val="18"/>
              </w:rPr>
              <w:t>天然胶</w:t>
            </w:r>
          </w:p>
        </w:tc>
        <w:tc>
          <w:tcPr>
            <w:tcW w:w="1970"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rPr>
                <w:rFonts w:ascii="宋体" w:eastAsia="宋体" w:hAnsi="宋体" w:cs="宋体"/>
                <w:sz w:val="18"/>
                <w:szCs w:val="18"/>
              </w:rPr>
            </w:pPr>
            <w:r>
              <w:rPr>
                <w:rFonts w:ascii="宋体" w:eastAsia="宋体" w:hAnsi="宋体" w:cs="宋体"/>
                <w:sz w:val="18"/>
                <w:szCs w:val="18"/>
              </w:rPr>
              <w:t>长约、非</w:t>
            </w:r>
            <w:proofErr w:type="gramStart"/>
            <w:r>
              <w:rPr>
                <w:rFonts w:ascii="宋体" w:eastAsia="宋体" w:hAnsi="宋体" w:cs="宋体"/>
                <w:sz w:val="18"/>
                <w:szCs w:val="18"/>
              </w:rPr>
              <w:t>长约相结合</w:t>
            </w:r>
            <w:proofErr w:type="gramEnd"/>
          </w:p>
        </w:tc>
        <w:tc>
          <w:tcPr>
            <w:tcW w:w="1606" w:type="dxa"/>
            <w:tcBorders>
              <w:top w:val="single" w:sz="2" w:space="0" w:color="auto"/>
              <w:left w:val="single" w:sz="2" w:space="0" w:color="auto"/>
              <w:bottom w:val="single" w:sz="2" w:space="0" w:color="auto"/>
              <w:right w:val="single" w:sz="2" w:space="0" w:color="auto"/>
            </w:tcBorders>
            <w:vAlign w:val="center"/>
          </w:tcPr>
          <w:p w:rsidR="001542D9" w:rsidRPr="001542D9" w:rsidRDefault="001542D9" w:rsidP="001542D9">
            <w:pPr>
              <w:spacing w:line="240" w:lineRule="exact"/>
              <w:jc w:val="right"/>
              <w:rPr>
                <w:rFonts w:ascii="宋体" w:eastAsia="宋体" w:hAnsi="宋体" w:cs="宋体"/>
                <w:sz w:val="18"/>
                <w:szCs w:val="18"/>
              </w:rPr>
            </w:pPr>
            <w:r w:rsidRPr="001542D9">
              <w:rPr>
                <w:rFonts w:ascii="宋体" w:eastAsia="宋体" w:hAnsi="宋体" w:cs="宋体" w:hint="eastAsia"/>
                <w:sz w:val="18"/>
                <w:szCs w:val="18"/>
              </w:rPr>
              <w:t>3.58%</w:t>
            </w:r>
          </w:p>
        </w:tc>
        <w:tc>
          <w:tcPr>
            <w:tcW w:w="1607"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rPr>
                <w:rFonts w:ascii="宋体" w:eastAsia="宋体" w:hAnsi="宋体" w:cs="宋体"/>
                <w:sz w:val="18"/>
                <w:szCs w:val="18"/>
              </w:rPr>
            </w:pPr>
            <w:r>
              <w:rPr>
                <w:rFonts w:ascii="宋体" w:eastAsia="宋体" w:hAnsi="宋体" w:cs="宋体"/>
                <w:sz w:val="18"/>
                <w:szCs w:val="18"/>
              </w:rPr>
              <w:t>否</w:t>
            </w:r>
          </w:p>
        </w:tc>
        <w:tc>
          <w:tcPr>
            <w:tcW w:w="1607"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r>
              <w:rPr>
                <w:rFonts w:ascii="宋体" w:eastAsia="宋体" w:hAnsi="宋体" w:cs="宋体"/>
                <w:sz w:val="18"/>
                <w:szCs w:val="18"/>
              </w:rPr>
              <w:t>12,920.00</w:t>
            </w:r>
          </w:p>
        </w:tc>
        <w:tc>
          <w:tcPr>
            <w:tcW w:w="1607"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r>
              <w:rPr>
                <w:rFonts w:ascii="宋体" w:eastAsia="宋体" w:hAnsi="宋体" w:cs="宋体"/>
                <w:sz w:val="18"/>
                <w:szCs w:val="18"/>
              </w:rPr>
              <w:t>12,920.00</w:t>
            </w:r>
          </w:p>
        </w:tc>
      </w:tr>
      <w:tr w:rsidR="001542D9" w:rsidTr="00220C19">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rPr>
                <w:rFonts w:ascii="宋体" w:eastAsia="宋体" w:hAnsi="宋体" w:cs="宋体"/>
                <w:sz w:val="18"/>
                <w:szCs w:val="18"/>
              </w:rPr>
            </w:pPr>
            <w:r>
              <w:rPr>
                <w:rFonts w:ascii="宋体" w:eastAsia="宋体" w:hAnsi="宋体" w:cs="宋体"/>
                <w:sz w:val="18"/>
                <w:szCs w:val="18"/>
              </w:rPr>
              <w:t>炭黑</w:t>
            </w:r>
          </w:p>
        </w:tc>
        <w:tc>
          <w:tcPr>
            <w:tcW w:w="1970"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rPr>
                <w:rFonts w:ascii="宋体" w:eastAsia="宋体" w:hAnsi="宋体" w:cs="宋体"/>
                <w:sz w:val="18"/>
                <w:szCs w:val="18"/>
              </w:rPr>
            </w:pPr>
            <w:r>
              <w:rPr>
                <w:rFonts w:ascii="宋体" w:eastAsia="宋体" w:hAnsi="宋体" w:cs="宋体"/>
                <w:sz w:val="18"/>
                <w:szCs w:val="18"/>
              </w:rPr>
              <w:t>年度合同</w:t>
            </w:r>
          </w:p>
        </w:tc>
        <w:tc>
          <w:tcPr>
            <w:tcW w:w="1606" w:type="dxa"/>
            <w:tcBorders>
              <w:top w:val="single" w:sz="2" w:space="0" w:color="auto"/>
              <w:left w:val="single" w:sz="2" w:space="0" w:color="auto"/>
              <w:bottom w:val="single" w:sz="2" w:space="0" w:color="auto"/>
              <w:right w:val="single" w:sz="2" w:space="0" w:color="auto"/>
            </w:tcBorders>
            <w:vAlign w:val="center"/>
          </w:tcPr>
          <w:p w:rsidR="001542D9" w:rsidRPr="001542D9" w:rsidRDefault="001542D9" w:rsidP="001542D9">
            <w:pPr>
              <w:spacing w:line="240" w:lineRule="exact"/>
              <w:jc w:val="right"/>
              <w:rPr>
                <w:rFonts w:ascii="宋体" w:eastAsia="宋体" w:hAnsi="宋体" w:cs="宋体"/>
                <w:sz w:val="18"/>
                <w:szCs w:val="18"/>
              </w:rPr>
            </w:pPr>
            <w:r w:rsidRPr="001542D9">
              <w:rPr>
                <w:rFonts w:ascii="宋体" w:eastAsia="宋体" w:hAnsi="宋体" w:cs="宋体" w:hint="eastAsia"/>
                <w:sz w:val="18"/>
                <w:szCs w:val="18"/>
              </w:rPr>
              <w:t>3.25%</w:t>
            </w:r>
          </w:p>
        </w:tc>
        <w:tc>
          <w:tcPr>
            <w:tcW w:w="1607"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rPr>
                <w:rFonts w:ascii="宋体" w:eastAsia="宋体" w:hAnsi="宋体" w:cs="宋体"/>
                <w:sz w:val="18"/>
                <w:szCs w:val="18"/>
              </w:rPr>
            </w:pPr>
            <w:r>
              <w:rPr>
                <w:rFonts w:ascii="宋体" w:eastAsia="宋体" w:hAnsi="宋体" w:cs="宋体"/>
                <w:sz w:val="18"/>
                <w:szCs w:val="18"/>
              </w:rPr>
              <w:t>否</w:t>
            </w:r>
          </w:p>
        </w:tc>
        <w:tc>
          <w:tcPr>
            <w:tcW w:w="1607"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r>
              <w:rPr>
                <w:rFonts w:ascii="宋体" w:eastAsia="宋体" w:hAnsi="宋体" w:cs="宋体"/>
                <w:sz w:val="18"/>
                <w:szCs w:val="18"/>
              </w:rPr>
              <w:t>13,010.00</w:t>
            </w:r>
          </w:p>
        </w:tc>
        <w:tc>
          <w:tcPr>
            <w:tcW w:w="1607"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r>
              <w:rPr>
                <w:rFonts w:ascii="宋体" w:eastAsia="宋体" w:hAnsi="宋体" w:cs="宋体"/>
                <w:sz w:val="18"/>
                <w:szCs w:val="18"/>
              </w:rPr>
              <w:t>13,120.00</w:t>
            </w:r>
          </w:p>
        </w:tc>
      </w:tr>
      <w:tr w:rsidR="001542D9" w:rsidTr="00220C19">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rPr>
                <w:rFonts w:ascii="宋体" w:eastAsia="宋体" w:hAnsi="宋体" w:cs="宋体"/>
                <w:sz w:val="18"/>
                <w:szCs w:val="18"/>
              </w:rPr>
            </w:pPr>
            <w:proofErr w:type="gramStart"/>
            <w:r>
              <w:rPr>
                <w:rFonts w:ascii="宋体" w:eastAsia="宋体" w:hAnsi="宋体" w:cs="宋体"/>
                <w:sz w:val="18"/>
                <w:szCs w:val="18"/>
              </w:rPr>
              <w:t>烟混胶</w:t>
            </w:r>
            <w:proofErr w:type="gramEnd"/>
          </w:p>
        </w:tc>
        <w:tc>
          <w:tcPr>
            <w:tcW w:w="1970"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rPr>
                <w:rFonts w:ascii="宋体" w:eastAsia="宋体" w:hAnsi="宋体" w:cs="宋体"/>
                <w:sz w:val="18"/>
                <w:szCs w:val="18"/>
              </w:rPr>
            </w:pPr>
            <w:r>
              <w:rPr>
                <w:rFonts w:ascii="宋体" w:eastAsia="宋体" w:hAnsi="宋体" w:cs="宋体"/>
                <w:sz w:val="18"/>
                <w:szCs w:val="18"/>
              </w:rPr>
              <w:t>非长约</w:t>
            </w:r>
          </w:p>
        </w:tc>
        <w:tc>
          <w:tcPr>
            <w:tcW w:w="1606" w:type="dxa"/>
            <w:tcBorders>
              <w:top w:val="single" w:sz="2" w:space="0" w:color="auto"/>
              <w:left w:val="single" w:sz="2" w:space="0" w:color="auto"/>
              <w:bottom w:val="single" w:sz="2" w:space="0" w:color="auto"/>
              <w:right w:val="single" w:sz="2" w:space="0" w:color="auto"/>
            </w:tcBorders>
            <w:vAlign w:val="center"/>
          </w:tcPr>
          <w:p w:rsidR="001542D9" w:rsidRPr="001542D9" w:rsidRDefault="001542D9" w:rsidP="001542D9">
            <w:pPr>
              <w:spacing w:line="240" w:lineRule="exact"/>
              <w:jc w:val="right"/>
              <w:rPr>
                <w:rFonts w:ascii="宋体" w:eastAsia="宋体" w:hAnsi="宋体" w:cs="宋体"/>
                <w:sz w:val="18"/>
                <w:szCs w:val="18"/>
              </w:rPr>
            </w:pPr>
            <w:r w:rsidRPr="001542D9">
              <w:rPr>
                <w:rFonts w:ascii="宋体" w:eastAsia="宋体" w:hAnsi="宋体" w:cs="宋体" w:hint="eastAsia"/>
                <w:sz w:val="18"/>
                <w:szCs w:val="18"/>
              </w:rPr>
              <w:t>2.88%</w:t>
            </w:r>
          </w:p>
        </w:tc>
        <w:tc>
          <w:tcPr>
            <w:tcW w:w="1607"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rPr>
                <w:rFonts w:ascii="宋体" w:eastAsia="宋体" w:hAnsi="宋体" w:cs="宋体"/>
                <w:sz w:val="18"/>
                <w:szCs w:val="18"/>
              </w:rPr>
            </w:pPr>
            <w:r>
              <w:rPr>
                <w:rFonts w:ascii="宋体" w:eastAsia="宋体" w:hAnsi="宋体" w:cs="宋体"/>
                <w:sz w:val="18"/>
                <w:szCs w:val="18"/>
              </w:rPr>
              <w:t>否</w:t>
            </w:r>
          </w:p>
        </w:tc>
        <w:tc>
          <w:tcPr>
            <w:tcW w:w="1607"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r>
              <w:rPr>
                <w:rFonts w:ascii="宋体" w:eastAsia="宋体" w:hAnsi="宋体" w:cs="宋体"/>
                <w:sz w:val="18"/>
                <w:szCs w:val="18"/>
              </w:rPr>
              <w:t>11,410.00</w:t>
            </w:r>
          </w:p>
        </w:tc>
        <w:tc>
          <w:tcPr>
            <w:tcW w:w="1607"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r>
              <w:rPr>
                <w:rFonts w:ascii="宋体" w:eastAsia="宋体" w:hAnsi="宋体" w:cs="宋体"/>
                <w:sz w:val="18"/>
                <w:szCs w:val="18"/>
              </w:rPr>
              <w:t>11,540.00</w:t>
            </w:r>
          </w:p>
        </w:tc>
      </w:tr>
      <w:tr w:rsidR="001542D9" w:rsidTr="00220C19">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rPr>
                <w:rFonts w:ascii="宋体" w:eastAsia="宋体" w:hAnsi="宋体" w:cs="宋体"/>
                <w:sz w:val="18"/>
                <w:szCs w:val="18"/>
              </w:rPr>
            </w:pPr>
            <w:r>
              <w:rPr>
                <w:rFonts w:ascii="宋体" w:eastAsia="宋体" w:hAnsi="宋体" w:cs="宋体"/>
                <w:sz w:val="18"/>
                <w:szCs w:val="18"/>
              </w:rPr>
              <w:t>丙烯</w:t>
            </w:r>
          </w:p>
        </w:tc>
        <w:tc>
          <w:tcPr>
            <w:tcW w:w="1970"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rPr>
                <w:rFonts w:ascii="宋体" w:eastAsia="宋体" w:hAnsi="宋体" w:cs="宋体"/>
                <w:sz w:val="18"/>
                <w:szCs w:val="18"/>
              </w:rPr>
            </w:pPr>
            <w:r>
              <w:rPr>
                <w:rFonts w:ascii="宋体" w:eastAsia="宋体" w:hAnsi="宋体" w:cs="宋体"/>
                <w:sz w:val="18"/>
                <w:szCs w:val="18"/>
              </w:rPr>
              <w:t>长约、非</w:t>
            </w:r>
            <w:proofErr w:type="gramStart"/>
            <w:r>
              <w:rPr>
                <w:rFonts w:ascii="宋体" w:eastAsia="宋体" w:hAnsi="宋体" w:cs="宋体"/>
                <w:sz w:val="18"/>
                <w:szCs w:val="18"/>
              </w:rPr>
              <w:t>长约相结合</w:t>
            </w:r>
            <w:proofErr w:type="gramEnd"/>
          </w:p>
        </w:tc>
        <w:tc>
          <w:tcPr>
            <w:tcW w:w="1606" w:type="dxa"/>
            <w:tcBorders>
              <w:top w:val="single" w:sz="2" w:space="0" w:color="auto"/>
              <w:left w:val="single" w:sz="2" w:space="0" w:color="auto"/>
              <w:bottom w:val="single" w:sz="2" w:space="0" w:color="auto"/>
              <w:right w:val="single" w:sz="2" w:space="0" w:color="auto"/>
            </w:tcBorders>
            <w:vAlign w:val="center"/>
          </w:tcPr>
          <w:p w:rsidR="001542D9" w:rsidRPr="001542D9" w:rsidRDefault="001542D9" w:rsidP="001542D9">
            <w:pPr>
              <w:spacing w:line="240" w:lineRule="exact"/>
              <w:jc w:val="right"/>
              <w:rPr>
                <w:rFonts w:ascii="宋体" w:eastAsia="宋体" w:hAnsi="宋体" w:cs="宋体"/>
                <w:sz w:val="18"/>
                <w:szCs w:val="18"/>
              </w:rPr>
            </w:pPr>
            <w:r w:rsidRPr="001542D9">
              <w:rPr>
                <w:rFonts w:ascii="宋体" w:eastAsia="宋体" w:hAnsi="宋体" w:cs="宋体" w:hint="eastAsia"/>
                <w:sz w:val="18"/>
                <w:szCs w:val="18"/>
              </w:rPr>
              <w:t>2.80%</w:t>
            </w:r>
          </w:p>
        </w:tc>
        <w:tc>
          <w:tcPr>
            <w:tcW w:w="1607"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rPr>
                <w:rFonts w:ascii="宋体" w:eastAsia="宋体" w:hAnsi="宋体" w:cs="宋体"/>
                <w:sz w:val="18"/>
                <w:szCs w:val="18"/>
              </w:rPr>
            </w:pPr>
            <w:r>
              <w:rPr>
                <w:rFonts w:ascii="宋体" w:eastAsia="宋体" w:hAnsi="宋体" w:cs="宋体"/>
                <w:sz w:val="18"/>
                <w:szCs w:val="18"/>
              </w:rPr>
              <w:t>否</w:t>
            </w:r>
          </w:p>
        </w:tc>
        <w:tc>
          <w:tcPr>
            <w:tcW w:w="1607"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r>
              <w:rPr>
                <w:rFonts w:ascii="宋体" w:eastAsia="宋体" w:hAnsi="宋体" w:cs="宋体"/>
                <w:sz w:val="18"/>
                <w:szCs w:val="18"/>
              </w:rPr>
              <w:t>10,170.00</w:t>
            </w:r>
          </w:p>
        </w:tc>
        <w:tc>
          <w:tcPr>
            <w:tcW w:w="1607"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r>
              <w:rPr>
                <w:rFonts w:ascii="宋体" w:eastAsia="宋体" w:hAnsi="宋体" w:cs="宋体"/>
                <w:sz w:val="18"/>
                <w:szCs w:val="18"/>
              </w:rPr>
              <w:t>10,090.00</w:t>
            </w:r>
          </w:p>
        </w:tc>
      </w:tr>
      <w:tr w:rsidR="001542D9" w:rsidTr="00220C19">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rPr>
                <w:rFonts w:ascii="宋体" w:eastAsia="宋体" w:hAnsi="宋体" w:cs="宋体"/>
                <w:sz w:val="18"/>
                <w:szCs w:val="18"/>
              </w:rPr>
            </w:pPr>
            <w:r>
              <w:rPr>
                <w:rFonts w:ascii="宋体" w:eastAsia="宋体" w:hAnsi="宋体" w:cs="宋体"/>
                <w:sz w:val="18"/>
                <w:szCs w:val="18"/>
              </w:rPr>
              <w:t>白炭黑</w:t>
            </w:r>
          </w:p>
        </w:tc>
        <w:tc>
          <w:tcPr>
            <w:tcW w:w="1970"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rPr>
                <w:rFonts w:ascii="宋体" w:eastAsia="宋体" w:hAnsi="宋体" w:cs="宋体"/>
                <w:sz w:val="18"/>
                <w:szCs w:val="18"/>
              </w:rPr>
            </w:pPr>
            <w:r>
              <w:rPr>
                <w:rFonts w:ascii="宋体" w:eastAsia="宋体" w:hAnsi="宋体" w:cs="宋体"/>
                <w:sz w:val="18"/>
                <w:szCs w:val="18"/>
              </w:rPr>
              <w:t>询价购买</w:t>
            </w:r>
          </w:p>
        </w:tc>
        <w:tc>
          <w:tcPr>
            <w:tcW w:w="1606" w:type="dxa"/>
            <w:tcBorders>
              <w:top w:val="single" w:sz="2" w:space="0" w:color="auto"/>
              <w:left w:val="single" w:sz="2" w:space="0" w:color="auto"/>
              <w:bottom w:val="single" w:sz="2" w:space="0" w:color="auto"/>
              <w:right w:val="single" w:sz="2" w:space="0" w:color="auto"/>
            </w:tcBorders>
            <w:vAlign w:val="center"/>
          </w:tcPr>
          <w:p w:rsidR="001542D9" w:rsidRPr="001542D9" w:rsidRDefault="001542D9" w:rsidP="001542D9">
            <w:pPr>
              <w:spacing w:line="240" w:lineRule="exact"/>
              <w:jc w:val="right"/>
              <w:rPr>
                <w:rFonts w:ascii="宋体" w:eastAsia="宋体" w:hAnsi="宋体" w:cs="宋体"/>
                <w:sz w:val="18"/>
                <w:szCs w:val="18"/>
              </w:rPr>
            </w:pPr>
            <w:r w:rsidRPr="001542D9">
              <w:rPr>
                <w:rFonts w:ascii="宋体" w:eastAsia="宋体" w:hAnsi="宋体" w:cs="宋体" w:hint="eastAsia"/>
                <w:sz w:val="18"/>
                <w:szCs w:val="18"/>
              </w:rPr>
              <w:t>1.96%</w:t>
            </w:r>
          </w:p>
        </w:tc>
        <w:tc>
          <w:tcPr>
            <w:tcW w:w="1607"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rPr>
                <w:rFonts w:ascii="宋体" w:eastAsia="宋体" w:hAnsi="宋体" w:cs="宋体"/>
                <w:sz w:val="18"/>
                <w:szCs w:val="18"/>
              </w:rPr>
            </w:pPr>
            <w:r>
              <w:rPr>
                <w:rFonts w:ascii="宋体" w:eastAsia="宋体" w:hAnsi="宋体" w:cs="宋体"/>
                <w:sz w:val="18"/>
                <w:szCs w:val="18"/>
              </w:rPr>
              <w:t>否</w:t>
            </w:r>
          </w:p>
        </w:tc>
        <w:tc>
          <w:tcPr>
            <w:tcW w:w="1607"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r>
              <w:rPr>
                <w:rFonts w:ascii="宋体" w:eastAsia="宋体" w:hAnsi="宋体" w:cs="宋体"/>
                <w:sz w:val="18"/>
                <w:szCs w:val="18"/>
              </w:rPr>
              <w:t>4,350.00</w:t>
            </w:r>
          </w:p>
        </w:tc>
        <w:tc>
          <w:tcPr>
            <w:tcW w:w="1607"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r>
              <w:rPr>
                <w:rFonts w:ascii="宋体" w:eastAsia="宋体" w:hAnsi="宋体" w:cs="宋体"/>
                <w:sz w:val="18"/>
                <w:szCs w:val="18"/>
              </w:rPr>
              <w:t>4,510.00</w:t>
            </w:r>
          </w:p>
        </w:tc>
      </w:tr>
      <w:tr w:rsidR="001542D9" w:rsidTr="00220C19">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rPr>
                <w:rFonts w:ascii="宋体" w:eastAsia="宋体" w:hAnsi="宋体" w:cs="宋体"/>
                <w:sz w:val="18"/>
                <w:szCs w:val="18"/>
              </w:rPr>
            </w:pPr>
            <w:r>
              <w:rPr>
                <w:rFonts w:ascii="宋体" w:eastAsia="宋体" w:hAnsi="宋体" w:cs="宋体"/>
                <w:sz w:val="18"/>
                <w:szCs w:val="18"/>
              </w:rPr>
              <w:t>乙烯</w:t>
            </w:r>
          </w:p>
        </w:tc>
        <w:tc>
          <w:tcPr>
            <w:tcW w:w="1970"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rPr>
                <w:rFonts w:ascii="宋体" w:eastAsia="宋体" w:hAnsi="宋体" w:cs="宋体"/>
                <w:sz w:val="18"/>
                <w:szCs w:val="18"/>
              </w:rPr>
            </w:pPr>
            <w:r>
              <w:rPr>
                <w:rFonts w:ascii="宋体" w:eastAsia="宋体" w:hAnsi="宋体" w:cs="宋体"/>
                <w:sz w:val="18"/>
                <w:szCs w:val="18"/>
              </w:rPr>
              <w:t>非长约</w:t>
            </w:r>
          </w:p>
        </w:tc>
        <w:tc>
          <w:tcPr>
            <w:tcW w:w="1606" w:type="dxa"/>
            <w:tcBorders>
              <w:top w:val="single" w:sz="2" w:space="0" w:color="auto"/>
              <w:left w:val="single" w:sz="2" w:space="0" w:color="auto"/>
              <w:bottom w:val="single" w:sz="2" w:space="0" w:color="auto"/>
              <w:right w:val="single" w:sz="2" w:space="0" w:color="auto"/>
            </w:tcBorders>
            <w:vAlign w:val="center"/>
          </w:tcPr>
          <w:p w:rsidR="001542D9" w:rsidRPr="001542D9" w:rsidRDefault="001542D9" w:rsidP="001542D9">
            <w:pPr>
              <w:spacing w:line="240" w:lineRule="exact"/>
              <w:jc w:val="right"/>
              <w:rPr>
                <w:rFonts w:ascii="宋体" w:eastAsia="宋体" w:hAnsi="宋体" w:cs="宋体"/>
                <w:sz w:val="18"/>
                <w:szCs w:val="18"/>
              </w:rPr>
            </w:pPr>
            <w:r w:rsidRPr="001542D9">
              <w:rPr>
                <w:rFonts w:ascii="宋体" w:eastAsia="宋体" w:hAnsi="宋体" w:cs="宋体" w:hint="eastAsia"/>
                <w:sz w:val="18"/>
                <w:szCs w:val="18"/>
              </w:rPr>
              <w:t>1.68%</w:t>
            </w:r>
          </w:p>
        </w:tc>
        <w:tc>
          <w:tcPr>
            <w:tcW w:w="1607"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rPr>
                <w:rFonts w:ascii="宋体" w:eastAsia="宋体" w:hAnsi="宋体" w:cs="宋体"/>
                <w:sz w:val="18"/>
                <w:szCs w:val="18"/>
              </w:rPr>
            </w:pPr>
            <w:r>
              <w:rPr>
                <w:rFonts w:ascii="宋体" w:eastAsia="宋体" w:hAnsi="宋体" w:cs="宋体"/>
                <w:sz w:val="18"/>
                <w:szCs w:val="18"/>
              </w:rPr>
              <w:t>否</w:t>
            </w:r>
          </w:p>
        </w:tc>
        <w:tc>
          <w:tcPr>
            <w:tcW w:w="1607"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r>
              <w:rPr>
                <w:rFonts w:ascii="宋体" w:eastAsia="宋体" w:hAnsi="宋体" w:cs="宋体"/>
                <w:sz w:val="18"/>
                <w:szCs w:val="18"/>
              </w:rPr>
              <w:t>10,340.00</w:t>
            </w:r>
          </w:p>
        </w:tc>
        <w:tc>
          <w:tcPr>
            <w:tcW w:w="1607"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r>
              <w:rPr>
                <w:rFonts w:ascii="宋体" w:eastAsia="宋体" w:hAnsi="宋体" w:cs="宋体"/>
                <w:sz w:val="18"/>
                <w:szCs w:val="18"/>
              </w:rPr>
              <w:t>10,530.00</w:t>
            </w:r>
          </w:p>
        </w:tc>
      </w:tr>
      <w:tr w:rsidR="001542D9" w:rsidTr="00220C19">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rPr>
                <w:rFonts w:ascii="宋体" w:eastAsia="宋体" w:hAnsi="宋体" w:cs="宋体"/>
                <w:sz w:val="18"/>
                <w:szCs w:val="18"/>
              </w:rPr>
            </w:pPr>
            <w:r>
              <w:rPr>
                <w:rFonts w:ascii="宋体" w:eastAsia="宋体" w:hAnsi="宋体" w:cs="宋体"/>
                <w:sz w:val="18"/>
                <w:szCs w:val="18"/>
              </w:rPr>
              <w:t>标胶</w:t>
            </w:r>
          </w:p>
        </w:tc>
        <w:tc>
          <w:tcPr>
            <w:tcW w:w="1970"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rPr>
                <w:rFonts w:ascii="宋体" w:eastAsia="宋体" w:hAnsi="宋体" w:cs="宋体"/>
                <w:sz w:val="18"/>
                <w:szCs w:val="18"/>
              </w:rPr>
            </w:pPr>
            <w:r>
              <w:rPr>
                <w:rFonts w:ascii="宋体" w:eastAsia="宋体" w:hAnsi="宋体" w:cs="宋体"/>
                <w:sz w:val="18"/>
                <w:szCs w:val="18"/>
              </w:rPr>
              <w:t>非长约</w:t>
            </w:r>
          </w:p>
        </w:tc>
        <w:tc>
          <w:tcPr>
            <w:tcW w:w="1606" w:type="dxa"/>
            <w:tcBorders>
              <w:top w:val="single" w:sz="2" w:space="0" w:color="auto"/>
              <w:left w:val="single" w:sz="2" w:space="0" w:color="auto"/>
              <w:bottom w:val="single" w:sz="2" w:space="0" w:color="auto"/>
              <w:right w:val="single" w:sz="2" w:space="0" w:color="auto"/>
            </w:tcBorders>
            <w:vAlign w:val="center"/>
          </w:tcPr>
          <w:p w:rsidR="001542D9" w:rsidRPr="001542D9" w:rsidRDefault="001542D9" w:rsidP="001542D9">
            <w:pPr>
              <w:spacing w:line="240" w:lineRule="exact"/>
              <w:jc w:val="right"/>
              <w:rPr>
                <w:rFonts w:ascii="宋体" w:eastAsia="宋体" w:hAnsi="宋体" w:cs="宋体"/>
                <w:sz w:val="18"/>
                <w:szCs w:val="18"/>
              </w:rPr>
            </w:pPr>
            <w:r w:rsidRPr="001542D9">
              <w:rPr>
                <w:rFonts w:ascii="宋体" w:eastAsia="宋体" w:hAnsi="宋体" w:cs="宋体" w:hint="eastAsia"/>
                <w:sz w:val="18"/>
                <w:szCs w:val="18"/>
              </w:rPr>
              <w:t>1.62%</w:t>
            </w:r>
          </w:p>
        </w:tc>
        <w:tc>
          <w:tcPr>
            <w:tcW w:w="1607"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rPr>
                <w:rFonts w:ascii="宋体" w:eastAsia="宋体" w:hAnsi="宋体" w:cs="宋体"/>
                <w:sz w:val="18"/>
                <w:szCs w:val="18"/>
              </w:rPr>
            </w:pPr>
            <w:r>
              <w:rPr>
                <w:rFonts w:ascii="宋体" w:eastAsia="宋体" w:hAnsi="宋体" w:cs="宋体"/>
                <w:sz w:val="18"/>
                <w:szCs w:val="18"/>
              </w:rPr>
              <w:t>否</w:t>
            </w:r>
          </w:p>
        </w:tc>
        <w:tc>
          <w:tcPr>
            <w:tcW w:w="1607"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r>
              <w:rPr>
                <w:rFonts w:ascii="宋体" w:eastAsia="宋体" w:hAnsi="宋体" w:cs="宋体"/>
                <w:sz w:val="18"/>
                <w:szCs w:val="18"/>
              </w:rPr>
              <w:t>9,770.00</w:t>
            </w:r>
          </w:p>
        </w:tc>
        <w:tc>
          <w:tcPr>
            <w:tcW w:w="1607"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r>
              <w:rPr>
                <w:rFonts w:ascii="宋体" w:eastAsia="宋体" w:hAnsi="宋体" w:cs="宋体"/>
                <w:sz w:val="18"/>
                <w:szCs w:val="18"/>
              </w:rPr>
              <w:t>10,440.00</w:t>
            </w:r>
          </w:p>
        </w:tc>
      </w:tr>
      <w:tr w:rsidR="001542D9" w:rsidTr="00220C19">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rPr>
                <w:rFonts w:ascii="宋体" w:eastAsia="宋体" w:hAnsi="宋体" w:cs="宋体"/>
                <w:sz w:val="18"/>
                <w:szCs w:val="18"/>
              </w:rPr>
            </w:pPr>
            <w:proofErr w:type="gramStart"/>
            <w:r>
              <w:rPr>
                <w:rFonts w:ascii="宋体" w:eastAsia="宋体" w:hAnsi="宋体" w:cs="宋体"/>
                <w:sz w:val="18"/>
                <w:szCs w:val="18"/>
              </w:rPr>
              <w:t>特标炭黑</w:t>
            </w:r>
            <w:proofErr w:type="gramEnd"/>
          </w:p>
        </w:tc>
        <w:tc>
          <w:tcPr>
            <w:tcW w:w="1970"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rPr>
                <w:rFonts w:ascii="宋体" w:eastAsia="宋体" w:hAnsi="宋体" w:cs="宋体"/>
                <w:sz w:val="18"/>
                <w:szCs w:val="18"/>
              </w:rPr>
            </w:pPr>
            <w:r>
              <w:rPr>
                <w:rFonts w:ascii="宋体" w:eastAsia="宋体" w:hAnsi="宋体" w:cs="宋体"/>
                <w:sz w:val="18"/>
                <w:szCs w:val="18"/>
              </w:rPr>
              <w:t>年度合同</w:t>
            </w:r>
          </w:p>
        </w:tc>
        <w:tc>
          <w:tcPr>
            <w:tcW w:w="1606" w:type="dxa"/>
            <w:tcBorders>
              <w:top w:val="single" w:sz="2" w:space="0" w:color="auto"/>
              <w:left w:val="single" w:sz="2" w:space="0" w:color="auto"/>
              <w:bottom w:val="single" w:sz="2" w:space="0" w:color="auto"/>
              <w:right w:val="single" w:sz="2" w:space="0" w:color="auto"/>
            </w:tcBorders>
            <w:vAlign w:val="center"/>
          </w:tcPr>
          <w:p w:rsidR="001542D9" w:rsidRPr="001542D9" w:rsidRDefault="001542D9" w:rsidP="001542D9">
            <w:pPr>
              <w:spacing w:line="240" w:lineRule="exact"/>
              <w:jc w:val="right"/>
              <w:rPr>
                <w:rFonts w:ascii="宋体" w:eastAsia="宋体" w:hAnsi="宋体" w:cs="宋体"/>
                <w:sz w:val="18"/>
                <w:szCs w:val="18"/>
              </w:rPr>
            </w:pPr>
            <w:r w:rsidRPr="001542D9">
              <w:rPr>
                <w:rFonts w:ascii="宋体" w:eastAsia="宋体" w:hAnsi="宋体" w:cs="宋体" w:hint="eastAsia"/>
                <w:sz w:val="18"/>
                <w:szCs w:val="18"/>
              </w:rPr>
              <w:t>1.22%</w:t>
            </w:r>
          </w:p>
        </w:tc>
        <w:tc>
          <w:tcPr>
            <w:tcW w:w="1607"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rPr>
                <w:rFonts w:ascii="宋体" w:eastAsia="宋体" w:hAnsi="宋体" w:cs="宋体"/>
                <w:sz w:val="18"/>
                <w:szCs w:val="18"/>
              </w:rPr>
            </w:pPr>
            <w:r>
              <w:rPr>
                <w:rFonts w:ascii="宋体" w:eastAsia="宋体" w:hAnsi="宋体" w:cs="宋体"/>
                <w:sz w:val="18"/>
                <w:szCs w:val="18"/>
              </w:rPr>
              <w:t>否</w:t>
            </w:r>
          </w:p>
        </w:tc>
        <w:tc>
          <w:tcPr>
            <w:tcW w:w="1607"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r>
              <w:rPr>
                <w:rFonts w:ascii="宋体" w:eastAsia="宋体" w:hAnsi="宋体" w:cs="宋体"/>
                <w:sz w:val="18"/>
                <w:szCs w:val="18"/>
              </w:rPr>
              <w:t>13,460.00</w:t>
            </w:r>
          </w:p>
        </w:tc>
        <w:tc>
          <w:tcPr>
            <w:tcW w:w="1607"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r>
              <w:rPr>
                <w:rFonts w:ascii="宋体" w:eastAsia="宋体" w:hAnsi="宋体" w:cs="宋体"/>
                <w:sz w:val="18"/>
                <w:szCs w:val="18"/>
              </w:rPr>
              <w:t>11,990.00</w:t>
            </w:r>
          </w:p>
        </w:tc>
      </w:tr>
      <w:tr w:rsidR="001542D9" w:rsidTr="00220C19">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rPr>
                <w:rFonts w:ascii="宋体" w:eastAsia="宋体" w:hAnsi="宋体" w:cs="宋体"/>
                <w:sz w:val="18"/>
                <w:szCs w:val="18"/>
              </w:rPr>
            </w:pPr>
            <w:r>
              <w:rPr>
                <w:rFonts w:ascii="宋体" w:eastAsia="宋体" w:hAnsi="宋体" w:cs="宋体"/>
                <w:sz w:val="18"/>
                <w:szCs w:val="18"/>
              </w:rPr>
              <w:t>活性剂</w:t>
            </w:r>
          </w:p>
        </w:tc>
        <w:tc>
          <w:tcPr>
            <w:tcW w:w="1970"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rPr>
                <w:rFonts w:ascii="宋体" w:eastAsia="宋体" w:hAnsi="宋体" w:cs="宋体"/>
                <w:sz w:val="18"/>
                <w:szCs w:val="18"/>
              </w:rPr>
            </w:pPr>
            <w:r>
              <w:rPr>
                <w:rFonts w:ascii="宋体" w:eastAsia="宋体" w:hAnsi="宋体" w:cs="宋体"/>
                <w:sz w:val="18"/>
                <w:szCs w:val="18"/>
              </w:rPr>
              <w:t>询价购买</w:t>
            </w:r>
          </w:p>
        </w:tc>
        <w:tc>
          <w:tcPr>
            <w:tcW w:w="1606" w:type="dxa"/>
            <w:tcBorders>
              <w:top w:val="single" w:sz="2" w:space="0" w:color="auto"/>
              <w:left w:val="single" w:sz="2" w:space="0" w:color="auto"/>
              <w:bottom w:val="single" w:sz="2" w:space="0" w:color="auto"/>
              <w:right w:val="single" w:sz="2" w:space="0" w:color="auto"/>
            </w:tcBorders>
            <w:vAlign w:val="center"/>
          </w:tcPr>
          <w:p w:rsidR="001542D9" w:rsidRPr="001542D9" w:rsidRDefault="001542D9" w:rsidP="001542D9">
            <w:pPr>
              <w:spacing w:line="240" w:lineRule="exact"/>
              <w:jc w:val="right"/>
              <w:rPr>
                <w:rFonts w:ascii="宋体" w:eastAsia="宋体" w:hAnsi="宋体" w:cs="宋体"/>
                <w:sz w:val="18"/>
                <w:szCs w:val="18"/>
              </w:rPr>
            </w:pPr>
            <w:r w:rsidRPr="001542D9">
              <w:rPr>
                <w:rFonts w:ascii="宋体" w:eastAsia="宋体" w:hAnsi="宋体" w:cs="宋体" w:hint="eastAsia"/>
                <w:sz w:val="18"/>
                <w:szCs w:val="18"/>
              </w:rPr>
              <w:t>1.21%</w:t>
            </w:r>
          </w:p>
        </w:tc>
        <w:tc>
          <w:tcPr>
            <w:tcW w:w="1607"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rPr>
                <w:rFonts w:ascii="宋体" w:eastAsia="宋体" w:hAnsi="宋体" w:cs="宋体"/>
                <w:sz w:val="18"/>
                <w:szCs w:val="18"/>
              </w:rPr>
            </w:pPr>
            <w:r>
              <w:rPr>
                <w:rFonts w:ascii="宋体" w:eastAsia="宋体" w:hAnsi="宋体" w:cs="宋体"/>
                <w:sz w:val="18"/>
                <w:szCs w:val="18"/>
              </w:rPr>
              <w:t>否</w:t>
            </w:r>
          </w:p>
        </w:tc>
        <w:tc>
          <w:tcPr>
            <w:tcW w:w="1607"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r>
              <w:rPr>
                <w:rFonts w:ascii="宋体" w:eastAsia="宋体" w:hAnsi="宋体" w:cs="宋体"/>
                <w:sz w:val="18"/>
                <w:szCs w:val="18"/>
              </w:rPr>
              <w:t>16,580.00</w:t>
            </w:r>
          </w:p>
        </w:tc>
        <w:tc>
          <w:tcPr>
            <w:tcW w:w="1607"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r>
              <w:rPr>
                <w:rFonts w:ascii="宋体" w:eastAsia="宋体" w:hAnsi="宋体" w:cs="宋体"/>
                <w:sz w:val="18"/>
                <w:szCs w:val="18"/>
              </w:rPr>
              <w:t>16,250.00</w:t>
            </w:r>
          </w:p>
        </w:tc>
      </w:tr>
    </w:tbl>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原材料价格较上</w:t>
      </w:r>
      <w:proofErr w:type="gramStart"/>
      <w:r>
        <w:rPr>
          <w:rFonts w:ascii="宋体" w:eastAsia="宋体" w:hAnsi="宋体" w:cs="宋体"/>
          <w:sz w:val="18"/>
          <w:szCs w:val="18"/>
        </w:rPr>
        <w:t>一报告</w:t>
      </w:r>
      <w:proofErr w:type="gramEnd"/>
      <w:r>
        <w:rPr>
          <w:rFonts w:ascii="宋体" w:eastAsia="宋体" w:hAnsi="宋体" w:cs="宋体"/>
          <w:sz w:val="18"/>
          <w:szCs w:val="18"/>
        </w:rPr>
        <w:t>期发生重大变化的原因</w:t>
      </w:r>
    </w:p>
    <w:p w:rsidR="008D4B2E" w:rsidRDefault="008D4B2E">
      <w:pPr>
        <w:pStyle w:val="a3"/>
        <w:divId w:val="588271712"/>
        <w:rPr>
          <w:sz w:val="18"/>
          <w:szCs w:val="18"/>
        </w:rPr>
      </w:pPr>
      <w:r>
        <w:rPr>
          <w:rFonts w:hint="eastAsia"/>
          <w:color w:val="000000"/>
          <w:sz w:val="18"/>
          <w:szCs w:val="18"/>
        </w:rPr>
        <w:t>正己烷的上游原料短缺，受供求关系影响下半年价格上涨；乙腈有库存，下半年未采购。</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能源采购价格占生产总成本30%以上</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主要能源类型发生重大变化的原因</w:t>
      </w:r>
    </w:p>
    <w:p w:rsidR="008D4B2E" w:rsidRDefault="008D4B2E">
      <w:pPr>
        <w:pStyle w:val="a3"/>
        <w:divId w:val="243078745"/>
        <w:rPr>
          <w:sz w:val="18"/>
          <w:szCs w:val="18"/>
        </w:rPr>
      </w:pPr>
      <w:r>
        <w:rPr>
          <w:rFonts w:hint="eastAsia"/>
          <w:sz w:val="18"/>
          <w:szCs w:val="18"/>
        </w:rPr>
        <w:lastRenderedPageBreak/>
        <w:t>无</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主要产品生产技术情况</w:t>
      </w:r>
    </w:p>
    <w:tbl>
      <w:tblPr>
        <w:tblW w:w="9639" w:type="dxa"/>
        <w:tblLayout w:type="fixed"/>
        <w:tblLook w:val="04A0" w:firstRow="1" w:lastRow="0" w:firstColumn="1" w:lastColumn="0" w:noHBand="0" w:noVBand="1"/>
      </w:tblPr>
      <w:tblGrid>
        <w:gridCol w:w="1242"/>
        <w:gridCol w:w="1134"/>
        <w:gridCol w:w="1276"/>
        <w:gridCol w:w="992"/>
        <w:gridCol w:w="4995"/>
      </w:tblGrid>
      <w:tr w:rsidR="00157EA0" w:rsidTr="00220C19">
        <w:trPr>
          <w:trHeight w:val="240"/>
        </w:trPr>
        <w:tc>
          <w:tcPr>
            <w:tcW w:w="124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主要产品</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生产技术所处的阶段</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核心技术人员情况</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专利技术</w:t>
            </w:r>
          </w:p>
        </w:tc>
        <w:tc>
          <w:tcPr>
            <w:tcW w:w="499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产品研发优势</w:t>
            </w:r>
          </w:p>
        </w:tc>
      </w:tr>
      <w:tr w:rsidR="00157EA0" w:rsidTr="00220C19">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220C19" w:rsidRDefault="00220C19">
            <w:pPr>
              <w:spacing w:line="240" w:lineRule="exact"/>
              <w:rPr>
                <w:rFonts w:ascii="宋体" w:eastAsia="宋体" w:hAnsi="宋体" w:cs="宋体"/>
                <w:sz w:val="18"/>
                <w:szCs w:val="18"/>
              </w:rPr>
            </w:pPr>
            <w:r>
              <w:rPr>
                <w:rFonts w:ascii="宋体" w:eastAsia="宋体" w:hAnsi="宋体" w:cs="宋体"/>
                <w:sz w:val="18"/>
                <w:szCs w:val="18"/>
              </w:rPr>
              <w:t>异戊橡胶</w:t>
            </w:r>
          </w:p>
        </w:tc>
        <w:tc>
          <w:tcPr>
            <w:tcW w:w="1134" w:type="dxa"/>
            <w:tcBorders>
              <w:top w:val="single" w:sz="2" w:space="0" w:color="auto"/>
              <w:left w:val="single" w:sz="2" w:space="0" w:color="auto"/>
              <w:bottom w:val="single" w:sz="2" w:space="0" w:color="auto"/>
              <w:right w:val="single" w:sz="2" w:space="0" w:color="auto"/>
            </w:tcBorders>
            <w:vAlign w:val="center"/>
          </w:tcPr>
          <w:p w:rsidR="00220C19" w:rsidRDefault="00220C19">
            <w:pPr>
              <w:spacing w:line="240" w:lineRule="exact"/>
              <w:rPr>
                <w:rFonts w:ascii="宋体" w:eastAsia="宋体" w:hAnsi="宋体" w:cs="宋体"/>
                <w:sz w:val="18"/>
                <w:szCs w:val="18"/>
              </w:rPr>
            </w:pPr>
            <w:r>
              <w:rPr>
                <w:rFonts w:ascii="宋体" w:eastAsia="宋体" w:hAnsi="宋体" w:cs="宋体"/>
                <w:sz w:val="18"/>
                <w:szCs w:val="18"/>
              </w:rPr>
              <w:t>规模生产</w:t>
            </w:r>
          </w:p>
        </w:tc>
        <w:tc>
          <w:tcPr>
            <w:tcW w:w="1276" w:type="dxa"/>
            <w:vMerge w:val="restart"/>
            <w:tcBorders>
              <w:top w:val="single" w:sz="2" w:space="0" w:color="auto"/>
              <w:left w:val="single" w:sz="2" w:space="0" w:color="auto"/>
              <w:right w:val="single" w:sz="2" w:space="0" w:color="auto"/>
            </w:tcBorders>
            <w:vAlign w:val="center"/>
          </w:tcPr>
          <w:p w:rsidR="00220C19" w:rsidRDefault="00220C19" w:rsidP="00220C19">
            <w:pPr>
              <w:spacing w:line="240" w:lineRule="exact"/>
              <w:rPr>
                <w:rFonts w:ascii="宋体" w:eastAsia="宋体" w:hAnsi="宋体" w:cs="宋体"/>
                <w:sz w:val="18"/>
                <w:szCs w:val="18"/>
              </w:rPr>
            </w:pPr>
            <w:r>
              <w:rPr>
                <w:rFonts w:ascii="宋体" w:eastAsia="宋体" w:hAnsi="宋体" w:cs="宋体"/>
                <w:sz w:val="18"/>
                <w:szCs w:val="18"/>
              </w:rPr>
              <w:t>公司拥有一批较高研发水平的科技人才，并持续开展研发项目，以对产品的生产工艺和技术进行持续改进、响应客户需求。</w:t>
            </w:r>
          </w:p>
        </w:tc>
        <w:tc>
          <w:tcPr>
            <w:tcW w:w="992" w:type="dxa"/>
            <w:vMerge w:val="restart"/>
            <w:tcBorders>
              <w:top w:val="single" w:sz="2" w:space="0" w:color="auto"/>
              <w:left w:val="single" w:sz="2" w:space="0" w:color="auto"/>
              <w:right w:val="single" w:sz="2" w:space="0" w:color="auto"/>
            </w:tcBorders>
            <w:vAlign w:val="center"/>
          </w:tcPr>
          <w:p w:rsidR="00220C19" w:rsidRDefault="00220C19" w:rsidP="00220C19">
            <w:pPr>
              <w:spacing w:line="240" w:lineRule="exact"/>
              <w:rPr>
                <w:rFonts w:ascii="宋体" w:eastAsia="宋体" w:hAnsi="宋体" w:cs="宋体"/>
                <w:sz w:val="18"/>
                <w:szCs w:val="18"/>
              </w:rPr>
            </w:pPr>
            <w:r>
              <w:rPr>
                <w:rFonts w:ascii="宋体" w:eastAsia="宋体" w:hAnsi="宋体" w:cs="宋体"/>
                <w:sz w:val="18"/>
                <w:szCs w:val="18"/>
              </w:rPr>
              <w:t>公司已获得多项发明专利及实用新型专利。</w:t>
            </w:r>
          </w:p>
        </w:tc>
        <w:tc>
          <w:tcPr>
            <w:tcW w:w="4995" w:type="dxa"/>
            <w:tcBorders>
              <w:top w:val="single" w:sz="2" w:space="0" w:color="auto"/>
              <w:left w:val="single" w:sz="2" w:space="0" w:color="auto"/>
              <w:bottom w:val="single" w:sz="2" w:space="0" w:color="auto"/>
              <w:right w:val="single" w:sz="2" w:space="0" w:color="auto"/>
            </w:tcBorders>
            <w:vAlign w:val="center"/>
          </w:tcPr>
          <w:p w:rsidR="00220C19" w:rsidRDefault="00220C19">
            <w:pPr>
              <w:spacing w:line="240" w:lineRule="exact"/>
              <w:rPr>
                <w:rFonts w:ascii="宋体" w:eastAsia="宋体" w:hAnsi="宋体" w:cs="宋体"/>
                <w:sz w:val="18"/>
                <w:szCs w:val="18"/>
              </w:rPr>
            </w:pPr>
            <w:r>
              <w:rPr>
                <w:rFonts w:ascii="宋体" w:eastAsia="宋体" w:hAnsi="宋体" w:cs="宋体"/>
                <w:sz w:val="18"/>
                <w:szCs w:val="18"/>
              </w:rPr>
              <w:t>公司设有研发专业的团队，不断攻克技术难关，针对客户需求柔性化定制生产。</w:t>
            </w:r>
          </w:p>
        </w:tc>
      </w:tr>
      <w:tr w:rsidR="00157EA0" w:rsidTr="00220C19">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220C19" w:rsidRDefault="00220C19">
            <w:pPr>
              <w:spacing w:line="240" w:lineRule="exact"/>
              <w:rPr>
                <w:rFonts w:ascii="宋体" w:eastAsia="宋体" w:hAnsi="宋体" w:cs="宋体"/>
                <w:sz w:val="18"/>
                <w:szCs w:val="18"/>
              </w:rPr>
            </w:pPr>
            <w:r>
              <w:rPr>
                <w:rFonts w:ascii="宋体" w:eastAsia="宋体" w:hAnsi="宋体" w:cs="宋体"/>
                <w:sz w:val="18"/>
                <w:szCs w:val="18"/>
              </w:rPr>
              <w:t>异戊二烯</w:t>
            </w:r>
          </w:p>
        </w:tc>
        <w:tc>
          <w:tcPr>
            <w:tcW w:w="1134" w:type="dxa"/>
            <w:tcBorders>
              <w:top w:val="single" w:sz="2" w:space="0" w:color="auto"/>
              <w:left w:val="single" w:sz="2" w:space="0" w:color="auto"/>
              <w:bottom w:val="single" w:sz="2" w:space="0" w:color="auto"/>
              <w:right w:val="single" w:sz="2" w:space="0" w:color="auto"/>
            </w:tcBorders>
            <w:vAlign w:val="center"/>
          </w:tcPr>
          <w:p w:rsidR="00220C19" w:rsidRDefault="00220C19">
            <w:pPr>
              <w:spacing w:line="240" w:lineRule="exact"/>
              <w:rPr>
                <w:rFonts w:ascii="宋体" w:eastAsia="宋体" w:hAnsi="宋体" w:cs="宋体"/>
                <w:sz w:val="18"/>
                <w:szCs w:val="18"/>
              </w:rPr>
            </w:pPr>
            <w:r>
              <w:rPr>
                <w:rFonts w:ascii="宋体" w:eastAsia="宋体" w:hAnsi="宋体" w:cs="宋体"/>
                <w:sz w:val="18"/>
                <w:szCs w:val="18"/>
              </w:rPr>
              <w:t>规模生产</w:t>
            </w:r>
          </w:p>
        </w:tc>
        <w:tc>
          <w:tcPr>
            <w:tcW w:w="1276" w:type="dxa"/>
            <w:vMerge/>
            <w:tcBorders>
              <w:left w:val="single" w:sz="2" w:space="0" w:color="auto"/>
              <w:right w:val="single" w:sz="2" w:space="0" w:color="auto"/>
            </w:tcBorders>
            <w:vAlign w:val="center"/>
          </w:tcPr>
          <w:p w:rsidR="00220C19" w:rsidRDefault="00220C19" w:rsidP="00220C19">
            <w:pPr>
              <w:spacing w:line="240" w:lineRule="exact"/>
              <w:rPr>
                <w:rFonts w:ascii="宋体" w:eastAsia="宋体" w:hAnsi="宋体" w:cs="宋体"/>
                <w:sz w:val="18"/>
                <w:szCs w:val="18"/>
              </w:rPr>
            </w:pPr>
          </w:p>
        </w:tc>
        <w:tc>
          <w:tcPr>
            <w:tcW w:w="992" w:type="dxa"/>
            <w:vMerge/>
            <w:tcBorders>
              <w:left w:val="single" w:sz="2" w:space="0" w:color="auto"/>
              <w:right w:val="single" w:sz="2" w:space="0" w:color="auto"/>
            </w:tcBorders>
            <w:vAlign w:val="center"/>
          </w:tcPr>
          <w:p w:rsidR="00220C19" w:rsidRDefault="00220C19" w:rsidP="00220C19">
            <w:pPr>
              <w:spacing w:line="240" w:lineRule="exact"/>
              <w:rPr>
                <w:rFonts w:ascii="宋体" w:eastAsia="宋体" w:hAnsi="宋体" w:cs="宋体"/>
                <w:sz w:val="18"/>
                <w:szCs w:val="18"/>
              </w:rPr>
            </w:pPr>
          </w:p>
        </w:tc>
        <w:tc>
          <w:tcPr>
            <w:tcW w:w="4995" w:type="dxa"/>
            <w:tcBorders>
              <w:top w:val="single" w:sz="2" w:space="0" w:color="auto"/>
              <w:left w:val="single" w:sz="2" w:space="0" w:color="auto"/>
              <w:bottom w:val="single" w:sz="2" w:space="0" w:color="auto"/>
              <w:right w:val="single" w:sz="2" w:space="0" w:color="auto"/>
            </w:tcBorders>
            <w:vAlign w:val="center"/>
          </w:tcPr>
          <w:p w:rsidR="00220C19" w:rsidRDefault="00220C19">
            <w:pPr>
              <w:spacing w:line="240" w:lineRule="exact"/>
              <w:rPr>
                <w:rFonts w:ascii="宋体" w:eastAsia="宋体" w:hAnsi="宋体" w:cs="宋体"/>
                <w:sz w:val="18"/>
                <w:szCs w:val="18"/>
              </w:rPr>
            </w:pPr>
            <w:r>
              <w:rPr>
                <w:rFonts w:ascii="宋体" w:eastAsia="宋体" w:hAnsi="宋体" w:cs="宋体"/>
                <w:sz w:val="18"/>
                <w:szCs w:val="18"/>
              </w:rPr>
              <w:t>国内首套</w:t>
            </w:r>
            <w:proofErr w:type="gramStart"/>
            <w:r>
              <w:rPr>
                <w:rFonts w:ascii="宋体" w:eastAsia="宋体" w:hAnsi="宋体" w:cs="宋体"/>
                <w:sz w:val="18"/>
                <w:szCs w:val="18"/>
              </w:rPr>
              <w:t>乙腈法碳五</w:t>
            </w:r>
            <w:proofErr w:type="gramEnd"/>
            <w:r>
              <w:rPr>
                <w:rFonts w:ascii="宋体" w:eastAsia="宋体" w:hAnsi="宋体" w:cs="宋体"/>
                <w:sz w:val="18"/>
                <w:szCs w:val="18"/>
              </w:rPr>
              <w:t>分离装置，公司设有研发专业的团队，不断攻克技术难关，可针对客户需求柔性化定制生产。</w:t>
            </w:r>
          </w:p>
        </w:tc>
      </w:tr>
      <w:tr w:rsidR="00157EA0" w:rsidTr="00220C19">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220C19" w:rsidRDefault="00220C19">
            <w:pPr>
              <w:spacing w:line="240" w:lineRule="exact"/>
              <w:rPr>
                <w:rFonts w:ascii="宋体" w:eastAsia="宋体" w:hAnsi="宋体" w:cs="宋体"/>
                <w:sz w:val="18"/>
                <w:szCs w:val="18"/>
              </w:rPr>
            </w:pPr>
            <w:r>
              <w:rPr>
                <w:rFonts w:ascii="宋体" w:eastAsia="宋体" w:hAnsi="宋体" w:cs="宋体"/>
                <w:sz w:val="18"/>
                <w:szCs w:val="18"/>
              </w:rPr>
              <w:t>间戊二烯</w:t>
            </w:r>
          </w:p>
        </w:tc>
        <w:tc>
          <w:tcPr>
            <w:tcW w:w="1134" w:type="dxa"/>
            <w:tcBorders>
              <w:top w:val="single" w:sz="2" w:space="0" w:color="auto"/>
              <w:left w:val="single" w:sz="2" w:space="0" w:color="auto"/>
              <w:bottom w:val="single" w:sz="2" w:space="0" w:color="auto"/>
              <w:right w:val="single" w:sz="2" w:space="0" w:color="auto"/>
            </w:tcBorders>
            <w:vAlign w:val="center"/>
          </w:tcPr>
          <w:p w:rsidR="00220C19" w:rsidRDefault="00220C19">
            <w:pPr>
              <w:spacing w:line="240" w:lineRule="exact"/>
              <w:rPr>
                <w:rFonts w:ascii="宋体" w:eastAsia="宋体" w:hAnsi="宋体" w:cs="宋体"/>
                <w:sz w:val="18"/>
                <w:szCs w:val="18"/>
              </w:rPr>
            </w:pPr>
            <w:r>
              <w:rPr>
                <w:rFonts w:ascii="宋体" w:eastAsia="宋体" w:hAnsi="宋体" w:cs="宋体"/>
                <w:sz w:val="18"/>
                <w:szCs w:val="18"/>
              </w:rPr>
              <w:t>规模生产</w:t>
            </w:r>
          </w:p>
        </w:tc>
        <w:tc>
          <w:tcPr>
            <w:tcW w:w="1276" w:type="dxa"/>
            <w:vMerge/>
            <w:tcBorders>
              <w:left w:val="single" w:sz="2" w:space="0" w:color="auto"/>
              <w:right w:val="single" w:sz="2" w:space="0" w:color="auto"/>
            </w:tcBorders>
            <w:vAlign w:val="center"/>
          </w:tcPr>
          <w:p w:rsidR="00220C19" w:rsidRDefault="00220C19" w:rsidP="00220C19">
            <w:pPr>
              <w:spacing w:line="240" w:lineRule="exact"/>
              <w:rPr>
                <w:rFonts w:ascii="宋体" w:eastAsia="宋体" w:hAnsi="宋体" w:cs="宋体"/>
                <w:sz w:val="18"/>
                <w:szCs w:val="18"/>
              </w:rPr>
            </w:pPr>
          </w:p>
        </w:tc>
        <w:tc>
          <w:tcPr>
            <w:tcW w:w="992" w:type="dxa"/>
            <w:vMerge/>
            <w:tcBorders>
              <w:left w:val="single" w:sz="2" w:space="0" w:color="auto"/>
              <w:right w:val="single" w:sz="2" w:space="0" w:color="auto"/>
            </w:tcBorders>
            <w:vAlign w:val="center"/>
          </w:tcPr>
          <w:p w:rsidR="00220C19" w:rsidRDefault="00220C19" w:rsidP="00220C19">
            <w:pPr>
              <w:spacing w:line="240" w:lineRule="exact"/>
              <w:rPr>
                <w:rFonts w:ascii="宋体" w:eastAsia="宋体" w:hAnsi="宋体" w:cs="宋体"/>
                <w:sz w:val="18"/>
                <w:szCs w:val="18"/>
              </w:rPr>
            </w:pPr>
          </w:p>
        </w:tc>
        <w:tc>
          <w:tcPr>
            <w:tcW w:w="4995" w:type="dxa"/>
            <w:tcBorders>
              <w:top w:val="single" w:sz="2" w:space="0" w:color="auto"/>
              <w:left w:val="single" w:sz="2" w:space="0" w:color="auto"/>
              <w:bottom w:val="single" w:sz="2" w:space="0" w:color="auto"/>
              <w:right w:val="single" w:sz="2" w:space="0" w:color="auto"/>
            </w:tcBorders>
            <w:vAlign w:val="center"/>
          </w:tcPr>
          <w:p w:rsidR="00220C19" w:rsidRDefault="00220C19">
            <w:pPr>
              <w:spacing w:line="240" w:lineRule="exact"/>
              <w:rPr>
                <w:rFonts w:ascii="宋体" w:eastAsia="宋体" w:hAnsi="宋体" w:cs="宋体"/>
                <w:sz w:val="18"/>
                <w:szCs w:val="18"/>
              </w:rPr>
            </w:pPr>
            <w:r>
              <w:rPr>
                <w:rFonts w:ascii="宋体" w:eastAsia="宋体" w:hAnsi="宋体" w:cs="宋体"/>
                <w:sz w:val="18"/>
                <w:szCs w:val="18"/>
              </w:rPr>
              <w:t>国内首套</w:t>
            </w:r>
            <w:proofErr w:type="gramStart"/>
            <w:r>
              <w:rPr>
                <w:rFonts w:ascii="宋体" w:eastAsia="宋体" w:hAnsi="宋体" w:cs="宋体"/>
                <w:sz w:val="18"/>
                <w:szCs w:val="18"/>
              </w:rPr>
              <w:t>乙腈法碳五</w:t>
            </w:r>
            <w:proofErr w:type="gramEnd"/>
            <w:r>
              <w:rPr>
                <w:rFonts w:ascii="宋体" w:eastAsia="宋体" w:hAnsi="宋体" w:cs="宋体"/>
                <w:sz w:val="18"/>
                <w:szCs w:val="18"/>
              </w:rPr>
              <w:t>分离装置，公司设有研发专业的团队，不断攻克技术难关，可针对客户需求柔性化定制生产。</w:t>
            </w:r>
          </w:p>
        </w:tc>
      </w:tr>
      <w:tr w:rsidR="00157EA0" w:rsidTr="00220C19">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220C19" w:rsidRDefault="00220C19">
            <w:pPr>
              <w:spacing w:line="240" w:lineRule="exact"/>
              <w:rPr>
                <w:rFonts w:ascii="宋体" w:eastAsia="宋体" w:hAnsi="宋体" w:cs="宋体"/>
                <w:sz w:val="18"/>
                <w:szCs w:val="18"/>
              </w:rPr>
            </w:pPr>
            <w:r>
              <w:rPr>
                <w:rFonts w:ascii="宋体" w:eastAsia="宋体" w:hAnsi="宋体" w:cs="宋体"/>
                <w:sz w:val="18"/>
                <w:szCs w:val="18"/>
              </w:rPr>
              <w:t>双环戊二烯</w:t>
            </w:r>
          </w:p>
        </w:tc>
        <w:tc>
          <w:tcPr>
            <w:tcW w:w="1134" w:type="dxa"/>
            <w:tcBorders>
              <w:top w:val="single" w:sz="2" w:space="0" w:color="auto"/>
              <w:left w:val="single" w:sz="2" w:space="0" w:color="auto"/>
              <w:bottom w:val="single" w:sz="2" w:space="0" w:color="auto"/>
              <w:right w:val="single" w:sz="2" w:space="0" w:color="auto"/>
            </w:tcBorders>
            <w:vAlign w:val="center"/>
          </w:tcPr>
          <w:p w:rsidR="00220C19" w:rsidRDefault="00220C19">
            <w:pPr>
              <w:spacing w:line="240" w:lineRule="exact"/>
              <w:rPr>
                <w:rFonts w:ascii="宋体" w:eastAsia="宋体" w:hAnsi="宋体" w:cs="宋体"/>
                <w:sz w:val="18"/>
                <w:szCs w:val="18"/>
              </w:rPr>
            </w:pPr>
            <w:r>
              <w:rPr>
                <w:rFonts w:ascii="宋体" w:eastAsia="宋体" w:hAnsi="宋体" w:cs="宋体"/>
                <w:sz w:val="18"/>
                <w:szCs w:val="18"/>
              </w:rPr>
              <w:t>规模生产</w:t>
            </w:r>
          </w:p>
        </w:tc>
        <w:tc>
          <w:tcPr>
            <w:tcW w:w="1276" w:type="dxa"/>
            <w:vMerge/>
            <w:tcBorders>
              <w:left w:val="single" w:sz="2" w:space="0" w:color="auto"/>
              <w:right w:val="single" w:sz="2" w:space="0" w:color="auto"/>
            </w:tcBorders>
            <w:vAlign w:val="center"/>
          </w:tcPr>
          <w:p w:rsidR="00220C19" w:rsidRDefault="00220C19" w:rsidP="00220C19">
            <w:pPr>
              <w:spacing w:line="240" w:lineRule="exact"/>
              <w:rPr>
                <w:rFonts w:ascii="宋体" w:eastAsia="宋体" w:hAnsi="宋体" w:cs="宋体"/>
                <w:sz w:val="18"/>
                <w:szCs w:val="18"/>
              </w:rPr>
            </w:pPr>
          </w:p>
        </w:tc>
        <w:tc>
          <w:tcPr>
            <w:tcW w:w="992" w:type="dxa"/>
            <w:vMerge/>
            <w:tcBorders>
              <w:left w:val="single" w:sz="2" w:space="0" w:color="auto"/>
              <w:right w:val="single" w:sz="2" w:space="0" w:color="auto"/>
            </w:tcBorders>
            <w:vAlign w:val="center"/>
          </w:tcPr>
          <w:p w:rsidR="00220C19" w:rsidRDefault="00220C19" w:rsidP="00220C19">
            <w:pPr>
              <w:spacing w:line="240" w:lineRule="exact"/>
              <w:rPr>
                <w:rFonts w:ascii="宋体" w:eastAsia="宋体" w:hAnsi="宋体" w:cs="宋体"/>
                <w:sz w:val="18"/>
                <w:szCs w:val="18"/>
              </w:rPr>
            </w:pPr>
          </w:p>
        </w:tc>
        <w:tc>
          <w:tcPr>
            <w:tcW w:w="4995" w:type="dxa"/>
            <w:tcBorders>
              <w:top w:val="single" w:sz="2" w:space="0" w:color="auto"/>
              <w:left w:val="single" w:sz="2" w:space="0" w:color="auto"/>
              <w:bottom w:val="single" w:sz="2" w:space="0" w:color="auto"/>
              <w:right w:val="single" w:sz="2" w:space="0" w:color="auto"/>
            </w:tcBorders>
            <w:vAlign w:val="center"/>
          </w:tcPr>
          <w:p w:rsidR="00220C19" w:rsidRDefault="00220C19">
            <w:pPr>
              <w:spacing w:line="240" w:lineRule="exact"/>
              <w:rPr>
                <w:rFonts w:ascii="宋体" w:eastAsia="宋体" w:hAnsi="宋体" w:cs="宋体"/>
                <w:sz w:val="18"/>
                <w:szCs w:val="18"/>
              </w:rPr>
            </w:pPr>
            <w:r>
              <w:rPr>
                <w:rFonts w:ascii="宋体" w:eastAsia="宋体" w:hAnsi="宋体" w:cs="宋体"/>
                <w:sz w:val="18"/>
                <w:szCs w:val="18"/>
              </w:rPr>
              <w:t>国内首套</w:t>
            </w:r>
            <w:proofErr w:type="gramStart"/>
            <w:r>
              <w:rPr>
                <w:rFonts w:ascii="宋体" w:eastAsia="宋体" w:hAnsi="宋体" w:cs="宋体"/>
                <w:sz w:val="18"/>
                <w:szCs w:val="18"/>
              </w:rPr>
              <w:t>乙腈法碳五</w:t>
            </w:r>
            <w:proofErr w:type="gramEnd"/>
            <w:r>
              <w:rPr>
                <w:rFonts w:ascii="宋体" w:eastAsia="宋体" w:hAnsi="宋体" w:cs="宋体"/>
                <w:sz w:val="18"/>
                <w:szCs w:val="18"/>
              </w:rPr>
              <w:t>分离装置，公司设有研发专业的团队，不断攻克技术难关，可针对客户需求柔性化定制生产。</w:t>
            </w:r>
          </w:p>
        </w:tc>
      </w:tr>
      <w:tr w:rsidR="00157EA0" w:rsidTr="00220C19">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220C19" w:rsidRDefault="00220C19">
            <w:pPr>
              <w:spacing w:line="240" w:lineRule="exact"/>
              <w:rPr>
                <w:rFonts w:ascii="宋体" w:eastAsia="宋体" w:hAnsi="宋体" w:cs="宋体"/>
                <w:sz w:val="18"/>
                <w:szCs w:val="18"/>
              </w:rPr>
            </w:pPr>
            <w:r>
              <w:rPr>
                <w:rFonts w:ascii="宋体" w:eastAsia="宋体" w:hAnsi="宋体" w:cs="宋体"/>
                <w:sz w:val="18"/>
                <w:szCs w:val="18"/>
              </w:rPr>
              <w:t>粗戊烯</w:t>
            </w:r>
          </w:p>
        </w:tc>
        <w:tc>
          <w:tcPr>
            <w:tcW w:w="1134" w:type="dxa"/>
            <w:tcBorders>
              <w:top w:val="single" w:sz="2" w:space="0" w:color="auto"/>
              <w:left w:val="single" w:sz="2" w:space="0" w:color="auto"/>
              <w:bottom w:val="single" w:sz="2" w:space="0" w:color="auto"/>
              <w:right w:val="single" w:sz="2" w:space="0" w:color="auto"/>
            </w:tcBorders>
            <w:vAlign w:val="center"/>
          </w:tcPr>
          <w:p w:rsidR="00220C19" w:rsidRDefault="00220C19">
            <w:pPr>
              <w:spacing w:line="240" w:lineRule="exact"/>
              <w:rPr>
                <w:rFonts w:ascii="宋体" w:eastAsia="宋体" w:hAnsi="宋体" w:cs="宋体"/>
                <w:sz w:val="18"/>
                <w:szCs w:val="18"/>
              </w:rPr>
            </w:pPr>
            <w:r>
              <w:rPr>
                <w:rFonts w:ascii="宋体" w:eastAsia="宋体" w:hAnsi="宋体" w:cs="宋体"/>
                <w:sz w:val="18"/>
                <w:szCs w:val="18"/>
              </w:rPr>
              <w:t>规模生产</w:t>
            </w:r>
          </w:p>
        </w:tc>
        <w:tc>
          <w:tcPr>
            <w:tcW w:w="1276" w:type="dxa"/>
            <w:vMerge/>
            <w:tcBorders>
              <w:left w:val="single" w:sz="2" w:space="0" w:color="auto"/>
              <w:right w:val="single" w:sz="2" w:space="0" w:color="auto"/>
            </w:tcBorders>
            <w:vAlign w:val="center"/>
          </w:tcPr>
          <w:p w:rsidR="00220C19" w:rsidRDefault="00220C19" w:rsidP="00220C19">
            <w:pPr>
              <w:spacing w:line="240" w:lineRule="exact"/>
              <w:rPr>
                <w:rFonts w:ascii="宋体" w:eastAsia="宋体" w:hAnsi="宋体" w:cs="宋体"/>
                <w:sz w:val="18"/>
                <w:szCs w:val="18"/>
              </w:rPr>
            </w:pPr>
          </w:p>
        </w:tc>
        <w:tc>
          <w:tcPr>
            <w:tcW w:w="992" w:type="dxa"/>
            <w:vMerge/>
            <w:tcBorders>
              <w:left w:val="single" w:sz="2" w:space="0" w:color="auto"/>
              <w:right w:val="single" w:sz="2" w:space="0" w:color="auto"/>
            </w:tcBorders>
            <w:vAlign w:val="center"/>
          </w:tcPr>
          <w:p w:rsidR="00220C19" w:rsidRDefault="00220C19" w:rsidP="00220C19">
            <w:pPr>
              <w:spacing w:line="240" w:lineRule="exact"/>
              <w:rPr>
                <w:rFonts w:ascii="宋体" w:eastAsia="宋体" w:hAnsi="宋体" w:cs="宋体"/>
                <w:sz w:val="18"/>
                <w:szCs w:val="18"/>
              </w:rPr>
            </w:pPr>
          </w:p>
        </w:tc>
        <w:tc>
          <w:tcPr>
            <w:tcW w:w="4995" w:type="dxa"/>
            <w:tcBorders>
              <w:top w:val="single" w:sz="2" w:space="0" w:color="auto"/>
              <w:left w:val="single" w:sz="2" w:space="0" w:color="auto"/>
              <w:bottom w:val="single" w:sz="2" w:space="0" w:color="auto"/>
              <w:right w:val="single" w:sz="2" w:space="0" w:color="auto"/>
            </w:tcBorders>
            <w:vAlign w:val="center"/>
          </w:tcPr>
          <w:p w:rsidR="00220C19" w:rsidRDefault="00220C19">
            <w:pPr>
              <w:spacing w:line="240" w:lineRule="exact"/>
              <w:rPr>
                <w:rFonts w:ascii="宋体" w:eastAsia="宋体" w:hAnsi="宋体" w:cs="宋体"/>
                <w:sz w:val="18"/>
                <w:szCs w:val="18"/>
              </w:rPr>
            </w:pPr>
            <w:r>
              <w:rPr>
                <w:rFonts w:ascii="宋体" w:eastAsia="宋体" w:hAnsi="宋体" w:cs="宋体"/>
                <w:sz w:val="18"/>
                <w:szCs w:val="18"/>
              </w:rPr>
              <w:t>国内首套</w:t>
            </w:r>
            <w:proofErr w:type="gramStart"/>
            <w:r>
              <w:rPr>
                <w:rFonts w:ascii="宋体" w:eastAsia="宋体" w:hAnsi="宋体" w:cs="宋体"/>
                <w:sz w:val="18"/>
                <w:szCs w:val="18"/>
              </w:rPr>
              <w:t>乙腈法碳五</w:t>
            </w:r>
            <w:proofErr w:type="gramEnd"/>
            <w:r>
              <w:rPr>
                <w:rFonts w:ascii="宋体" w:eastAsia="宋体" w:hAnsi="宋体" w:cs="宋体"/>
                <w:sz w:val="18"/>
                <w:szCs w:val="18"/>
              </w:rPr>
              <w:t>分离装置，公司设有研发专业的团队，不断攻克技术难关，可针对客户需求柔性化定制生产。</w:t>
            </w:r>
          </w:p>
        </w:tc>
      </w:tr>
      <w:tr w:rsidR="00157EA0" w:rsidTr="00220C19">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220C19" w:rsidRDefault="00220C19">
            <w:pPr>
              <w:spacing w:line="240" w:lineRule="exact"/>
              <w:rPr>
                <w:rFonts w:ascii="宋体" w:eastAsia="宋体" w:hAnsi="宋体" w:cs="宋体"/>
                <w:sz w:val="18"/>
                <w:szCs w:val="18"/>
              </w:rPr>
            </w:pPr>
            <w:r>
              <w:rPr>
                <w:rFonts w:ascii="宋体" w:eastAsia="宋体" w:hAnsi="宋体" w:cs="宋体"/>
                <w:sz w:val="18"/>
                <w:szCs w:val="18"/>
              </w:rPr>
              <w:t>环戊烯</w:t>
            </w:r>
          </w:p>
        </w:tc>
        <w:tc>
          <w:tcPr>
            <w:tcW w:w="1134" w:type="dxa"/>
            <w:tcBorders>
              <w:top w:val="single" w:sz="2" w:space="0" w:color="auto"/>
              <w:left w:val="single" w:sz="2" w:space="0" w:color="auto"/>
              <w:bottom w:val="single" w:sz="2" w:space="0" w:color="auto"/>
              <w:right w:val="single" w:sz="2" w:space="0" w:color="auto"/>
            </w:tcBorders>
            <w:vAlign w:val="center"/>
          </w:tcPr>
          <w:p w:rsidR="00220C19" w:rsidRDefault="00220C19">
            <w:pPr>
              <w:spacing w:line="240" w:lineRule="exact"/>
              <w:rPr>
                <w:rFonts w:ascii="宋体" w:eastAsia="宋体" w:hAnsi="宋体" w:cs="宋体"/>
                <w:sz w:val="18"/>
                <w:szCs w:val="18"/>
              </w:rPr>
            </w:pPr>
            <w:r>
              <w:rPr>
                <w:rFonts w:ascii="宋体" w:eastAsia="宋体" w:hAnsi="宋体" w:cs="宋体"/>
                <w:sz w:val="18"/>
                <w:szCs w:val="18"/>
              </w:rPr>
              <w:t>规模生产</w:t>
            </w:r>
          </w:p>
        </w:tc>
        <w:tc>
          <w:tcPr>
            <w:tcW w:w="1276" w:type="dxa"/>
            <w:vMerge/>
            <w:tcBorders>
              <w:left w:val="single" w:sz="2" w:space="0" w:color="auto"/>
              <w:right w:val="single" w:sz="2" w:space="0" w:color="auto"/>
            </w:tcBorders>
            <w:vAlign w:val="center"/>
          </w:tcPr>
          <w:p w:rsidR="00220C19" w:rsidRDefault="00220C19" w:rsidP="00220C19">
            <w:pPr>
              <w:spacing w:line="240" w:lineRule="exact"/>
              <w:rPr>
                <w:rFonts w:ascii="宋体" w:eastAsia="宋体" w:hAnsi="宋体" w:cs="宋体"/>
                <w:sz w:val="18"/>
                <w:szCs w:val="18"/>
              </w:rPr>
            </w:pPr>
          </w:p>
        </w:tc>
        <w:tc>
          <w:tcPr>
            <w:tcW w:w="992" w:type="dxa"/>
            <w:vMerge/>
            <w:tcBorders>
              <w:left w:val="single" w:sz="2" w:space="0" w:color="auto"/>
              <w:right w:val="single" w:sz="2" w:space="0" w:color="auto"/>
            </w:tcBorders>
            <w:vAlign w:val="center"/>
          </w:tcPr>
          <w:p w:rsidR="00220C19" w:rsidRDefault="00220C19" w:rsidP="00220C19">
            <w:pPr>
              <w:spacing w:line="240" w:lineRule="exact"/>
              <w:rPr>
                <w:rFonts w:ascii="宋体" w:eastAsia="宋体" w:hAnsi="宋体" w:cs="宋体"/>
                <w:sz w:val="18"/>
                <w:szCs w:val="18"/>
              </w:rPr>
            </w:pPr>
          </w:p>
        </w:tc>
        <w:tc>
          <w:tcPr>
            <w:tcW w:w="4995" w:type="dxa"/>
            <w:tcBorders>
              <w:top w:val="single" w:sz="2" w:space="0" w:color="auto"/>
              <w:left w:val="single" w:sz="2" w:space="0" w:color="auto"/>
              <w:bottom w:val="single" w:sz="2" w:space="0" w:color="auto"/>
              <w:right w:val="single" w:sz="2" w:space="0" w:color="auto"/>
            </w:tcBorders>
            <w:vAlign w:val="center"/>
          </w:tcPr>
          <w:p w:rsidR="00220C19" w:rsidRDefault="00220C19">
            <w:pPr>
              <w:spacing w:line="240" w:lineRule="exact"/>
              <w:rPr>
                <w:rFonts w:ascii="宋体" w:eastAsia="宋体" w:hAnsi="宋体" w:cs="宋体"/>
                <w:sz w:val="18"/>
                <w:szCs w:val="18"/>
              </w:rPr>
            </w:pPr>
            <w:r>
              <w:rPr>
                <w:rFonts w:ascii="宋体" w:eastAsia="宋体" w:hAnsi="宋体" w:cs="宋体"/>
                <w:sz w:val="18"/>
                <w:szCs w:val="18"/>
              </w:rPr>
              <w:t>国内首套</w:t>
            </w:r>
            <w:proofErr w:type="gramStart"/>
            <w:r>
              <w:rPr>
                <w:rFonts w:ascii="宋体" w:eastAsia="宋体" w:hAnsi="宋体" w:cs="宋体"/>
                <w:sz w:val="18"/>
                <w:szCs w:val="18"/>
              </w:rPr>
              <w:t>乙腈法碳五</w:t>
            </w:r>
            <w:proofErr w:type="gramEnd"/>
            <w:r>
              <w:rPr>
                <w:rFonts w:ascii="宋体" w:eastAsia="宋体" w:hAnsi="宋体" w:cs="宋体"/>
                <w:sz w:val="18"/>
                <w:szCs w:val="18"/>
              </w:rPr>
              <w:t>分离装置，公司设有研发专业的团队，不断攻克技术难关，可针对客户需求柔性化定制生产。</w:t>
            </w:r>
          </w:p>
        </w:tc>
      </w:tr>
      <w:tr w:rsidR="00157EA0" w:rsidTr="00220C19">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220C19" w:rsidRDefault="00220C19">
            <w:pPr>
              <w:spacing w:line="240" w:lineRule="exact"/>
              <w:rPr>
                <w:rFonts w:ascii="宋体" w:eastAsia="宋体" w:hAnsi="宋体" w:cs="宋体"/>
                <w:sz w:val="18"/>
                <w:szCs w:val="18"/>
              </w:rPr>
            </w:pPr>
            <w:r>
              <w:rPr>
                <w:rFonts w:ascii="宋体" w:eastAsia="宋体" w:hAnsi="宋体" w:cs="宋体"/>
                <w:sz w:val="18"/>
                <w:szCs w:val="18"/>
              </w:rPr>
              <w:t>EVEC胶</w:t>
            </w:r>
          </w:p>
        </w:tc>
        <w:tc>
          <w:tcPr>
            <w:tcW w:w="1134" w:type="dxa"/>
            <w:tcBorders>
              <w:top w:val="single" w:sz="2" w:space="0" w:color="auto"/>
              <w:left w:val="single" w:sz="2" w:space="0" w:color="auto"/>
              <w:bottom w:val="single" w:sz="2" w:space="0" w:color="auto"/>
              <w:right w:val="single" w:sz="2" w:space="0" w:color="auto"/>
            </w:tcBorders>
            <w:vAlign w:val="center"/>
          </w:tcPr>
          <w:p w:rsidR="00220C19" w:rsidRDefault="00220C19">
            <w:pPr>
              <w:spacing w:line="240" w:lineRule="exact"/>
              <w:rPr>
                <w:rFonts w:ascii="宋体" w:eastAsia="宋体" w:hAnsi="宋体" w:cs="宋体"/>
                <w:sz w:val="18"/>
                <w:szCs w:val="18"/>
              </w:rPr>
            </w:pPr>
            <w:r>
              <w:rPr>
                <w:rFonts w:ascii="宋体" w:eastAsia="宋体" w:hAnsi="宋体" w:cs="宋体"/>
                <w:sz w:val="18"/>
                <w:szCs w:val="18"/>
              </w:rPr>
              <w:t>正常生产</w:t>
            </w:r>
          </w:p>
        </w:tc>
        <w:tc>
          <w:tcPr>
            <w:tcW w:w="1276" w:type="dxa"/>
            <w:vMerge/>
            <w:tcBorders>
              <w:left w:val="single" w:sz="2" w:space="0" w:color="auto"/>
              <w:bottom w:val="single" w:sz="2" w:space="0" w:color="auto"/>
              <w:right w:val="single" w:sz="2" w:space="0" w:color="auto"/>
            </w:tcBorders>
            <w:vAlign w:val="center"/>
          </w:tcPr>
          <w:p w:rsidR="00220C19" w:rsidRDefault="00220C19">
            <w:pPr>
              <w:spacing w:line="240" w:lineRule="exact"/>
              <w:rPr>
                <w:rFonts w:ascii="宋体" w:eastAsia="宋体" w:hAnsi="宋体" w:cs="宋体"/>
                <w:sz w:val="18"/>
                <w:szCs w:val="18"/>
              </w:rPr>
            </w:pPr>
          </w:p>
        </w:tc>
        <w:tc>
          <w:tcPr>
            <w:tcW w:w="992" w:type="dxa"/>
            <w:vMerge/>
            <w:tcBorders>
              <w:left w:val="single" w:sz="2" w:space="0" w:color="auto"/>
              <w:bottom w:val="single" w:sz="2" w:space="0" w:color="auto"/>
              <w:right w:val="single" w:sz="2" w:space="0" w:color="auto"/>
            </w:tcBorders>
            <w:vAlign w:val="center"/>
          </w:tcPr>
          <w:p w:rsidR="00220C19" w:rsidRDefault="00220C19">
            <w:pPr>
              <w:spacing w:line="240" w:lineRule="exact"/>
              <w:rPr>
                <w:rFonts w:ascii="宋体" w:eastAsia="宋体" w:hAnsi="宋体" w:cs="宋体"/>
                <w:sz w:val="18"/>
                <w:szCs w:val="18"/>
              </w:rPr>
            </w:pPr>
          </w:p>
        </w:tc>
        <w:tc>
          <w:tcPr>
            <w:tcW w:w="4995" w:type="dxa"/>
            <w:tcBorders>
              <w:top w:val="single" w:sz="2" w:space="0" w:color="auto"/>
              <w:left w:val="single" w:sz="2" w:space="0" w:color="auto"/>
              <w:bottom w:val="single" w:sz="2" w:space="0" w:color="auto"/>
              <w:right w:val="single" w:sz="2" w:space="0" w:color="auto"/>
            </w:tcBorders>
            <w:vAlign w:val="center"/>
          </w:tcPr>
          <w:p w:rsidR="00220C19" w:rsidRDefault="00220C19">
            <w:pPr>
              <w:spacing w:line="240" w:lineRule="exact"/>
              <w:rPr>
                <w:rFonts w:ascii="宋体" w:eastAsia="宋体" w:hAnsi="宋体" w:cs="宋体"/>
                <w:sz w:val="18"/>
                <w:szCs w:val="18"/>
              </w:rPr>
            </w:pPr>
            <w:r>
              <w:rPr>
                <w:rFonts w:ascii="宋体" w:eastAsia="宋体" w:hAnsi="宋体" w:cs="宋体"/>
                <w:sz w:val="18"/>
                <w:szCs w:val="18"/>
              </w:rPr>
              <w:t>与传统材料相比，本新材料产品具有以下竞争优势：应用该类产品可以使轮胎达到滚动阻力、</w:t>
            </w:r>
            <w:proofErr w:type="gramStart"/>
            <w:r>
              <w:rPr>
                <w:rFonts w:ascii="宋体" w:eastAsia="宋体" w:hAnsi="宋体" w:cs="宋体"/>
                <w:sz w:val="18"/>
                <w:szCs w:val="18"/>
              </w:rPr>
              <w:t>干湿抓</w:t>
            </w:r>
            <w:proofErr w:type="gramEnd"/>
            <w:r>
              <w:rPr>
                <w:rFonts w:ascii="宋体" w:eastAsia="宋体" w:hAnsi="宋体" w:cs="宋体"/>
                <w:sz w:val="18"/>
                <w:szCs w:val="18"/>
              </w:rPr>
              <w:t>地、耐磨性能的均衡。具有更低的滚阻系数和高耐磨性能，比</w:t>
            </w:r>
            <w:proofErr w:type="gramStart"/>
            <w:r>
              <w:rPr>
                <w:rFonts w:ascii="宋体" w:eastAsia="宋体" w:hAnsi="宋体" w:cs="宋体"/>
                <w:sz w:val="18"/>
                <w:szCs w:val="18"/>
              </w:rPr>
              <w:t>现客户</w:t>
            </w:r>
            <w:proofErr w:type="gramEnd"/>
            <w:r>
              <w:rPr>
                <w:rFonts w:ascii="宋体" w:eastAsia="宋体" w:hAnsi="宋体" w:cs="宋体"/>
                <w:sz w:val="18"/>
                <w:szCs w:val="18"/>
              </w:rPr>
              <w:t>配方同车同区域路试耐磨性能提高10%以上。</w:t>
            </w:r>
          </w:p>
        </w:tc>
      </w:tr>
    </w:tbl>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主要产品的产能情况</w:t>
      </w:r>
    </w:p>
    <w:tbl>
      <w:tblPr>
        <w:tblW w:w="9639" w:type="dxa"/>
        <w:tblLayout w:type="fixed"/>
        <w:tblLook w:val="04A0" w:firstRow="1" w:lastRow="0" w:firstColumn="1" w:lastColumn="0" w:noHBand="0" w:noVBand="1"/>
      </w:tblPr>
      <w:tblGrid>
        <w:gridCol w:w="1927"/>
        <w:gridCol w:w="1928"/>
        <w:gridCol w:w="1928"/>
        <w:gridCol w:w="1928"/>
        <w:gridCol w:w="1928"/>
      </w:tblGrid>
      <w:tr w:rsidR="00157EA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主要产品</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设计产能</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产能利用率</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在建产能</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投资建设情况</w:t>
            </w:r>
          </w:p>
        </w:tc>
      </w:tr>
      <w:tr w:rsidR="00157EA0">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碳五分离产品</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15万吨/年</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52.50%</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w:t>
            </w:r>
          </w:p>
        </w:tc>
      </w:tr>
      <w:tr w:rsidR="00157EA0">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异戊橡胶</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4万吨/年</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33.68%</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w:t>
            </w:r>
          </w:p>
        </w:tc>
      </w:tr>
      <w:tr w:rsidR="00157EA0">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EVEC胶</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一期10.8万吨</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1542D9">
            <w:pPr>
              <w:spacing w:line="240" w:lineRule="exact"/>
              <w:jc w:val="right"/>
              <w:rPr>
                <w:rFonts w:ascii="宋体" w:eastAsia="宋体" w:hAnsi="宋体" w:cs="宋体"/>
                <w:sz w:val="18"/>
                <w:szCs w:val="18"/>
              </w:rPr>
            </w:pPr>
            <w:r>
              <w:rPr>
                <w:rFonts w:ascii="宋体" w:eastAsia="宋体" w:hAnsi="宋体" w:cs="宋体"/>
                <w:sz w:val="18"/>
                <w:szCs w:val="18"/>
              </w:rPr>
              <w:t>71.23</w:t>
            </w:r>
            <w:r w:rsidR="008D4B2E">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w:t>
            </w:r>
          </w:p>
        </w:tc>
      </w:tr>
    </w:tbl>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主要化工园区的产品种类情况</w:t>
      </w:r>
    </w:p>
    <w:tbl>
      <w:tblPr>
        <w:tblW w:w="9639" w:type="dxa"/>
        <w:tblLayout w:type="fixed"/>
        <w:tblLook w:val="04A0" w:firstRow="1" w:lastRow="0" w:firstColumn="1" w:lastColumn="0" w:noHBand="0" w:noVBand="1"/>
      </w:tblPr>
      <w:tblGrid>
        <w:gridCol w:w="4820"/>
        <w:gridCol w:w="4819"/>
      </w:tblGrid>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主要化工园区</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产品种类</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抚顺市高新技术开发区</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异戊橡胶、异戊二烯等</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董家口产业园</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EVEC胶等</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盘锦辽东湾新区</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异戊橡胶、异戊二烯等</w:t>
            </w:r>
          </w:p>
        </w:tc>
      </w:tr>
    </w:tbl>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报告期内正在申请或者新增取得的环评批复情况</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8D4B2E" w:rsidRDefault="008D4B2E">
      <w:pPr>
        <w:pStyle w:val="a3"/>
        <w:divId w:val="1505054147"/>
        <w:rPr>
          <w:sz w:val="18"/>
          <w:szCs w:val="18"/>
        </w:rPr>
      </w:pPr>
      <w:r>
        <w:rPr>
          <w:rFonts w:hint="eastAsia"/>
          <w:color w:val="000000"/>
          <w:sz w:val="18"/>
          <w:szCs w:val="18"/>
        </w:rPr>
        <w:t>项目名称：抚顺伊科思新材料有限公司新建天然气备用锅炉项目已取得环评批复，环评批号：</w:t>
      </w:r>
      <w:proofErr w:type="gramStart"/>
      <w:r>
        <w:rPr>
          <w:rFonts w:hint="eastAsia"/>
          <w:color w:val="000000"/>
          <w:sz w:val="18"/>
          <w:szCs w:val="18"/>
        </w:rPr>
        <w:t>抚环东审</w:t>
      </w:r>
      <w:proofErr w:type="gramEnd"/>
      <w:r>
        <w:rPr>
          <w:rFonts w:hint="eastAsia"/>
          <w:color w:val="000000"/>
          <w:sz w:val="18"/>
          <w:szCs w:val="18"/>
        </w:rPr>
        <w:t>【2023】10号。</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报告期内上市公司出现非正常停产情形</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相关批复、许可、资质及有效期的情况</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8D4B2E" w:rsidRDefault="008D4B2E">
      <w:pPr>
        <w:pStyle w:val="a3"/>
        <w:spacing w:beforeAutospacing="0" w:afterAutospacing="0" w:line="240" w:lineRule="atLeast"/>
        <w:divId w:val="1530222589"/>
        <w:rPr>
          <w:rFonts w:ascii="Calibri" w:hAnsi="Calibri" w:cs="Calibri"/>
          <w:sz w:val="21"/>
          <w:szCs w:val="21"/>
        </w:rPr>
      </w:pPr>
      <w:r>
        <w:rPr>
          <w:rFonts w:cs="Calibri" w:hint="eastAsia"/>
          <w:color w:val="000000"/>
          <w:sz w:val="18"/>
          <w:szCs w:val="18"/>
        </w:rPr>
        <w:t>主要产品生产、销售已取得相关批复、许可、资质，按期年检。 公司无自己经营的运输车辆，故无此方面的许可。 </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从事石油加工、石油贸易行业</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从事化肥行业</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从事农药行业</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从事氯碱、纯碱行业</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BA0365" w:rsidRDefault="008D4B2E">
      <w:pPr>
        <w:pStyle w:val="2"/>
        <w:spacing w:before="300" w:after="300" w:line="320" w:lineRule="exact"/>
        <w:rPr>
          <w:rFonts w:ascii="宋体" w:eastAsia="宋体" w:hAnsi="宋体" w:cs="宋体"/>
          <w:b/>
          <w:bCs/>
          <w:sz w:val="24"/>
          <w:szCs w:val="24"/>
        </w:rPr>
      </w:pPr>
      <w:bookmarkStart w:id="16" w:name="_Toc988905"/>
      <w:r>
        <w:rPr>
          <w:rFonts w:ascii="宋体" w:eastAsia="宋体" w:hAnsi="宋体" w:cs="宋体"/>
          <w:b/>
          <w:bCs/>
          <w:sz w:val="24"/>
          <w:szCs w:val="24"/>
        </w:rPr>
        <w:t>三、核心竞争力分析</w:t>
      </w:r>
      <w:bookmarkEnd w:id="16"/>
    </w:p>
    <w:p w:rsidR="008D4B2E" w:rsidRDefault="008D4B2E">
      <w:pPr>
        <w:pStyle w:val="a3"/>
        <w:spacing w:before="40" w:beforeAutospacing="0" w:after="40" w:afterAutospacing="0"/>
        <w:ind w:firstLine="360"/>
        <w:divId w:val="445973356"/>
      </w:pPr>
      <w:r>
        <w:rPr>
          <w:rFonts w:ascii="Times New Roman" w:hAnsi="Times New Roman" w:cs="Times New Roman"/>
          <w:sz w:val="18"/>
          <w:szCs w:val="18"/>
        </w:rPr>
        <w:t>1</w:t>
      </w:r>
      <w:r>
        <w:rPr>
          <w:rFonts w:hint="eastAsia"/>
          <w:sz w:val="18"/>
          <w:szCs w:val="18"/>
        </w:rPr>
        <w:t>、研发创新优势</w:t>
      </w:r>
    </w:p>
    <w:p w:rsidR="008D4B2E" w:rsidRDefault="008D4B2E">
      <w:pPr>
        <w:pStyle w:val="a3"/>
        <w:spacing w:before="40" w:beforeAutospacing="0" w:after="40" w:afterAutospacing="0"/>
        <w:ind w:firstLine="360"/>
        <w:divId w:val="445973356"/>
      </w:pPr>
      <w:r>
        <w:rPr>
          <w:rFonts w:hint="eastAsia"/>
          <w:sz w:val="18"/>
          <w:szCs w:val="18"/>
          <w:shd w:val="clear" w:color="auto" w:fill="FFFFFF"/>
        </w:rPr>
        <w:t>公司搭建了以中国、美国、斯洛伐克为中心的全球研发体系，是国家创新型企业、国家技术创新示范企业、国家工业品牌示</w:t>
      </w:r>
      <w:proofErr w:type="gramStart"/>
      <w:r>
        <w:rPr>
          <w:rFonts w:hint="eastAsia"/>
          <w:sz w:val="18"/>
          <w:szCs w:val="18"/>
          <w:shd w:val="clear" w:color="auto" w:fill="FFFFFF"/>
        </w:rPr>
        <w:t>范</w:t>
      </w:r>
      <w:proofErr w:type="gramEnd"/>
      <w:r>
        <w:rPr>
          <w:rFonts w:hint="eastAsia"/>
          <w:sz w:val="18"/>
          <w:szCs w:val="18"/>
          <w:shd w:val="clear" w:color="auto" w:fill="FFFFFF"/>
        </w:rPr>
        <w:t>企业、中国十大创新软件企业、资源节约型环境友好型企业，承建国家橡胶与轮胎工程技术研究中心、轮胎先进装备与关键材料工程研究中心、山东省橡胶与轮胎技术创新中心，拥有数字化橡胶轮胎装备国际联合研究中心、国家认定企业技术中心、博士后科研工作站，入选国家智能制造系统解决方案供应商、国家工信部绿色工厂，“半钢子午线轮胎成型机”荣获国家制造业单项冠军产品，拥有专利</w:t>
      </w:r>
      <w:r>
        <w:rPr>
          <w:rFonts w:ascii="Calibri" w:hAnsi="Calibri" w:cs="Calibri"/>
          <w:sz w:val="18"/>
          <w:szCs w:val="18"/>
          <w:shd w:val="clear" w:color="auto" w:fill="FFFFFF"/>
        </w:rPr>
        <w:t>1900</w:t>
      </w:r>
      <w:r>
        <w:rPr>
          <w:rFonts w:hint="eastAsia"/>
          <w:sz w:val="18"/>
          <w:szCs w:val="18"/>
          <w:shd w:val="clear" w:color="auto" w:fill="FFFFFF"/>
        </w:rPr>
        <w:t>余项，获得国家科技进步奖</w:t>
      </w:r>
      <w:r>
        <w:rPr>
          <w:rFonts w:ascii="Calibri" w:hAnsi="Calibri" w:cs="Calibri"/>
          <w:sz w:val="18"/>
          <w:szCs w:val="18"/>
          <w:shd w:val="clear" w:color="auto" w:fill="FFFFFF"/>
        </w:rPr>
        <w:t>1</w:t>
      </w:r>
      <w:r>
        <w:rPr>
          <w:rFonts w:hint="eastAsia"/>
          <w:sz w:val="18"/>
          <w:szCs w:val="18"/>
          <w:shd w:val="clear" w:color="auto" w:fill="FFFFFF"/>
        </w:rPr>
        <w:t>项、省部级科技奖励</w:t>
      </w:r>
      <w:r>
        <w:rPr>
          <w:rFonts w:ascii="Calibri" w:hAnsi="Calibri" w:cs="Calibri"/>
          <w:sz w:val="18"/>
          <w:szCs w:val="18"/>
          <w:shd w:val="clear" w:color="auto" w:fill="FFFFFF"/>
        </w:rPr>
        <w:t>36</w:t>
      </w:r>
      <w:r>
        <w:rPr>
          <w:rFonts w:hint="eastAsia"/>
          <w:sz w:val="18"/>
          <w:szCs w:val="18"/>
          <w:shd w:val="clear" w:color="auto" w:fill="FFFFFF"/>
        </w:rPr>
        <w:t>项，起草国际标准</w:t>
      </w:r>
      <w:r>
        <w:rPr>
          <w:rFonts w:ascii="Calibri" w:hAnsi="Calibri" w:cs="Calibri"/>
          <w:sz w:val="18"/>
          <w:szCs w:val="18"/>
          <w:shd w:val="clear" w:color="auto" w:fill="FFFFFF"/>
        </w:rPr>
        <w:t>5</w:t>
      </w:r>
      <w:r>
        <w:rPr>
          <w:rFonts w:hint="eastAsia"/>
          <w:sz w:val="18"/>
          <w:szCs w:val="18"/>
          <w:shd w:val="clear" w:color="auto" w:fill="FFFFFF"/>
        </w:rPr>
        <w:t>项、国家及行业标准</w:t>
      </w:r>
      <w:r>
        <w:rPr>
          <w:rFonts w:ascii="Calibri" w:hAnsi="Calibri" w:cs="Calibri"/>
          <w:sz w:val="18"/>
          <w:szCs w:val="18"/>
          <w:shd w:val="clear" w:color="auto" w:fill="FFFFFF"/>
        </w:rPr>
        <w:t>87</w:t>
      </w:r>
      <w:r>
        <w:rPr>
          <w:rFonts w:hint="eastAsia"/>
          <w:sz w:val="18"/>
          <w:szCs w:val="18"/>
          <w:shd w:val="clear" w:color="auto" w:fill="FFFFFF"/>
        </w:rPr>
        <w:t>项，团体标准14项，承担国家各部委科技项目</w:t>
      </w:r>
      <w:r>
        <w:rPr>
          <w:rFonts w:ascii="Calibri" w:eastAsia="微软雅黑" w:hAnsi="Calibri" w:cs="Calibri"/>
          <w:sz w:val="18"/>
          <w:szCs w:val="18"/>
          <w:shd w:val="clear" w:color="auto" w:fill="FFFFFF"/>
        </w:rPr>
        <w:t>71</w:t>
      </w:r>
      <w:r>
        <w:rPr>
          <w:rFonts w:hint="eastAsia"/>
          <w:sz w:val="18"/>
          <w:szCs w:val="18"/>
          <w:shd w:val="clear" w:color="auto" w:fill="FFFFFF"/>
        </w:rPr>
        <w:t>项。 </w:t>
      </w:r>
      <w:r>
        <w:rPr>
          <w:rFonts w:hint="eastAsia"/>
          <w:sz w:val="18"/>
          <w:szCs w:val="18"/>
        </w:rPr>
        <w:t> </w:t>
      </w:r>
    </w:p>
    <w:p w:rsidR="008D4B2E" w:rsidRDefault="008D4B2E" w:rsidP="008D4B2E">
      <w:pPr>
        <w:pStyle w:val="a3"/>
        <w:spacing w:before="40" w:beforeAutospacing="0" w:after="40" w:afterAutospacing="0"/>
        <w:ind w:firstLine="360"/>
        <w:divId w:val="445973356"/>
      </w:pPr>
      <w:r>
        <w:rPr>
          <w:rFonts w:ascii="Times New Roman" w:hAnsi="Times New Roman" w:cs="Times New Roman"/>
          <w:sz w:val="18"/>
          <w:szCs w:val="18"/>
        </w:rPr>
        <w:t>2</w:t>
      </w:r>
      <w:r>
        <w:rPr>
          <w:rFonts w:hint="eastAsia"/>
          <w:sz w:val="18"/>
          <w:szCs w:val="18"/>
        </w:rPr>
        <w:t>、市场品牌优势</w:t>
      </w:r>
    </w:p>
    <w:p w:rsidR="008D4B2E" w:rsidRDefault="008D4B2E" w:rsidP="008D4B2E">
      <w:pPr>
        <w:pStyle w:val="a3"/>
        <w:spacing w:before="40" w:beforeAutospacing="0" w:after="40" w:afterAutospacing="0"/>
        <w:ind w:firstLine="360"/>
        <w:divId w:val="445973356"/>
      </w:pPr>
      <w:r>
        <w:rPr>
          <w:rFonts w:hint="eastAsia"/>
          <w:sz w:val="18"/>
          <w:szCs w:val="18"/>
        </w:rPr>
        <w:t>公司近年来持续稳步地推进中高端和国际化的战略，目前公司的营销网络已遍布欧、美、亚、非等多个国家和地区，海外本土化的技术和服务团队建设卓有成效，可辐射全球60多个国家和地区的500多家客户，并与众多高端轮胎企业建立了战略合作伙伴关系，客户对公司的认可和信任日益加深。公司在单机智能化、车间智能化和轮胎工厂智能化以及整体智能制造等方面的能力和水平不断提升。公司积极推进数字化、智能化设备的设计、制造与生产，突破高端市场，并根据国家“一带一路”战略，积极开拓海外市场，建立良好的合作伙伴关系。公司的品牌已为国内外中高端客户所熟悉，且售后服务品质已经为广大客户高度认可。</w:t>
      </w:r>
    </w:p>
    <w:p w:rsidR="008D4B2E" w:rsidRDefault="008D4B2E">
      <w:pPr>
        <w:pStyle w:val="a3"/>
        <w:spacing w:before="40" w:beforeAutospacing="0" w:after="40" w:afterAutospacing="0"/>
        <w:ind w:firstLine="360"/>
        <w:divId w:val="445973356"/>
      </w:pPr>
      <w:r>
        <w:rPr>
          <w:rFonts w:ascii="Times New Roman" w:hAnsi="Times New Roman" w:cs="Times New Roman"/>
          <w:sz w:val="18"/>
          <w:szCs w:val="18"/>
        </w:rPr>
        <w:t>3</w:t>
      </w:r>
      <w:r>
        <w:rPr>
          <w:rFonts w:hint="eastAsia"/>
          <w:sz w:val="18"/>
          <w:szCs w:val="18"/>
        </w:rPr>
        <w:t>、核心加工制造能力</w:t>
      </w:r>
    </w:p>
    <w:p w:rsidR="008D4B2E" w:rsidRDefault="008D4B2E">
      <w:pPr>
        <w:pStyle w:val="a3"/>
        <w:spacing w:before="40" w:beforeAutospacing="0" w:after="40" w:afterAutospacing="0"/>
        <w:ind w:firstLine="360"/>
        <w:divId w:val="445973356"/>
      </w:pPr>
      <w:r>
        <w:rPr>
          <w:rFonts w:hint="eastAsia"/>
          <w:sz w:val="18"/>
          <w:szCs w:val="18"/>
        </w:rPr>
        <w:t>公司先后建立了国际先进水平的信息化装备制造基地，物料输送与配料中心，并配备先进的数字化加工设备及精密测量器具，拥有经中国合格评定国家认可委员会认定的计量理化检测中心，有力保障产品的研发和加工制造的精度与质量。充分运用先进的信息化管理手段，推进执行国际化标准，严格控制研发、设计、加工、装配等各个环节。同时与供应</w:t>
      </w:r>
      <w:proofErr w:type="gramStart"/>
      <w:r>
        <w:rPr>
          <w:rFonts w:hint="eastAsia"/>
          <w:sz w:val="18"/>
          <w:szCs w:val="18"/>
        </w:rPr>
        <w:t>商深入</w:t>
      </w:r>
      <w:proofErr w:type="gramEnd"/>
      <w:r>
        <w:rPr>
          <w:rFonts w:hint="eastAsia"/>
          <w:sz w:val="18"/>
          <w:szCs w:val="18"/>
        </w:rPr>
        <w:t>合作，将公司先进的经营模式、管理模式与供应商的特点结合起来，实现各方的共同发展。</w:t>
      </w:r>
    </w:p>
    <w:p w:rsidR="008D4B2E" w:rsidRDefault="008D4B2E">
      <w:pPr>
        <w:pStyle w:val="a3"/>
        <w:spacing w:before="40" w:beforeAutospacing="0" w:after="40" w:afterAutospacing="0"/>
        <w:ind w:firstLine="360"/>
        <w:divId w:val="445973356"/>
      </w:pPr>
      <w:r>
        <w:rPr>
          <w:rFonts w:ascii="Times New Roman" w:hAnsi="Times New Roman" w:cs="Times New Roman"/>
          <w:sz w:val="18"/>
          <w:szCs w:val="18"/>
        </w:rPr>
        <w:t>4</w:t>
      </w:r>
      <w:r>
        <w:rPr>
          <w:rFonts w:hint="eastAsia"/>
          <w:sz w:val="18"/>
          <w:szCs w:val="18"/>
        </w:rPr>
        <w:t>、智能制造的优势</w:t>
      </w:r>
    </w:p>
    <w:p w:rsidR="008D4B2E" w:rsidRDefault="008D4B2E">
      <w:pPr>
        <w:pStyle w:val="a3"/>
        <w:spacing w:before="40" w:beforeAutospacing="0" w:after="40" w:afterAutospacing="0"/>
        <w:ind w:firstLine="360"/>
        <w:divId w:val="445973356"/>
      </w:pPr>
      <w:r>
        <w:rPr>
          <w:rFonts w:hint="eastAsia"/>
          <w:sz w:val="18"/>
          <w:szCs w:val="18"/>
        </w:rPr>
        <w:t>公司是全球领先轮胎生产整体解决方案提供商，产品覆盖轮胎生产全工序。依托成熟的全球研发体系、先进的信息化手段，大量的项目实践，以标准引领智能制造，提供从智能装备到智能工厂的个性化、多维</w:t>
      </w:r>
      <w:proofErr w:type="gramStart"/>
      <w:r>
        <w:rPr>
          <w:rFonts w:hint="eastAsia"/>
          <w:sz w:val="18"/>
          <w:szCs w:val="18"/>
        </w:rPr>
        <w:t>度解决</w:t>
      </w:r>
      <w:proofErr w:type="gramEnd"/>
      <w:r>
        <w:rPr>
          <w:rFonts w:hint="eastAsia"/>
          <w:sz w:val="18"/>
          <w:szCs w:val="18"/>
        </w:rPr>
        <w:t>方案，助力用户实现简化管理、提升品质、降本增效、绿色环保。公司以模块化为基础，围绕重点项目、关键课题推进研发平台建设，强抓</w:t>
      </w:r>
      <w:proofErr w:type="gramStart"/>
      <w:r>
        <w:rPr>
          <w:rFonts w:hint="eastAsia"/>
          <w:sz w:val="18"/>
          <w:szCs w:val="18"/>
        </w:rPr>
        <w:t>制程质量</w:t>
      </w:r>
      <w:proofErr w:type="gramEnd"/>
      <w:r>
        <w:rPr>
          <w:rFonts w:hint="eastAsia"/>
          <w:sz w:val="18"/>
          <w:szCs w:val="18"/>
        </w:rPr>
        <w:t>与供应质量，建立精细化管控样板，简化操作难度，</w:t>
      </w:r>
      <w:proofErr w:type="gramStart"/>
      <w:r>
        <w:rPr>
          <w:rFonts w:hint="eastAsia"/>
          <w:sz w:val="18"/>
          <w:szCs w:val="18"/>
        </w:rPr>
        <w:t>实现制程的</w:t>
      </w:r>
      <w:proofErr w:type="gramEnd"/>
      <w:r>
        <w:rPr>
          <w:rFonts w:hint="eastAsia"/>
          <w:sz w:val="18"/>
          <w:szCs w:val="18"/>
        </w:rPr>
        <w:t>自适应、自调整。</w:t>
      </w:r>
    </w:p>
    <w:p w:rsidR="008D4B2E" w:rsidRDefault="008D4B2E" w:rsidP="008D4B2E">
      <w:pPr>
        <w:pStyle w:val="a3"/>
        <w:spacing w:before="40" w:beforeAutospacing="0" w:after="40" w:afterAutospacing="0"/>
        <w:ind w:firstLine="360"/>
        <w:divId w:val="445973356"/>
      </w:pPr>
      <w:r>
        <w:rPr>
          <w:rFonts w:ascii="Times New Roman" w:hAnsi="Times New Roman" w:cs="Times New Roman"/>
          <w:sz w:val="18"/>
          <w:szCs w:val="18"/>
        </w:rPr>
        <w:t>5</w:t>
      </w:r>
      <w:r>
        <w:rPr>
          <w:rFonts w:hint="eastAsia"/>
          <w:sz w:val="18"/>
          <w:szCs w:val="18"/>
        </w:rPr>
        <w:t>、良好的企业文化和管理优势</w:t>
      </w:r>
    </w:p>
    <w:p w:rsidR="008D4B2E" w:rsidRPr="008D4B2E" w:rsidRDefault="008D4B2E" w:rsidP="008D4B2E">
      <w:pPr>
        <w:pStyle w:val="a3"/>
        <w:spacing w:before="40" w:beforeAutospacing="0" w:after="40" w:afterAutospacing="0"/>
        <w:ind w:firstLine="360"/>
        <w:divId w:val="445973356"/>
      </w:pPr>
      <w:r>
        <w:rPr>
          <w:rFonts w:hint="eastAsia"/>
          <w:sz w:val="18"/>
          <w:szCs w:val="18"/>
        </w:rPr>
        <w:t>公司拥有完整的梯队化管理团队，高级管理人员拥有丰富的项目与行业经验，中级管理人员具有充足的活力与动力，具备良好的创新精神与奋斗精神。</w:t>
      </w:r>
      <w:r>
        <w:rPr>
          <w:rFonts w:ascii="Times New Roman" w:hAnsi="Times New Roman" w:cs="Times New Roman"/>
          <w:sz w:val="18"/>
          <w:szCs w:val="18"/>
        </w:rPr>
        <w:t>20</w:t>
      </w:r>
      <w:r>
        <w:rPr>
          <w:rFonts w:hint="eastAsia"/>
          <w:sz w:val="18"/>
          <w:szCs w:val="18"/>
        </w:rPr>
        <w:t>余年来骨干成员较为稳定，对公司的发展和战略规划的延续起到了至关重要的作用。公司上市后，良好的企业文化、价值观与战略布局，吸引了一批行业内的知名与专业人士作为事业合伙人加入，共谋发展。公司的各项制度与员工关怀举措，都为优化员工结构、提升员工效能、保证公司的团队优势做出了必要的贡献。</w:t>
      </w:r>
    </w:p>
    <w:p w:rsidR="00BA0365" w:rsidRDefault="008D4B2E">
      <w:pPr>
        <w:pStyle w:val="2"/>
        <w:spacing w:before="300" w:after="300" w:line="320" w:lineRule="exact"/>
        <w:rPr>
          <w:rFonts w:ascii="宋体" w:eastAsia="宋体" w:hAnsi="宋体" w:cs="宋体"/>
          <w:b/>
          <w:bCs/>
          <w:sz w:val="24"/>
          <w:szCs w:val="24"/>
        </w:rPr>
      </w:pPr>
      <w:bookmarkStart w:id="17" w:name="_Toc988906"/>
      <w:r>
        <w:rPr>
          <w:rFonts w:ascii="宋体" w:eastAsia="宋体" w:hAnsi="宋体" w:cs="宋体"/>
          <w:b/>
          <w:bCs/>
          <w:sz w:val="24"/>
          <w:szCs w:val="24"/>
        </w:rPr>
        <w:t>四、主营业务分析</w:t>
      </w:r>
      <w:bookmarkEnd w:id="17"/>
    </w:p>
    <w:p w:rsidR="00BA0365" w:rsidRDefault="008D4B2E">
      <w:pPr>
        <w:pStyle w:val="3"/>
        <w:spacing w:line="280" w:lineRule="exact"/>
        <w:jc w:val="left"/>
        <w:rPr>
          <w:rFonts w:ascii="宋体" w:hAnsi="宋体" w:cs="宋体"/>
          <w:b/>
          <w:bCs/>
        </w:rPr>
      </w:pPr>
      <w:bookmarkStart w:id="18" w:name="_Toc988907"/>
      <w:r>
        <w:rPr>
          <w:rFonts w:ascii="宋体" w:hAnsi="宋体" w:cs="宋体"/>
          <w:b/>
          <w:bCs/>
        </w:rPr>
        <w:t>1、概述</w:t>
      </w:r>
      <w:bookmarkEnd w:id="18"/>
    </w:p>
    <w:p w:rsidR="008D4B2E" w:rsidRDefault="008D4B2E">
      <w:pPr>
        <w:pStyle w:val="a3"/>
        <w:spacing w:before="0" w:beforeAutospacing="0" w:after="0" w:afterAutospacing="0"/>
        <w:ind w:firstLine="360"/>
        <w:divId w:val="1160999966"/>
      </w:pPr>
      <w:r>
        <w:rPr>
          <w:rFonts w:hint="eastAsia"/>
          <w:sz w:val="18"/>
          <w:szCs w:val="18"/>
        </w:rPr>
        <w:t>公司成立于2000年，致力于橡胶行业应用软件、信息化装备的研发与创新，为轮胎企业提供软硬结合、管控一体的智能化整体解决方案，推动工业智能化发展，并广泛涉足物联网、RFID、自动化物流、橡胶新材料等领域。公司的主营业务为轮胎橡胶装备与系统的研发与制造，目前已形成较完整的产品链，能够为轮胎生产的配料、密炼、压延、裁断、成型、硫化、检测各个环节提供智能化装备及系统软件服务。</w:t>
      </w:r>
    </w:p>
    <w:p w:rsidR="008D4B2E" w:rsidRDefault="008D4B2E">
      <w:pPr>
        <w:pStyle w:val="a3"/>
        <w:spacing w:before="0" w:beforeAutospacing="0" w:after="0" w:afterAutospacing="0"/>
        <w:ind w:firstLine="360"/>
        <w:divId w:val="1160999966"/>
        <w:rPr>
          <w:rFonts w:ascii="Calibri" w:hAnsi="Calibri" w:cs="Calibri"/>
          <w:sz w:val="21"/>
          <w:szCs w:val="21"/>
        </w:rPr>
      </w:pPr>
      <w:r>
        <w:rPr>
          <w:rFonts w:cs="Calibri" w:hint="eastAsia"/>
          <w:sz w:val="18"/>
          <w:szCs w:val="18"/>
        </w:rPr>
        <w:lastRenderedPageBreak/>
        <w:t>公司致力于“产学研”相结合的发展模式，重视新产品的研发，不断提升生产装备制造基地的水平和效率，同时在加强市场销售和售后服务的同时，保持对经营管理方面的深入探索，逐步形成了产、供、销高效衔接的经营模式。</w:t>
      </w:r>
    </w:p>
    <w:p w:rsidR="008D4B2E" w:rsidRDefault="008D4B2E">
      <w:pPr>
        <w:pStyle w:val="a3"/>
        <w:spacing w:before="0" w:beforeAutospacing="0" w:after="0" w:afterAutospacing="0"/>
        <w:ind w:firstLine="360"/>
        <w:divId w:val="1160999966"/>
        <w:rPr>
          <w:rFonts w:ascii="Calibri" w:hAnsi="Calibri" w:cs="Calibri"/>
          <w:sz w:val="21"/>
          <w:szCs w:val="21"/>
        </w:rPr>
      </w:pPr>
      <w:r>
        <w:rPr>
          <w:rFonts w:cs="Calibri" w:hint="eastAsia"/>
          <w:sz w:val="18"/>
          <w:szCs w:val="18"/>
        </w:rPr>
        <w:t>报告期内，公司在重大研发项目攻关方面全面开展了设计质量前移控制，重大装备已有序推向市场，围绕重点项目、关键课题推进研发平台建设，统一质量认知，强抓</w:t>
      </w:r>
      <w:proofErr w:type="gramStart"/>
      <w:r>
        <w:rPr>
          <w:rFonts w:cs="Calibri" w:hint="eastAsia"/>
          <w:sz w:val="18"/>
          <w:szCs w:val="18"/>
        </w:rPr>
        <w:t>制程质量</w:t>
      </w:r>
      <w:proofErr w:type="gramEnd"/>
      <w:r>
        <w:rPr>
          <w:rFonts w:cs="Calibri" w:hint="eastAsia"/>
          <w:sz w:val="18"/>
          <w:szCs w:val="18"/>
        </w:rPr>
        <w:t>与供应质量，建设精细化管控样板，订单总量高位运行，交付保障能力进一步提升，经过多年发展，公司在橡胶机械领域已率先走在了行业的前列。</w:t>
      </w:r>
    </w:p>
    <w:p w:rsidR="00BA0365" w:rsidRDefault="008D4B2E">
      <w:pPr>
        <w:pStyle w:val="3"/>
        <w:spacing w:line="280" w:lineRule="exact"/>
        <w:jc w:val="left"/>
        <w:rPr>
          <w:rFonts w:ascii="宋体" w:hAnsi="宋体" w:cs="宋体"/>
          <w:b/>
          <w:bCs/>
        </w:rPr>
      </w:pPr>
      <w:bookmarkStart w:id="19" w:name="_Toc988908"/>
      <w:r>
        <w:rPr>
          <w:rFonts w:ascii="宋体" w:hAnsi="宋体" w:cs="宋体"/>
          <w:b/>
          <w:bCs/>
        </w:rPr>
        <w:t>2、收入与成本</w:t>
      </w:r>
      <w:bookmarkEnd w:id="19"/>
    </w:p>
    <w:p w:rsidR="00BA0365" w:rsidRDefault="008D4B2E">
      <w:pPr>
        <w:keepNext/>
        <w:keepLines/>
        <w:spacing w:before="300" w:after="300" w:line="280" w:lineRule="exact"/>
        <w:outlineLvl w:val="3"/>
        <w:rPr>
          <w:rFonts w:ascii="宋体" w:eastAsia="宋体" w:hAnsi="宋体" w:cs="宋体"/>
          <w:b/>
          <w:bCs/>
          <w:szCs w:val="21"/>
        </w:rPr>
      </w:pPr>
      <w:bookmarkStart w:id="20" w:name="_Toc988909"/>
      <w:r>
        <w:rPr>
          <w:rFonts w:ascii="宋体" w:eastAsia="宋体" w:hAnsi="宋体" w:cs="宋体"/>
          <w:b/>
          <w:bCs/>
          <w:szCs w:val="21"/>
        </w:rPr>
        <w:t>（1） 营业收入构成</w:t>
      </w:r>
      <w:bookmarkEnd w:id="20"/>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1606"/>
        <w:gridCol w:w="1763"/>
        <w:gridCol w:w="1842"/>
        <w:gridCol w:w="1843"/>
        <w:gridCol w:w="1559"/>
        <w:gridCol w:w="1026"/>
      </w:tblGrid>
      <w:tr w:rsidR="00157EA0" w:rsidTr="00220C19">
        <w:trPr>
          <w:trHeight w:val="240"/>
        </w:trPr>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3605"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2023年</w:t>
            </w:r>
          </w:p>
        </w:tc>
        <w:tc>
          <w:tcPr>
            <w:tcW w:w="340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2022年</w:t>
            </w:r>
          </w:p>
        </w:tc>
        <w:tc>
          <w:tcPr>
            <w:tcW w:w="102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同比增减</w:t>
            </w:r>
          </w:p>
        </w:tc>
      </w:tr>
      <w:tr w:rsidR="00157EA0" w:rsidTr="00220C19">
        <w:trPr>
          <w:trHeight w:val="240"/>
        </w:trPr>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76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84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占营业收入比重</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占营业收入比重</w:t>
            </w:r>
          </w:p>
        </w:tc>
        <w:tc>
          <w:tcPr>
            <w:tcW w:w="102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r w:rsidR="00157EA0" w:rsidTr="00220C1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营业收入合计</w:t>
            </w:r>
          </w:p>
        </w:tc>
        <w:tc>
          <w:tcPr>
            <w:tcW w:w="176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5,647,595,165.99</w:t>
            </w:r>
          </w:p>
        </w:tc>
        <w:tc>
          <w:tcPr>
            <w:tcW w:w="184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right"/>
              <w:rPr>
                <w:rFonts w:ascii="宋体" w:eastAsia="宋体" w:hAnsi="宋体" w:cs="宋体"/>
                <w:sz w:val="18"/>
                <w:szCs w:val="18"/>
                <w:shd w:val="clear" w:color="auto" w:fill="D3D3D3"/>
              </w:rPr>
            </w:pPr>
            <w:r>
              <w:rPr>
                <w:rFonts w:ascii="宋体" w:eastAsia="宋体" w:hAnsi="宋体" w:cs="宋体"/>
                <w:sz w:val="18"/>
                <w:szCs w:val="18"/>
                <w:shd w:val="clear" w:color="auto" w:fill="D3D3D3"/>
              </w:rPr>
              <w:t>100%</w:t>
            </w:r>
          </w:p>
        </w:tc>
        <w:tc>
          <w:tcPr>
            <w:tcW w:w="184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5,735,914,957.58</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right"/>
              <w:rPr>
                <w:rFonts w:ascii="宋体" w:eastAsia="宋体" w:hAnsi="宋体" w:cs="宋体"/>
                <w:sz w:val="18"/>
                <w:szCs w:val="18"/>
                <w:shd w:val="clear" w:color="auto" w:fill="D3D3D3"/>
              </w:rPr>
            </w:pPr>
            <w:r>
              <w:rPr>
                <w:rFonts w:ascii="宋体" w:eastAsia="宋体" w:hAnsi="宋体" w:cs="宋体"/>
                <w:sz w:val="18"/>
                <w:szCs w:val="18"/>
                <w:shd w:val="clear" w:color="auto" w:fill="D3D3D3"/>
              </w:rPr>
              <w:t>100%</w:t>
            </w:r>
          </w:p>
        </w:tc>
        <w:tc>
          <w:tcPr>
            <w:tcW w:w="102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-1.54%</w:t>
            </w:r>
          </w:p>
        </w:tc>
      </w:tr>
      <w:tr w:rsidR="00157EA0">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分行业</w:t>
            </w:r>
          </w:p>
        </w:tc>
      </w:tr>
      <w:tr w:rsidR="00157EA0" w:rsidTr="00220C19">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软件业</w:t>
            </w:r>
          </w:p>
        </w:tc>
        <w:tc>
          <w:tcPr>
            <w:tcW w:w="176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214,180,155.25</w:t>
            </w:r>
          </w:p>
        </w:tc>
        <w:tc>
          <w:tcPr>
            <w:tcW w:w="18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3.79%</w:t>
            </w:r>
          </w:p>
        </w:tc>
        <w:tc>
          <w:tcPr>
            <w:tcW w:w="184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212,368,499.08</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3.70%</w:t>
            </w:r>
          </w:p>
        </w:tc>
        <w:tc>
          <w:tcPr>
            <w:tcW w:w="102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0.85%</w:t>
            </w:r>
          </w:p>
        </w:tc>
      </w:tr>
      <w:tr w:rsidR="00157EA0" w:rsidTr="00220C19">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制造及安装业</w:t>
            </w:r>
          </w:p>
        </w:tc>
        <w:tc>
          <w:tcPr>
            <w:tcW w:w="176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5,433,415,010.74</w:t>
            </w:r>
          </w:p>
        </w:tc>
        <w:tc>
          <w:tcPr>
            <w:tcW w:w="18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96.21%</w:t>
            </w:r>
          </w:p>
        </w:tc>
        <w:tc>
          <w:tcPr>
            <w:tcW w:w="184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5,523,546,458.50</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96.30%</w:t>
            </w:r>
          </w:p>
        </w:tc>
        <w:tc>
          <w:tcPr>
            <w:tcW w:w="102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-1.63%</w:t>
            </w:r>
          </w:p>
        </w:tc>
      </w:tr>
      <w:tr w:rsidR="00157EA0">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分产品</w:t>
            </w:r>
          </w:p>
        </w:tc>
      </w:tr>
      <w:tr w:rsidR="00157EA0" w:rsidTr="00220C19">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橡胶装备系统</w:t>
            </w:r>
          </w:p>
        </w:tc>
        <w:tc>
          <w:tcPr>
            <w:tcW w:w="176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4,020,909,944.75</w:t>
            </w:r>
          </w:p>
        </w:tc>
        <w:tc>
          <w:tcPr>
            <w:tcW w:w="18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71.20%</w:t>
            </w:r>
          </w:p>
        </w:tc>
        <w:tc>
          <w:tcPr>
            <w:tcW w:w="184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3,265,461,863.27</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56.93%</w:t>
            </w:r>
          </w:p>
        </w:tc>
        <w:tc>
          <w:tcPr>
            <w:tcW w:w="102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23.13%</w:t>
            </w:r>
          </w:p>
        </w:tc>
      </w:tr>
      <w:tr w:rsidR="00157EA0" w:rsidTr="00220C19">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橡胶新材料</w:t>
            </w:r>
          </w:p>
        </w:tc>
        <w:tc>
          <w:tcPr>
            <w:tcW w:w="176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1,586,896,743.64</w:t>
            </w:r>
          </w:p>
        </w:tc>
        <w:tc>
          <w:tcPr>
            <w:tcW w:w="18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28.10%</w:t>
            </w:r>
          </w:p>
        </w:tc>
        <w:tc>
          <w:tcPr>
            <w:tcW w:w="184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1,450,641,139.10</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25.29%</w:t>
            </w:r>
          </w:p>
        </w:tc>
        <w:tc>
          <w:tcPr>
            <w:tcW w:w="102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9.39%</w:t>
            </w:r>
          </w:p>
        </w:tc>
      </w:tr>
      <w:tr w:rsidR="00157EA0" w:rsidTr="00220C19">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化工材料</w:t>
            </w:r>
          </w:p>
        </w:tc>
        <w:tc>
          <w:tcPr>
            <w:tcW w:w="176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8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84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969,200,932.61</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16.90%</w:t>
            </w:r>
          </w:p>
        </w:tc>
        <w:tc>
          <w:tcPr>
            <w:tcW w:w="102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w:t>
            </w:r>
          </w:p>
        </w:tc>
      </w:tr>
      <w:tr w:rsidR="00157EA0" w:rsidTr="00220C19">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其他</w:t>
            </w:r>
          </w:p>
        </w:tc>
        <w:tc>
          <w:tcPr>
            <w:tcW w:w="176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39,788,477.60</w:t>
            </w:r>
          </w:p>
        </w:tc>
        <w:tc>
          <w:tcPr>
            <w:tcW w:w="18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0.70%</w:t>
            </w:r>
          </w:p>
        </w:tc>
        <w:tc>
          <w:tcPr>
            <w:tcW w:w="184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50,611,022.60</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0.88%</w:t>
            </w:r>
          </w:p>
        </w:tc>
        <w:tc>
          <w:tcPr>
            <w:tcW w:w="102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-21.38%</w:t>
            </w:r>
          </w:p>
        </w:tc>
      </w:tr>
      <w:tr w:rsidR="00157EA0">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分地区</w:t>
            </w:r>
          </w:p>
        </w:tc>
      </w:tr>
      <w:tr w:rsidR="00157EA0" w:rsidTr="00220C19">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国内</w:t>
            </w:r>
          </w:p>
        </w:tc>
        <w:tc>
          <w:tcPr>
            <w:tcW w:w="176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4,250,295,118.06</w:t>
            </w:r>
          </w:p>
        </w:tc>
        <w:tc>
          <w:tcPr>
            <w:tcW w:w="18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75.26%</w:t>
            </w:r>
          </w:p>
        </w:tc>
        <w:tc>
          <w:tcPr>
            <w:tcW w:w="184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4,407,225,422.47</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76.84%</w:t>
            </w:r>
          </w:p>
        </w:tc>
        <w:tc>
          <w:tcPr>
            <w:tcW w:w="102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-3.56%</w:t>
            </w:r>
          </w:p>
        </w:tc>
      </w:tr>
      <w:tr w:rsidR="00157EA0" w:rsidTr="00220C19">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国外</w:t>
            </w:r>
          </w:p>
        </w:tc>
        <w:tc>
          <w:tcPr>
            <w:tcW w:w="176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1,397,300,047.93</w:t>
            </w:r>
          </w:p>
        </w:tc>
        <w:tc>
          <w:tcPr>
            <w:tcW w:w="18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24.74%</w:t>
            </w:r>
          </w:p>
        </w:tc>
        <w:tc>
          <w:tcPr>
            <w:tcW w:w="184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1,328,689,535.11</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23.16%</w:t>
            </w:r>
          </w:p>
        </w:tc>
        <w:tc>
          <w:tcPr>
            <w:tcW w:w="102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5.16%</w:t>
            </w:r>
          </w:p>
        </w:tc>
      </w:tr>
      <w:tr w:rsidR="00157EA0">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proofErr w:type="gramStart"/>
            <w:r>
              <w:rPr>
                <w:rFonts w:ascii="宋体" w:eastAsia="宋体" w:hAnsi="宋体" w:cs="宋体"/>
                <w:sz w:val="18"/>
                <w:szCs w:val="18"/>
              </w:rPr>
              <w:t>分销售</w:t>
            </w:r>
            <w:proofErr w:type="gramEnd"/>
            <w:r>
              <w:rPr>
                <w:rFonts w:ascii="宋体" w:eastAsia="宋体" w:hAnsi="宋体" w:cs="宋体"/>
                <w:sz w:val="18"/>
                <w:szCs w:val="18"/>
              </w:rPr>
              <w:t>模式</w:t>
            </w:r>
          </w:p>
        </w:tc>
      </w:tr>
      <w:tr w:rsidR="00157EA0" w:rsidTr="00220C19">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直销</w:t>
            </w:r>
          </w:p>
        </w:tc>
        <w:tc>
          <w:tcPr>
            <w:tcW w:w="176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5,647,595,165.99</w:t>
            </w:r>
          </w:p>
        </w:tc>
        <w:tc>
          <w:tcPr>
            <w:tcW w:w="18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84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5,735,914,957.58</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02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-1.54%</w:t>
            </w:r>
          </w:p>
        </w:tc>
      </w:tr>
    </w:tbl>
    <w:p w:rsidR="00BA0365" w:rsidRDefault="008D4B2E">
      <w:pPr>
        <w:keepNext/>
        <w:keepLines/>
        <w:spacing w:before="300" w:after="300" w:line="280" w:lineRule="exact"/>
        <w:outlineLvl w:val="3"/>
        <w:rPr>
          <w:rFonts w:ascii="宋体" w:eastAsia="宋体" w:hAnsi="宋体" w:cs="宋体"/>
          <w:b/>
          <w:bCs/>
          <w:sz w:val="18"/>
          <w:szCs w:val="18"/>
        </w:rPr>
      </w:pPr>
      <w:bookmarkStart w:id="21" w:name="_Toc988910"/>
      <w:r>
        <w:rPr>
          <w:rFonts w:ascii="宋体" w:eastAsia="宋体" w:hAnsi="宋体" w:cs="宋体"/>
          <w:b/>
          <w:bCs/>
          <w:sz w:val="18"/>
          <w:szCs w:val="18"/>
        </w:rPr>
        <w:t>（2） 占公司营业收入或营业利润10%以上的行业、产品、地区、销售模式的情况</w:t>
      </w:r>
      <w:bookmarkEnd w:id="21"/>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公司需遵守《深圳证券交易所上市公司自律监管指引第3号——行业信息披露》中化工行业的披露要求</w:t>
      </w:r>
    </w:p>
    <w:p w:rsidR="00BA0365" w:rsidRDefault="008D4B2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959"/>
        <w:gridCol w:w="1701"/>
        <w:gridCol w:w="1701"/>
        <w:gridCol w:w="1147"/>
        <w:gridCol w:w="1377"/>
        <w:gridCol w:w="1377"/>
        <w:gridCol w:w="1377"/>
      </w:tblGrid>
      <w:tr w:rsidR="00157EA0" w:rsidTr="008D4B2E">
        <w:trPr>
          <w:trHeight w:val="240"/>
        </w:trPr>
        <w:tc>
          <w:tcPr>
            <w:tcW w:w="95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营业成本</w:t>
            </w:r>
          </w:p>
        </w:tc>
        <w:tc>
          <w:tcPr>
            <w:tcW w:w="114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毛利率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营业收入比上年同期增减</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营业成本比上年同期增减</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毛利率比上年同期增减</w:t>
            </w:r>
          </w:p>
        </w:tc>
      </w:tr>
      <w:tr w:rsidR="00157EA0">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分行业</w:t>
            </w:r>
          </w:p>
        </w:tc>
      </w:tr>
      <w:tr w:rsidR="00157EA0" w:rsidTr="008D4B2E">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软件业</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214,180,155.25</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14,079,974.00</w:t>
            </w:r>
          </w:p>
        </w:tc>
        <w:tc>
          <w:tcPr>
            <w:tcW w:w="114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93.43%</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0.85%</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8.71%</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-0.48%</w:t>
            </w:r>
          </w:p>
        </w:tc>
      </w:tr>
      <w:tr w:rsidR="00157EA0" w:rsidTr="008D4B2E">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制造及安装业</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5,433,415,010.74</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4,165,122,275.17</w:t>
            </w:r>
          </w:p>
        </w:tc>
        <w:tc>
          <w:tcPr>
            <w:tcW w:w="114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23.34%</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-1.63%</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-8.79%</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6.02%</w:t>
            </w:r>
          </w:p>
        </w:tc>
      </w:tr>
      <w:tr w:rsidR="00157EA0">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分产品</w:t>
            </w:r>
          </w:p>
        </w:tc>
      </w:tr>
      <w:tr w:rsidR="00157EA0" w:rsidTr="008D4B2E">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橡胶装备系统</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4,020,909,944.75</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2,837,983,174.72</w:t>
            </w:r>
          </w:p>
        </w:tc>
        <w:tc>
          <w:tcPr>
            <w:tcW w:w="114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29.42%</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23.13%</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25.86%</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-1.53%</w:t>
            </w:r>
          </w:p>
        </w:tc>
      </w:tr>
      <w:tr w:rsidR="00157EA0" w:rsidTr="008D4B2E">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橡胶新材料</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1,586,896,743.64</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1,318,944,541.75</w:t>
            </w:r>
          </w:p>
        </w:tc>
        <w:tc>
          <w:tcPr>
            <w:tcW w:w="114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16.89%</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9.39%</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-1.70%</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9.38%</w:t>
            </w:r>
          </w:p>
        </w:tc>
      </w:tr>
      <w:tr w:rsidR="00157EA0" w:rsidTr="008D4B2E">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化工材料</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147"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-1.60%</w:t>
            </w:r>
          </w:p>
        </w:tc>
      </w:tr>
      <w:tr w:rsidR="00157EA0" w:rsidTr="008D4B2E">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其他</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39,788,477.60</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22,274,532.70</w:t>
            </w:r>
          </w:p>
        </w:tc>
        <w:tc>
          <w:tcPr>
            <w:tcW w:w="114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44.02%</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-21.38%</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-28.71%</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5.75%</w:t>
            </w:r>
          </w:p>
        </w:tc>
      </w:tr>
      <w:tr w:rsidR="00157EA0">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分地区</w:t>
            </w:r>
          </w:p>
        </w:tc>
      </w:tr>
      <w:tr w:rsidR="00157EA0" w:rsidTr="008D4B2E">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国内</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4,250,295,118.06</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3,186,537,760.24</w:t>
            </w:r>
          </w:p>
        </w:tc>
        <w:tc>
          <w:tcPr>
            <w:tcW w:w="114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25.03%</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-3.56%</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-12.68%</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7.83%</w:t>
            </w:r>
          </w:p>
        </w:tc>
      </w:tr>
      <w:tr w:rsidR="00157EA0" w:rsidTr="008D4B2E">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国外</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1,397,300,047.93</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992,664,488.93</w:t>
            </w:r>
          </w:p>
        </w:tc>
        <w:tc>
          <w:tcPr>
            <w:tcW w:w="114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28.96%</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5.16%</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6.71%</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-1.03%</w:t>
            </w:r>
          </w:p>
        </w:tc>
      </w:tr>
      <w:tr w:rsidR="00157EA0">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proofErr w:type="gramStart"/>
            <w:r>
              <w:rPr>
                <w:rFonts w:ascii="宋体" w:eastAsia="宋体" w:hAnsi="宋体" w:cs="宋体"/>
                <w:sz w:val="18"/>
                <w:szCs w:val="18"/>
              </w:rPr>
              <w:lastRenderedPageBreak/>
              <w:t>分销售</w:t>
            </w:r>
            <w:proofErr w:type="gramEnd"/>
            <w:r>
              <w:rPr>
                <w:rFonts w:ascii="宋体" w:eastAsia="宋体" w:hAnsi="宋体" w:cs="宋体"/>
                <w:sz w:val="18"/>
                <w:szCs w:val="18"/>
              </w:rPr>
              <w:t>模式</w:t>
            </w:r>
          </w:p>
        </w:tc>
      </w:tr>
      <w:tr w:rsidR="00157EA0" w:rsidTr="008D4B2E">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直销</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5,647,595,165.99</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4,179,202,249.17</w:t>
            </w:r>
          </w:p>
        </w:tc>
        <w:tc>
          <w:tcPr>
            <w:tcW w:w="114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26.00%</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-1.54%</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-8.74%</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5.84%</w:t>
            </w:r>
          </w:p>
        </w:tc>
      </w:tr>
    </w:tbl>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公司主营业务数据统计口径在报告期发生调整的情况下，公司最近1年按报告期末口径调整后的主营业务数据</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境外业务产生的营业收入或净利润占公司最近一个会计年度经审计营业收入或净利润10%以上</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BA0365" w:rsidRDefault="008D4B2E">
      <w:pPr>
        <w:keepNext/>
        <w:keepLines/>
        <w:spacing w:before="300" w:after="300" w:line="280" w:lineRule="exact"/>
        <w:outlineLvl w:val="3"/>
        <w:rPr>
          <w:rFonts w:ascii="宋体" w:eastAsia="宋体" w:hAnsi="宋体" w:cs="宋体"/>
          <w:b/>
          <w:bCs/>
          <w:sz w:val="18"/>
          <w:szCs w:val="18"/>
        </w:rPr>
      </w:pPr>
      <w:bookmarkStart w:id="22" w:name="_Toc988911"/>
      <w:r>
        <w:rPr>
          <w:rFonts w:ascii="宋体" w:eastAsia="宋体" w:hAnsi="宋体" w:cs="宋体"/>
          <w:b/>
          <w:bCs/>
          <w:sz w:val="18"/>
          <w:szCs w:val="18"/>
        </w:rPr>
        <w:t>（3） 公司实物销售收入是否大于劳务收入</w:t>
      </w:r>
      <w:bookmarkEnd w:id="22"/>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是 □否</w:t>
      </w:r>
    </w:p>
    <w:tbl>
      <w:tblPr>
        <w:tblW w:w="9639" w:type="dxa"/>
        <w:tblLayout w:type="fixed"/>
        <w:tblLook w:val="04A0" w:firstRow="1" w:lastRow="0" w:firstColumn="1" w:lastColumn="0" w:noHBand="0" w:noVBand="1"/>
      </w:tblPr>
      <w:tblGrid>
        <w:gridCol w:w="1606"/>
        <w:gridCol w:w="1606"/>
        <w:gridCol w:w="1007"/>
        <w:gridCol w:w="1843"/>
        <w:gridCol w:w="1970"/>
        <w:gridCol w:w="1607"/>
      </w:tblGrid>
      <w:tr w:rsidR="00157EA0" w:rsidTr="008D4B2E">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行业分类</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00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单位</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2023年</w:t>
            </w:r>
          </w:p>
        </w:tc>
        <w:tc>
          <w:tcPr>
            <w:tcW w:w="197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2022年</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同比增减</w:t>
            </w:r>
          </w:p>
        </w:tc>
      </w:tr>
      <w:tr w:rsidR="00157EA0" w:rsidTr="008D4B2E">
        <w:trPr>
          <w:trHeight w:val="240"/>
        </w:trPr>
        <w:tc>
          <w:tcPr>
            <w:tcW w:w="1606" w:type="dxa"/>
            <w:vMerge w:val="restart"/>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软件业</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销售量</w:t>
            </w:r>
          </w:p>
        </w:tc>
        <w:tc>
          <w:tcPr>
            <w:tcW w:w="100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元</w:t>
            </w:r>
          </w:p>
        </w:tc>
        <w:tc>
          <w:tcPr>
            <w:tcW w:w="184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14,079,974.00</w:t>
            </w:r>
          </w:p>
        </w:tc>
        <w:tc>
          <w:tcPr>
            <w:tcW w:w="197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12,951,436.58</w:t>
            </w:r>
          </w:p>
        </w:tc>
        <w:tc>
          <w:tcPr>
            <w:tcW w:w="160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8.71%</w:t>
            </w:r>
          </w:p>
        </w:tc>
      </w:tr>
      <w:tr w:rsidR="00157EA0" w:rsidTr="008D4B2E">
        <w:trPr>
          <w:trHeight w:val="240"/>
        </w:trPr>
        <w:tc>
          <w:tcPr>
            <w:tcW w:w="1606" w:type="dxa"/>
            <w:vMerge/>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生产量</w:t>
            </w:r>
          </w:p>
        </w:tc>
        <w:tc>
          <w:tcPr>
            <w:tcW w:w="100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元</w:t>
            </w:r>
          </w:p>
        </w:tc>
        <w:tc>
          <w:tcPr>
            <w:tcW w:w="184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16,415,087.84</w:t>
            </w:r>
          </w:p>
        </w:tc>
        <w:tc>
          <w:tcPr>
            <w:tcW w:w="197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15,897,030.33</w:t>
            </w:r>
          </w:p>
        </w:tc>
        <w:tc>
          <w:tcPr>
            <w:tcW w:w="160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3.26%</w:t>
            </w:r>
          </w:p>
        </w:tc>
      </w:tr>
      <w:tr w:rsidR="00157EA0" w:rsidTr="008D4B2E">
        <w:trPr>
          <w:trHeight w:val="240"/>
        </w:trPr>
        <w:tc>
          <w:tcPr>
            <w:tcW w:w="1606" w:type="dxa"/>
            <w:vMerge/>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库存量</w:t>
            </w:r>
          </w:p>
        </w:tc>
        <w:tc>
          <w:tcPr>
            <w:tcW w:w="100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元</w:t>
            </w:r>
          </w:p>
        </w:tc>
        <w:tc>
          <w:tcPr>
            <w:tcW w:w="184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21,423,599.12</w:t>
            </w:r>
          </w:p>
        </w:tc>
        <w:tc>
          <w:tcPr>
            <w:tcW w:w="197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19,088,485.28</w:t>
            </w:r>
          </w:p>
        </w:tc>
        <w:tc>
          <w:tcPr>
            <w:tcW w:w="160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12.23%</w:t>
            </w:r>
          </w:p>
        </w:tc>
      </w:tr>
      <w:tr w:rsidR="00157EA0" w:rsidTr="008D4B2E">
        <w:trPr>
          <w:trHeight w:val="240"/>
        </w:trPr>
        <w:tc>
          <w:tcPr>
            <w:tcW w:w="1606" w:type="dxa"/>
            <w:vMerge w:val="restart"/>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制造及安装业</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销售量</w:t>
            </w:r>
          </w:p>
        </w:tc>
        <w:tc>
          <w:tcPr>
            <w:tcW w:w="100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元</w:t>
            </w:r>
          </w:p>
        </w:tc>
        <w:tc>
          <w:tcPr>
            <w:tcW w:w="184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4,165,122,275.17</w:t>
            </w:r>
          </w:p>
        </w:tc>
        <w:tc>
          <w:tcPr>
            <w:tcW w:w="197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4,566,705,584.21</w:t>
            </w:r>
          </w:p>
        </w:tc>
        <w:tc>
          <w:tcPr>
            <w:tcW w:w="160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-8.79%</w:t>
            </w:r>
          </w:p>
        </w:tc>
      </w:tr>
      <w:tr w:rsidR="00157EA0" w:rsidTr="008D4B2E">
        <w:trPr>
          <w:trHeight w:val="240"/>
        </w:trPr>
        <w:tc>
          <w:tcPr>
            <w:tcW w:w="1606" w:type="dxa"/>
            <w:vMerge/>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生产量</w:t>
            </w:r>
          </w:p>
        </w:tc>
        <w:tc>
          <w:tcPr>
            <w:tcW w:w="100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元</w:t>
            </w:r>
          </w:p>
        </w:tc>
        <w:tc>
          <w:tcPr>
            <w:tcW w:w="184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5,180,394,832.57</w:t>
            </w:r>
          </w:p>
        </w:tc>
        <w:tc>
          <w:tcPr>
            <w:tcW w:w="197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5,607,584,440.42</w:t>
            </w:r>
          </w:p>
        </w:tc>
        <w:tc>
          <w:tcPr>
            <w:tcW w:w="160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-7.62%</w:t>
            </w:r>
          </w:p>
        </w:tc>
      </w:tr>
      <w:tr w:rsidR="00157EA0" w:rsidTr="008D4B2E">
        <w:trPr>
          <w:trHeight w:val="240"/>
        </w:trPr>
        <w:tc>
          <w:tcPr>
            <w:tcW w:w="1606" w:type="dxa"/>
            <w:vMerge/>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库存量</w:t>
            </w:r>
          </w:p>
        </w:tc>
        <w:tc>
          <w:tcPr>
            <w:tcW w:w="100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元</w:t>
            </w:r>
          </w:p>
        </w:tc>
        <w:tc>
          <w:tcPr>
            <w:tcW w:w="184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5,334,476,182.01</w:t>
            </w:r>
          </w:p>
        </w:tc>
        <w:tc>
          <w:tcPr>
            <w:tcW w:w="197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4,319,203,624.61</w:t>
            </w:r>
          </w:p>
        </w:tc>
        <w:tc>
          <w:tcPr>
            <w:tcW w:w="160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23.51%</w:t>
            </w:r>
          </w:p>
        </w:tc>
      </w:tr>
    </w:tbl>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相关数据同比发生变动30%以上的原因说明</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keepNext/>
        <w:keepLines/>
        <w:spacing w:before="300" w:after="300" w:line="280" w:lineRule="exact"/>
        <w:outlineLvl w:val="3"/>
        <w:rPr>
          <w:rFonts w:ascii="宋体" w:eastAsia="宋体" w:hAnsi="宋体" w:cs="宋体"/>
          <w:b/>
          <w:bCs/>
          <w:sz w:val="18"/>
          <w:szCs w:val="18"/>
        </w:rPr>
      </w:pPr>
      <w:bookmarkStart w:id="23" w:name="_Toc988912"/>
      <w:r>
        <w:rPr>
          <w:rFonts w:ascii="宋体" w:eastAsia="宋体" w:hAnsi="宋体" w:cs="宋体"/>
          <w:b/>
          <w:bCs/>
          <w:sz w:val="18"/>
          <w:szCs w:val="18"/>
        </w:rPr>
        <w:t>（4） 公司已签订的重大销售合同、重大采购合同截至本报告期的履行情况</w:t>
      </w:r>
      <w:bookmarkEnd w:id="23"/>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keepNext/>
        <w:keepLines/>
        <w:spacing w:before="300" w:after="300" w:line="280" w:lineRule="exact"/>
        <w:outlineLvl w:val="3"/>
        <w:rPr>
          <w:rFonts w:ascii="宋体" w:eastAsia="宋体" w:hAnsi="宋体" w:cs="宋体"/>
          <w:b/>
          <w:bCs/>
          <w:sz w:val="18"/>
          <w:szCs w:val="18"/>
        </w:rPr>
      </w:pPr>
      <w:bookmarkStart w:id="24" w:name="_Toc988913"/>
      <w:r>
        <w:rPr>
          <w:rFonts w:ascii="宋体" w:eastAsia="宋体" w:hAnsi="宋体" w:cs="宋体"/>
          <w:b/>
          <w:bCs/>
          <w:sz w:val="18"/>
          <w:szCs w:val="18"/>
        </w:rPr>
        <w:t>（5） 营业成本构成</w:t>
      </w:r>
      <w:bookmarkEnd w:id="24"/>
    </w:p>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行业和产品分类</w:t>
      </w:r>
    </w:p>
    <w:p w:rsidR="00BA0365" w:rsidRDefault="008D4B2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1377"/>
        <w:gridCol w:w="999"/>
        <w:gridCol w:w="1755"/>
        <w:gridCol w:w="1080"/>
        <w:gridCol w:w="1674"/>
        <w:gridCol w:w="1377"/>
        <w:gridCol w:w="1377"/>
      </w:tblGrid>
      <w:tr w:rsidR="00157EA0" w:rsidTr="008D4B2E">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行业分类</w:t>
            </w:r>
          </w:p>
        </w:tc>
        <w:tc>
          <w:tcPr>
            <w:tcW w:w="99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835"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2023年</w:t>
            </w:r>
          </w:p>
        </w:tc>
        <w:tc>
          <w:tcPr>
            <w:tcW w:w="3051"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2022年</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同比增减</w:t>
            </w:r>
          </w:p>
        </w:tc>
      </w:tr>
      <w:tr w:rsidR="00157EA0" w:rsidTr="008D4B2E">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999"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75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08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占营业成本比重</w:t>
            </w:r>
          </w:p>
        </w:tc>
        <w:tc>
          <w:tcPr>
            <w:tcW w:w="1674"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占营业成本比重</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r w:rsidR="00157EA0" w:rsidTr="008D4B2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软件业</w:t>
            </w:r>
          </w:p>
        </w:tc>
        <w:tc>
          <w:tcPr>
            <w:tcW w:w="99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营业成本</w:t>
            </w:r>
          </w:p>
        </w:tc>
        <w:tc>
          <w:tcPr>
            <w:tcW w:w="175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14,079,974.00</w:t>
            </w:r>
          </w:p>
        </w:tc>
        <w:tc>
          <w:tcPr>
            <w:tcW w:w="108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0.34%</w:t>
            </w:r>
          </w:p>
        </w:tc>
        <w:tc>
          <w:tcPr>
            <w:tcW w:w="167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12,951,436.58</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0.28%</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8.71%</w:t>
            </w:r>
          </w:p>
        </w:tc>
      </w:tr>
      <w:tr w:rsidR="00157EA0" w:rsidTr="008D4B2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制造及安装业</w:t>
            </w:r>
          </w:p>
        </w:tc>
        <w:tc>
          <w:tcPr>
            <w:tcW w:w="99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营业成本</w:t>
            </w:r>
          </w:p>
        </w:tc>
        <w:tc>
          <w:tcPr>
            <w:tcW w:w="175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4,165,122,275.17</w:t>
            </w:r>
          </w:p>
        </w:tc>
        <w:tc>
          <w:tcPr>
            <w:tcW w:w="108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99.66%</w:t>
            </w:r>
          </w:p>
        </w:tc>
        <w:tc>
          <w:tcPr>
            <w:tcW w:w="167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4,566,705,584.21</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99.72%</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-8.79%</w:t>
            </w:r>
          </w:p>
        </w:tc>
      </w:tr>
    </w:tbl>
    <w:p w:rsidR="00BA0365" w:rsidRDefault="008D4B2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1377"/>
        <w:gridCol w:w="999"/>
        <w:gridCol w:w="1755"/>
        <w:gridCol w:w="1080"/>
        <w:gridCol w:w="1674"/>
        <w:gridCol w:w="1377"/>
        <w:gridCol w:w="1377"/>
      </w:tblGrid>
      <w:tr w:rsidR="00157EA0" w:rsidTr="008D4B2E">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产品分类</w:t>
            </w:r>
          </w:p>
        </w:tc>
        <w:tc>
          <w:tcPr>
            <w:tcW w:w="99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835"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2023年</w:t>
            </w:r>
          </w:p>
        </w:tc>
        <w:tc>
          <w:tcPr>
            <w:tcW w:w="3051"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2022年</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同比增减</w:t>
            </w:r>
          </w:p>
        </w:tc>
      </w:tr>
      <w:tr w:rsidR="00157EA0" w:rsidTr="008D4B2E">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999"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75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08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占营业成本比重</w:t>
            </w:r>
          </w:p>
        </w:tc>
        <w:tc>
          <w:tcPr>
            <w:tcW w:w="1674"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占营业成本比重</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r w:rsidR="00157EA0" w:rsidTr="008D4B2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橡胶装备系统</w:t>
            </w:r>
          </w:p>
        </w:tc>
        <w:tc>
          <w:tcPr>
            <w:tcW w:w="99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营业成本</w:t>
            </w:r>
          </w:p>
        </w:tc>
        <w:tc>
          <w:tcPr>
            <w:tcW w:w="175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2,837,983,174.72</w:t>
            </w:r>
          </w:p>
        </w:tc>
        <w:tc>
          <w:tcPr>
            <w:tcW w:w="108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67.91%</w:t>
            </w:r>
          </w:p>
        </w:tc>
        <w:tc>
          <w:tcPr>
            <w:tcW w:w="167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2,254,857,772.97</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49.24%</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25.86%</w:t>
            </w:r>
          </w:p>
        </w:tc>
      </w:tr>
      <w:tr w:rsidR="00157EA0" w:rsidTr="008D4B2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橡胶新材料</w:t>
            </w:r>
          </w:p>
        </w:tc>
        <w:tc>
          <w:tcPr>
            <w:tcW w:w="99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营业成本</w:t>
            </w:r>
          </w:p>
        </w:tc>
        <w:tc>
          <w:tcPr>
            <w:tcW w:w="175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1,318,944,541.75</w:t>
            </w:r>
          </w:p>
        </w:tc>
        <w:tc>
          <w:tcPr>
            <w:tcW w:w="108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31.56%</w:t>
            </w:r>
          </w:p>
        </w:tc>
        <w:tc>
          <w:tcPr>
            <w:tcW w:w="167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1,341,792,466.33</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29.30%</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-1.70%</w:t>
            </w:r>
          </w:p>
        </w:tc>
      </w:tr>
      <w:tr w:rsidR="00157EA0" w:rsidTr="008D4B2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化工材料</w:t>
            </w:r>
          </w:p>
        </w:tc>
        <w:tc>
          <w:tcPr>
            <w:tcW w:w="99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营业成本</w:t>
            </w:r>
          </w:p>
        </w:tc>
        <w:tc>
          <w:tcPr>
            <w:tcW w:w="175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8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67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951,762,546.80</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20.78%</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w:t>
            </w:r>
          </w:p>
        </w:tc>
      </w:tr>
      <w:tr w:rsidR="00157EA0" w:rsidTr="008D4B2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其他</w:t>
            </w:r>
          </w:p>
        </w:tc>
        <w:tc>
          <w:tcPr>
            <w:tcW w:w="99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营业成本</w:t>
            </w:r>
          </w:p>
        </w:tc>
        <w:tc>
          <w:tcPr>
            <w:tcW w:w="175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22,274,532.70</w:t>
            </w:r>
          </w:p>
        </w:tc>
        <w:tc>
          <w:tcPr>
            <w:tcW w:w="108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0.53%</w:t>
            </w:r>
          </w:p>
        </w:tc>
        <w:tc>
          <w:tcPr>
            <w:tcW w:w="167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31,244,234.69</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0.68%</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-28.71%</w:t>
            </w:r>
          </w:p>
        </w:tc>
      </w:tr>
    </w:tbl>
    <w:p w:rsidR="00BA0365" w:rsidRDefault="008D4B2E">
      <w:pPr>
        <w:keepNext/>
        <w:keepLines/>
        <w:spacing w:before="300" w:after="300" w:line="280" w:lineRule="exact"/>
        <w:outlineLvl w:val="3"/>
        <w:rPr>
          <w:rFonts w:ascii="宋体" w:eastAsia="宋体" w:hAnsi="宋体" w:cs="宋体"/>
          <w:b/>
          <w:bCs/>
          <w:sz w:val="18"/>
          <w:szCs w:val="18"/>
        </w:rPr>
      </w:pPr>
      <w:bookmarkStart w:id="25" w:name="_Toc988914"/>
      <w:r>
        <w:rPr>
          <w:rFonts w:ascii="宋体" w:eastAsia="宋体" w:hAnsi="宋体" w:cs="宋体"/>
          <w:b/>
          <w:bCs/>
          <w:sz w:val="18"/>
          <w:szCs w:val="18"/>
        </w:rPr>
        <w:t>（6） 报告期内合并范围是否发生变动</w:t>
      </w:r>
      <w:bookmarkEnd w:id="25"/>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是 □否</w:t>
      </w:r>
    </w:p>
    <w:p w:rsidR="008D4B2E" w:rsidRDefault="008D4B2E" w:rsidP="007370FD">
      <w:pPr>
        <w:widowControl/>
        <w:ind w:firstLineChars="200" w:firstLine="360"/>
        <w:divId w:val="1732462776"/>
        <w:rPr>
          <w:kern w:val="0"/>
          <w:sz w:val="18"/>
          <w:szCs w:val="18"/>
        </w:rPr>
      </w:pPr>
      <w:r>
        <w:rPr>
          <w:rFonts w:ascii="Times New Roman" w:hAnsi="Times New Roman" w:cs="Times New Roman"/>
          <w:color w:val="000000"/>
          <w:sz w:val="18"/>
          <w:szCs w:val="18"/>
        </w:rPr>
        <w:lastRenderedPageBreak/>
        <w:t>1</w:t>
      </w:r>
      <w:r>
        <w:rPr>
          <w:rFonts w:hint="eastAsia"/>
          <w:color w:val="000000"/>
          <w:sz w:val="18"/>
          <w:szCs w:val="18"/>
        </w:rPr>
        <w:t>、与上年相比本期新增合并单位</w:t>
      </w:r>
      <w:r>
        <w:rPr>
          <w:rFonts w:ascii="Times New Roman" w:hAnsi="Times New Roman" w:cs="Times New Roman"/>
          <w:color w:val="000000"/>
          <w:sz w:val="18"/>
          <w:szCs w:val="18"/>
        </w:rPr>
        <w:t>3</w:t>
      </w:r>
      <w:r>
        <w:rPr>
          <w:rFonts w:hint="eastAsia"/>
          <w:color w:val="000000"/>
          <w:sz w:val="18"/>
          <w:szCs w:val="18"/>
        </w:rPr>
        <w:t>家，具体包括</w:t>
      </w:r>
      <w:proofErr w:type="gramStart"/>
      <w:r>
        <w:rPr>
          <w:rFonts w:hint="eastAsia"/>
          <w:color w:val="000000"/>
          <w:sz w:val="18"/>
          <w:szCs w:val="18"/>
        </w:rPr>
        <w:t>菏泽智控能源</w:t>
      </w:r>
      <w:proofErr w:type="gramEnd"/>
      <w:r>
        <w:rPr>
          <w:rFonts w:hint="eastAsia"/>
          <w:color w:val="000000"/>
          <w:sz w:val="18"/>
          <w:szCs w:val="18"/>
        </w:rPr>
        <w:t>发展有限公司、</w:t>
      </w:r>
      <w:r>
        <w:rPr>
          <w:rFonts w:hint="eastAsia"/>
          <w:color w:val="000000"/>
          <w:sz w:val="18"/>
          <w:szCs w:val="18"/>
        </w:rPr>
        <w:t>HKZQ ENERGY AND TECHNOLOGY CO., LTD.</w:t>
      </w:r>
      <w:r>
        <w:rPr>
          <w:rFonts w:hint="eastAsia"/>
          <w:color w:val="000000"/>
          <w:sz w:val="18"/>
          <w:szCs w:val="18"/>
        </w:rPr>
        <w:t>、德州智控新能源发展有限公司</w:t>
      </w:r>
      <w:r>
        <w:rPr>
          <w:rFonts w:hint="eastAsia"/>
          <w:sz w:val="18"/>
          <w:szCs w:val="18"/>
        </w:rPr>
        <w:t>，均系本年新设立的公司。</w:t>
      </w:r>
    </w:p>
    <w:p w:rsidR="008D4B2E" w:rsidRDefault="008D4B2E" w:rsidP="007370FD">
      <w:pPr>
        <w:ind w:firstLineChars="200" w:firstLine="360"/>
        <w:divId w:val="1234438612"/>
        <w:rPr>
          <w:sz w:val="18"/>
          <w:szCs w:val="18"/>
        </w:rPr>
      </w:pPr>
      <w:r>
        <w:rPr>
          <w:rFonts w:ascii="Times New Roman" w:hAnsi="Times New Roman" w:cs="Times New Roman"/>
          <w:color w:val="000000"/>
          <w:sz w:val="18"/>
          <w:szCs w:val="18"/>
        </w:rPr>
        <w:t>2</w:t>
      </w:r>
      <w:r>
        <w:rPr>
          <w:rFonts w:hint="eastAsia"/>
          <w:color w:val="000000"/>
          <w:sz w:val="18"/>
          <w:szCs w:val="18"/>
        </w:rPr>
        <w:t>、与上年相比本期减少合并单位</w:t>
      </w:r>
      <w:r>
        <w:rPr>
          <w:rFonts w:ascii="Times New Roman" w:hAnsi="Times New Roman" w:cs="Times New Roman"/>
          <w:color w:val="000000"/>
          <w:sz w:val="18"/>
          <w:szCs w:val="18"/>
        </w:rPr>
        <w:t>1</w:t>
      </w:r>
      <w:r>
        <w:rPr>
          <w:rFonts w:hint="eastAsia"/>
          <w:color w:val="000000"/>
          <w:sz w:val="18"/>
          <w:szCs w:val="18"/>
        </w:rPr>
        <w:t>家，具体包括青岛软控智能装备有限公司，因公司股权转让减少</w:t>
      </w:r>
      <w:r>
        <w:rPr>
          <w:rFonts w:ascii="MS Gothic" w:eastAsia="MS Gothic" w:hAnsi="MS Gothic" w:hint="eastAsia"/>
          <w:color w:val="000000"/>
          <w:sz w:val="18"/>
          <w:szCs w:val="18"/>
        </w:rPr>
        <w:t>｡</w:t>
      </w:r>
    </w:p>
    <w:p w:rsidR="00BA0365" w:rsidRDefault="008D4B2E">
      <w:pPr>
        <w:keepNext/>
        <w:keepLines/>
        <w:spacing w:before="300" w:after="300" w:line="280" w:lineRule="exact"/>
        <w:outlineLvl w:val="3"/>
        <w:rPr>
          <w:rFonts w:ascii="宋体" w:eastAsia="宋体" w:hAnsi="宋体" w:cs="宋体"/>
          <w:b/>
          <w:bCs/>
          <w:sz w:val="18"/>
          <w:szCs w:val="18"/>
        </w:rPr>
      </w:pPr>
      <w:bookmarkStart w:id="26" w:name="_Toc988915"/>
      <w:r>
        <w:rPr>
          <w:rFonts w:ascii="宋体" w:eastAsia="宋体" w:hAnsi="宋体" w:cs="宋体"/>
          <w:b/>
          <w:bCs/>
          <w:sz w:val="18"/>
          <w:szCs w:val="18"/>
        </w:rPr>
        <w:t>（7） 公司报告期内业务、产品或服务发生重大变化或调整有关情况</w:t>
      </w:r>
      <w:bookmarkEnd w:id="26"/>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keepNext/>
        <w:keepLines/>
        <w:spacing w:before="300" w:after="300" w:line="280" w:lineRule="exact"/>
        <w:outlineLvl w:val="3"/>
        <w:rPr>
          <w:rFonts w:ascii="宋体" w:eastAsia="宋体" w:hAnsi="宋体" w:cs="宋体"/>
          <w:b/>
          <w:bCs/>
          <w:sz w:val="18"/>
          <w:szCs w:val="18"/>
        </w:rPr>
      </w:pPr>
      <w:bookmarkStart w:id="27" w:name="_Toc988916"/>
      <w:r>
        <w:rPr>
          <w:rFonts w:ascii="宋体" w:eastAsia="宋体" w:hAnsi="宋体" w:cs="宋体"/>
          <w:b/>
          <w:bCs/>
          <w:sz w:val="18"/>
          <w:szCs w:val="18"/>
        </w:rPr>
        <w:t>（8） 主要销售客户和主要供应商情况</w:t>
      </w:r>
      <w:bookmarkEnd w:id="27"/>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公司主要销售客户情况</w:t>
      </w:r>
    </w:p>
    <w:tbl>
      <w:tblPr>
        <w:tblW w:w="9639" w:type="dxa"/>
        <w:tblLayout w:type="fixed"/>
        <w:tblLook w:val="04A0" w:firstRow="1" w:lastRow="0" w:firstColumn="1" w:lastColumn="0" w:noHBand="0" w:noVBand="1"/>
      </w:tblPr>
      <w:tblGrid>
        <w:gridCol w:w="4820"/>
        <w:gridCol w:w="4819"/>
      </w:tblGrid>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前五名客户合计销售金额（元）</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3,091,597,251.09</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前五名客户合计销售金额占年度销售总额比例</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54.74%</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前五名客户销售额中关联方销售额占年度销售总额比例</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34.92%</w:t>
            </w:r>
          </w:p>
        </w:tc>
      </w:tr>
    </w:tbl>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公司前5大客户资料</w:t>
      </w:r>
    </w:p>
    <w:tbl>
      <w:tblPr>
        <w:tblW w:w="9639" w:type="dxa"/>
        <w:tblLayout w:type="fixed"/>
        <w:tblLook w:val="04A0" w:firstRow="1" w:lastRow="0" w:firstColumn="1" w:lastColumn="0" w:noHBand="0" w:noVBand="1"/>
      </w:tblPr>
      <w:tblGrid>
        <w:gridCol w:w="817"/>
        <w:gridCol w:w="4002"/>
        <w:gridCol w:w="2410"/>
        <w:gridCol w:w="2410"/>
      </w:tblGrid>
      <w:tr w:rsidR="00157EA0" w:rsidTr="00220C19">
        <w:trPr>
          <w:trHeight w:val="240"/>
        </w:trPr>
        <w:tc>
          <w:tcPr>
            <w:tcW w:w="81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序号</w:t>
            </w:r>
          </w:p>
        </w:tc>
        <w:tc>
          <w:tcPr>
            <w:tcW w:w="40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客户名称</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销售额（元）</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占年度销售总额比例</w:t>
            </w:r>
          </w:p>
        </w:tc>
      </w:tr>
      <w:tr w:rsidR="00157EA0" w:rsidTr="00220C19">
        <w:trPr>
          <w:trHeight w:val="240"/>
        </w:trPr>
        <w:tc>
          <w:tcPr>
            <w:tcW w:w="81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1</w:t>
            </w:r>
          </w:p>
        </w:tc>
        <w:tc>
          <w:tcPr>
            <w:tcW w:w="40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客户</w:t>
            </w:r>
            <w:proofErr w:type="gramStart"/>
            <w:r>
              <w:rPr>
                <w:rFonts w:ascii="宋体" w:eastAsia="宋体" w:hAnsi="宋体" w:cs="宋体"/>
                <w:sz w:val="18"/>
                <w:szCs w:val="18"/>
              </w:rPr>
              <w:t>一</w:t>
            </w:r>
            <w:proofErr w:type="gramEnd"/>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1,972,029,169.89</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34.92%</w:t>
            </w:r>
          </w:p>
        </w:tc>
      </w:tr>
      <w:tr w:rsidR="00157EA0" w:rsidTr="00220C19">
        <w:trPr>
          <w:trHeight w:val="240"/>
        </w:trPr>
        <w:tc>
          <w:tcPr>
            <w:tcW w:w="81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2</w:t>
            </w:r>
          </w:p>
        </w:tc>
        <w:tc>
          <w:tcPr>
            <w:tcW w:w="40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客户二</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568,728,036.40</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10.07%</w:t>
            </w:r>
          </w:p>
        </w:tc>
      </w:tr>
      <w:tr w:rsidR="00157EA0" w:rsidTr="00220C19">
        <w:trPr>
          <w:trHeight w:val="240"/>
        </w:trPr>
        <w:tc>
          <w:tcPr>
            <w:tcW w:w="81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3</w:t>
            </w:r>
          </w:p>
        </w:tc>
        <w:tc>
          <w:tcPr>
            <w:tcW w:w="40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客户三</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236,404,622.32</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4.19%</w:t>
            </w:r>
          </w:p>
        </w:tc>
      </w:tr>
      <w:tr w:rsidR="00157EA0" w:rsidTr="00220C19">
        <w:trPr>
          <w:trHeight w:val="240"/>
        </w:trPr>
        <w:tc>
          <w:tcPr>
            <w:tcW w:w="81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4</w:t>
            </w:r>
          </w:p>
        </w:tc>
        <w:tc>
          <w:tcPr>
            <w:tcW w:w="40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客户四</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159,771,322.64</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2.83%</w:t>
            </w:r>
          </w:p>
        </w:tc>
      </w:tr>
      <w:tr w:rsidR="00157EA0" w:rsidTr="00220C19">
        <w:trPr>
          <w:trHeight w:val="240"/>
        </w:trPr>
        <w:tc>
          <w:tcPr>
            <w:tcW w:w="81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5</w:t>
            </w:r>
          </w:p>
        </w:tc>
        <w:tc>
          <w:tcPr>
            <w:tcW w:w="40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客户五</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154,664,099.84</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2.74%</w:t>
            </w:r>
          </w:p>
        </w:tc>
      </w:tr>
      <w:tr w:rsidR="00157EA0" w:rsidTr="00220C19">
        <w:trPr>
          <w:trHeight w:val="240"/>
        </w:trPr>
        <w:tc>
          <w:tcPr>
            <w:tcW w:w="81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40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3,091,597,251.09</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54.74%</w:t>
            </w:r>
          </w:p>
        </w:tc>
      </w:tr>
    </w:tbl>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主要客户其他情况说明</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8D4B2E" w:rsidRDefault="008D4B2E" w:rsidP="007370FD">
      <w:pPr>
        <w:widowControl/>
        <w:ind w:firstLineChars="200" w:firstLine="360"/>
        <w:divId w:val="1452357031"/>
        <w:rPr>
          <w:kern w:val="0"/>
          <w:sz w:val="18"/>
          <w:szCs w:val="18"/>
        </w:rPr>
      </w:pPr>
      <w:r>
        <w:rPr>
          <w:rFonts w:hint="eastAsia"/>
          <w:color w:val="000000"/>
          <w:sz w:val="18"/>
          <w:szCs w:val="18"/>
        </w:rPr>
        <w:t>除上述客户</w:t>
      </w:r>
      <w:proofErr w:type="gramStart"/>
      <w:r>
        <w:rPr>
          <w:rFonts w:hint="eastAsia"/>
          <w:color w:val="000000"/>
          <w:sz w:val="18"/>
          <w:szCs w:val="18"/>
        </w:rPr>
        <w:t>一</w:t>
      </w:r>
      <w:proofErr w:type="gramEnd"/>
      <w:r>
        <w:rPr>
          <w:rFonts w:hint="eastAsia"/>
          <w:color w:val="000000"/>
          <w:sz w:val="18"/>
          <w:szCs w:val="18"/>
        </w:rPr>
        <w:t>与公司存在关联关系外，其他客户与公司不存在关联关系，公司董事、监事、高级管理人员、核心技术人员、持股</w:t>
      </w:r>
      <w:r>
        <w:rPr>
          <w:rFonts w:hint="eastAsia"/>
          <w:color w:val="000000"/>
          <w:sz w:val="18"/>
          <w:szCs w:val="18"/>
        </w:rPr>
        <w:t xml:space="preserve"> </w:t>
      </w:r>
      <w:r>
        <w:rPr>
          <w:rFonts w:ascii="Times New Roman" w:hAnsi="Times New Roman" w:cs="Times New Roman"/>
          <w:color w:val="000000"/>
          <w:sz w:val="18"/>
          <w:szCs w:val="18"/>
        </w:rPr>
        <w:t>5%</w:t>
      </w:r>
      <w:r>
        <w:rPr>
          <w:rFonts w:hint="eastAsia"/>
          <w:color w:val="000000"/>
          <w:sz w:val="18"/>
          <w:szCs w:val="18"/>
        </w:rPr>
        <w:t>以上股东、实际控制人和其他关联方在主要客户中不直接或者间接拥有权益。</w:t>
      </w:r>
    </w:p>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公司主要供应商情况</w:t>
      </w:r>
    </w:p>
    <w:tbl>
      <w:tblPr>
        <w:tblW w:w="9639" w:type="dxa"/>
        <w:tblLayout w:type="fixed"/>
        <w:tblLook w:val="04A0" w:firstRow="1" w:lastRow="0" w:firstColumn="1" w:lastColumn="0" w:noHBand="0" w:noVBand="1"/>
      </w:tblPr>
      <w:tblGrid>
        <w:gridCol w:w="4820"/>
        <w:gridCol w:w="4819"/>
      </w:tblGrid>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前五名供应商合计采购金额（元）</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799,491,218.32</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前五名供应商合计采购金额占年度采购总额比例</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18.29%</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前五名供应商采购额中关联方采购额占年度采购总额比例</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r>
    </w:tbl>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公司前5名供应商资料</w:t>
      </w:r>
    </w:p>
    <w:tbl>
      <w:tblPr>
        <w:tblW w:w="9639" w:type="dxa"/>
        <w:tblLayout w:type="fixed"/>
        <w:tblLook w:val="04A0" w:firstRow="1" w:lastRow="0" w:firstColumn="1" w:lastColumn="0" w:noHBand="0" w:noVBand="1"/>
      </w:tblPr>
      <w:tblGrid>
        <w:gridCol w:w="959"/>
        <w:gridCol w:w="3860"/>
        <w:gridCol w:w="2410"/>
        <w:gridCol w:w="2410"/>
      </w:tblGrid>
      <w:tr w:rsidR="00157EA0" w:rsidTr="00220C19">
        <w:trPr>
          <w:trHeight w:val="240"/>
        </w:trPr>
        <w:tc>
          <w:tcPr>
            <w:tcW w:w="95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序号</w:t>
            </w:r>
          </w:p>
        </w:tc>
        <w:tc>
          <w:tcPr>
            <w:tcW w:w="386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供应商名称</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采购额（元）</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占年度采购总额比例</w:t>
            </w:r>
          </w:p>
        </w:tc>
      </w:tr>
      <w:tr w:rsidR="00157EA0" w:rsidTr="00220C19">
        <w:trPr>
          <w:trHeight w:val="240"/>
        </w:trPr>
        <w:tc>
          <w:tcPr>
            <w:tcW w:w="95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1</w:t>
            </w:r>
          </w:p>
        </w:tc>
        <w:tc>
          <w:tcPr>
            <w:tcW w:w="38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供应商</w:t>
            </w:r>
            <w:proofErr w:type="gramStart"/>
            <w:r>
              <w:rPr>
                <w:rFonts w:ascii="宋体" w:eastAsia="宋体" w:hAnsi="宋体" w:cs="宋体"/>
                <w:sz w:val="18"/>
                <w:szCs w:val="18"/>
              </w:rPr>
              <w:t>一</w:t>
            </w:r>
            <w:proofErr w:type="gramEnd"/>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502,389,750.28</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11.49%</w:t>
            </w:r>
          </w:p>
        </w:tc>
      </w:tr>
      <w:tr w:rsidR="00157EA0" w:rsidTr="00220C19">
        <w:trPr>
          <w:trHeight w:val="240"/>
        </w:trPr>
        <w:tc>
          <w:tcPr>
            <w:tcW w:w="95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2</w:t>
            </w:r>
          </w:p>
        </w:tc>
        <w:tc>
          <w:tcPr>
            <w:tcW w:w="38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供应商二</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101,136,942.00</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2.31%</w:t>
            </w:r>
          </w:p>
        </w:tc>
      </w:tr>
      <w:tr w:rsidR="00157EA0" w:rsidTr="00220C19">
        <w:trPr>
          <w:trHeight w:val="240"/>
        </w:trPr>
        <w:tc>
          <w:tcPr>
            <w:tcW w:w="95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3</w:t>
            </w:r>
          </w:p>
        </w:tc>
        <w:tc>
          <w:tcPr>
            <w:tcW w:w="38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供应商三</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72,332,406.00</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1.66%</w:t>
            </w:r>
          </w:p>
        </w:tc>
      </w:tr>
      <w:tr w:rsidR="00157EA0" w:rsidTr="00220C19">
        <w:trPr>
          <w:trHeight w:val="240"/>
        </w:trPr>
        <w:tc>
          <w:tcPr>
            <w:tcW w:w="95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4</w:t>
            </w:r>
          </w:p>
        </w:tc>
        <w:tc>
          <w:tcPr>
            <w:tcW w:w="38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供应商四</w:t>
            </w:r>
            <w:proofErr w:type="gramEnd"/>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66,840,520.04</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1.53%</w:t>
            </w:r>
          </w:p>
        </w:tc>
      </w:tr>
      <w:tr w:rsidR="00157EA0" w:rsidTr="00220C19">
        <w:trPr>
          <w:trHeight w:val="240"/>
        </w:trPr>
        <w:tc>
          <w:tcPr>
            <w:tcW w:w="95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5</w:t>
            </w:r>
          </w:p>
        </w:tc>
        <w:tc>
          <w:tcPr>
            <w:tcW w:w="38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供应商五</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56,791,600.00</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1.30%</w:t>
            </w:r>
          </w:p>
        </w:tc>
      </w:tr>
      <w:tr w:rsidR="00157EA0" w:rsidTr="00220C19">
        <w:trPr>
          <w:trHeight w:val="240"/>
        </w:trPr>
        <w:tc>
          <w:tcPr>
            <w:tcW w:w="95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386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799,491,218.32</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18.29%</w:t>
            </w:r>
          </w:p>
        </w:tc>
      </w:tr>
    </w:tbl>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主要供应</w:t>
      </w:r>
      <w:proofErr w:type="gramStart"/>
      <w:r>
        <w:rPr>
          <w:rFonts w:ascii="宋体" w:eastAsia="宋体" w:hAnsi="宋体" w:cs="宋体"/>
          <w:sz w:val="18"/>
          <w:szCs w:val="18"/>
        </w:rPr>
        <w:t>商其他</w:t>
      </w:r>
      <w:proofErr w:type="gramEnd"/>
      <w:r>
        <w:rPr>
          <w:rFonts w:ascii="宋体" w:eastAsia="宋体" w:hAnsi="宋体" w:cs="宋体"/>
          <w:sz w:val="18"/>
          <w:szCs w:val="18"/>
        </w:rPr>
        <w:t>情况说明</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8D4B2E" w:rsidRDefault="008D4B2E">
      <w:pPr>
        <w:widowControl/>
        <w:divId w:val="279651034"/>
        <w:rPr>
          <w:kern w:val="0"/>
          <w:sz w:val="18"/>
          <w:szCs w:val="18"/>
        </w:rPr>
      </w:pPr>
      <w:r>
        <w:rPr>
          <w:rFonts w:hint="eastAsia"/>
          <w:color w:val="000000"/>
          <w:sz w:val="18"/>
          <w:szCs w:val="18"/>
        </w:rPr>
        <w:t>公司前五名供应商与公司不存在关联关系，公司董事、监事、高级管理人员、核心技术人员、持股</w:t>
      </w:r>
      <w:r>
        <w:rPr>
          <w:rFonts w:hint="eastAsia"/>
          <w:color w:val="000000"/>
          <w:sz w:val="18"/>
          <w:szCs w:val="18"/>
        </w:rPr>
        <w:t xml:space="preserve"> </w:t>
      </w:r>
      <w:r>
        <w:rPr>
          <w:rFonts w:ascii="Times New Roman" w:hAnsi="Times New Roman" w:cs="Times New Roman"/>
          <w:color w:val="000000"/>
          <w:sz w:val="18"/>
          <w:szCs w:val="18"/>
        </w:rPr>
        <w:t>5%</w:t>
      </w:r>
      <w:r>
        <w:rPr>
          <w:rFonts w:hint="eastAsia"/>
          <w:color w:val="000000"/>
          <w:sz w:val="18"/>
          <w:szCs w:val="18"/>
        </w:rPr>
        <w:t>以上股东、实际</w:t>
      </w:r>
      <w:r>
        <w:rPr>
          <w:rFonts w:hint="eastAsia"/>
          <w:sz w:val="18"/>
          <w:szCs w:val="18"/>
        </w:rPr>
        <w:t>控制人和其他关联方在主要供应商中不直接或者间接拥有权益。</w:t>
      </w:r>
    </w:p>
    <w:p w:rsidR="00BA0365" w:rsidRDefault="008D4B2E">
      <w:pPr>
        <w:pStyle w:val="3"/>
        <w:spacing w:line="280" w:lineRule="exact"/>
        <w:jc w:val="left"/>
        <w:rPr>
          <w:rFonts w:ascii="宋体" w:hAnsi="宋体" w:cs="宋体"/>
          <w:b/>
          <w:bCs/>
        </w:rPr>
      </w:pPr>
      <w:bookmarkStart w:id="28" w:name="_Toc988917"/>
      <w:r>
        <w:rPr>
          <w:rFonts w:ascii="宋体" w:hAnsi="宋体" w:cs="宋体"/>
          <w:b/>
          <w:bCs/>
        </w:rPr>
        <w:lastRenderedPageBreak/>
        <w:t>3、费用</w:t>
      </w:r>
      <w:bookmarkEnd w:id="28"/>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1927"/>
        <w:gridCol w:w="1725"/>
        <w:gridCol w:w="1701"/>
        <w:gridCol w:w="992"/>
        <w:gridCol w:w="3294"/>
      </w:tblGrid>
      <w:tr w:rsidR="00157EA0" w:rsidTr="008D4B2E">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72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2023年</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2022年</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同比增减</w:t>
            </w:r>
          </w:p>
        </w:tc>
        <w:tc>
          <w:tcPr>
            <w:tcW w:w="3294"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重大变动说明</w:t>
            </w:r>
          </w:p>
        </w:tc>
      </w:tr>
      <w:tr w:rsidR="00157EA0" w:rsidTr="008D4B2E">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销售费用</w:t>
            </w:r>
          </w:p>
        </w:tc>
        <w:tc>
          <w:tcPr>
            <w:tcW w:w="172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156,988,361.62</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137,838,332.81</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13.89%</w:t>
            </w:r>
          </w:p>
        </w:tc>
        <w:tc>
          <w:tcPr>
            <w:tcW w:w="3294"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r>
      <w:tr w:rsidR="00157EA0" w:rsidTr="008D4B2E">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管理费用</w:t>
            </w:r>
          </w:p>
        </w:tc>
        <w:tc>
          <w:tcPr>
            <w:tcW w:w="172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458,119,027.04</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407,317,166.19</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12.47%</w:t>
            </w:r>
          </w:p>
        </w:tc>
        <w:tc>
          <w:tcPr>
            <w:tcW w:w="3294"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r>
      <w:tr w:rsidR="00157EA0" w:rsidTr="008D4B2E">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财务费用</w:t>
            </w:r>
          </w:p>
        </w:tc>
        <w:tc>
          <w:tcPr>
            <w:tcW w:w="172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65,061,912.58</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18,476,849.15</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252.13%</w:t>
            </w:r>
          </w:p>
        </w:tc>
        <w:tc>
          <w:tcPr>
            <w:tcW w:w="329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子公司益</w:t>
            </w:r>
            <w:proofErr w:type="gramStart"/>
            <w:r>
              <w:rPr>
                <w:rFonts w:ascii="宋体" w:eastAsia="宋体" w:hAnsi="宋体" w:cs="宋体"/>
                <w:sz w:val="18"/>
                <w:szCs w:val="18"/>
              </w:rPr>
              <w:t>凯</w:t>
            </w:r>
            <w:proofErr w:type="gramEnd"/>
            <w:r>
              <w:rPr>
                <w:rFonts w:ascii="宋体" w:eastAsia="宋体" w:hAnsi="宋体" w:cs="宋体"/>
                <w:sz w:val="18"/>
                <w:szCs w:val="18"/>
              </w:rPr>
              <w:t>新材料2022年末在建工程转固，利息费用停止资本化所致。</w:t>
            </w:r>
          </w:p>
        </w:tc>
      </w:tr>
      <w:tr w:rsidR="00157EA0" w:rsidTr="008D4B2E">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研发费用</w:t>
            </w:r>
          </w:p>
        </w:tc>
        <w:tc>
          <w:tcPr>
            <w:tcW w:w="172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358,585,068.83</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302,939,656.19</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18.37%</w:t>
            </w:r>
          </w:p>
        </w:tc>
        <w:tc>
          <w:tcPr>
            <w:tcW w:w="3294"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r>
    </w:tbl>
    <w:p w:rsidR="00BA0365" w:rsidRDefault="008D4B2E">
      <w:pPr>
        <w:pStyle w:val="3"/>
        <w:spacing w:line="280" w:lineRule="exact"/>
        <w:jc w:val="left"/>
        <w:rPr>
          <w:rFonts w:ascii="宋体" w:hAnsi="宋体" w:cs="宋体"/>
          <w:b/>
          <w:bCs/>
        </w:rPr>
      </w:pPr>
      <w:bookmarkStart w:id="29" w:name="_Toc988918"/>
      <w:r>
        <w:rPr>
          <w:rFonts w:ascii="宋体" w:hAnsi="宋体" w:cs="宋体"/>
          <w:b/>
          <w:bCs/>
        </w:rPr>
        <w:t>4、研发投入</w:t>
      </w:r>
      <w:bookmarkEnd w:id="29"/>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Layout w:type="fixed"/>
        <w:tblLook w:val="04A0" w:firstRow="1" w:lastRow="0" w:firstColumn="1" w:lastColumn="0" w:noHBand="0" w:noVBand="1"/>
      </w:tblPr>
      <w:tblGrid>
        <w:gridCol w:w="1242"/>
        <w:gridCol w:w="4962"/>
        <w:gridCol w:w="850"/>
        <w:gridCol w:w="851"/>
        <w:gridCol w:w="1734"/>
      </w:tblGrid>
      <w:tr w:rsidR="00157EA0" w:rsidTr="00AF7E7B">
        <w:trPr>
          <w:trHeight w:val="240"/>
        </w:trPr>
        <w:tc>
          <w:tcPr>
            <w:tcW w:w="124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主要研发项目名称</w:t>
            </w:r>
          </w:p>
        </w:tc>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项目目的</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项目进展</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拟达到的目标</w:t>
            </w:r>
          </w:p>
        </w:tc>
        <w:tc>
          <w:tcPr>
            <w:tcW w:w="1734"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预计对公司未来发展的影响</w:t>
            </w:r>
          </w:p>
        </w:tc>
      </w:tr>
      <w:tr w:rsidR="00157EA0" w:rsidTr="00AF7E7B">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全钢轻卡专用机型项目</w:t>
            </w:r>
          </w:p>
        </w:tc>
        <w:tc>
          <w:tcPr>
            <w:tcW w:w="496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在轻卡专用机型上实现复合件自动贴合、垫胶自动贴合等工艺，降低操作工的劳动强度，具备高自动化的主机供料系统、高自动化的辅机供料系统、轻</w:t>
            </w:r>
            <w:proofErr w:type="gramStart"/>
            <w:r>
              <w:rPr>
                <w:rFonts w:ascii="宋体" w:eastAsia="宋体" w:hAnsi="宋体" w:cs="宋体"/>
                <w:sz w:val="18"/>
                <w:szCs w:val="18"/>
              </w:rPr>
              <w:t>卡规格单循环时间</w:t>
            </w:r>
            <w:proofErr w:type="gramEnd"/>
            <w:r>
              <w:rPr>
                <w:rFonts w:ascii="宋体" w:eastAsia="宋体" w:hAnsi="宋体" w:cs="宋体"/>
                <w:sz w:val="18"/>
                <w:szCs w:val="18"/>
              </w:rPr>
              <w:t>小于90S，满足客户快速交付需求。</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批量化应用</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具备量</w:t>
            </w:r>
            <w:proofErr w:type="gramStart"/>
            <w:r>
              <w:rPr>
                <w:rFonts w:ascii="宋体" w:eastAsia="宋体" w:hAnsi="宋体" w:cs="宋体"/>
                <w:sz w:val="18"/>
                <w:szCs w:val="18"/>
              </w:rPr>
              <w:t>产上市</w:t>
            </w:r>
            <w:proofErr w:type="gramEnd"/>
            <w:r>
              <w:rPr>
                <w:rFonts w:ascii="宋体" w:eastAsia="宋体" w:hAnsi="宋体" w:cs="宋体"/>
                <w:sz w:val="18"/>
                <w:szCs w:val="18"/>
              </w:rPr>
              <w:t>条件</w:t>
            </w:r>
          </w:p>
        </w:tc>
        <w:tc>
          <w:tcPr>
            <w:tcW w:w="17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进一步完善产品系列，提升产品竞争力。</w:t>
            </w:r>
          </w:p>
        </w:tc>
      </w:tr>
      <w:tr w:rsidR="00157EA0" w:rsidTr="00AF7E7B">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两次法农用</w:t>
            </w:r>
            <w:proofErr w:type="gramStart"/>
            <w:r>
              <w:rPr>
                <w:rFonts w:ascii="宋体" w:eastAsia="宋体" w:hAnsi="宋体" w:cs="宋体"/>
                <w:sz w:val="18"/>
                <w:szCs w:val="18"/>
              </w:rPr>
              <w:t>胎</w:t>
            </w:r>
            <w:proofErr w:type="gramEnd"/>
            <w:r>
              <w:rPr>
                <w:rFonts w:ascii="宋体" w:eastAsia="宋体" w:hAnsi="宋体" w:cs="宋体"/>
                <w:sz w:val="18"/>
                <w:szCs w:val="18"/>
              </w:rPr>
              <w:t>成型机</w:t>
            </w:r>
          </w:p>
        </w:tc>
        <w:tc>
          <w:tcPr>
            <w:tcW w:w="496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两次法农用</w:t>
            </w:r>
            <w:proofErr w:type="gramStart"/>
            <w:r>
              <w:rPr>
                <w:rFonts w:ascii="宋体" w:eastAsia="宋体" w:hAnsi="宋体" w:cs="宋体"/>
                <w:sz w:val="18"/>
                <w:szCs w:val="18"/>
              </w:rPr>
              <w:t>胎</w:t>
            </w:r>
            <w:proofErr w:type="gramEnd"/>
            <w:r>
              <w:rPr>
                <w:rFonts w:ascii="宋体" w:eastAsia="宋体" w:hAnsi="宋体" w:cs="宋体"/>
                <w:sz w:val="18"/>
                <w:szCs w:val="18"/>
              </w:rPr>
              <w:t>成型机从设备的布局、正反包等技术的创新应用，新型供料的应用，自动裁断功能的研发创新等，本产品是基于轮胎制造工艺基础上的完全创新，减少客户现场操作人员的工作量。</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客户现场测试</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具备量</w:t>
            </w:r>
            <w:proofErr w:type="gramStart"/>
            <w:r>
              <w:rPr>
                <w:rFonts w:ascii="宋体" w:eastAsia="宋体" w:hAnsi="宋体" w:cs="宋体"/>
                <w:sz w:val="18"/>
                <w:szCs w:val="18"/>
              </w:rPr>
              <w:t>产上市</w:t>
            </w:r>
            <w:proofErr w:type="gramEnd"/>
            <w:r>
              <w:rPr>
                <w:rFonts w:ascii="宋体" w:eastAsia="宋体" w:hAnsi="宋体" w:cs="宋体"/>
                <w:sz w:val="18"/>
                <w:szCs w:val="18"/>
              </w:rPr>
              <w:t>条件</w:t>
            </w:r>
          </w:p>
        </w:tc>
        <w:tc>
          <w:tcPr>
            <w:tcW w:w="17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为公司实现全系列产品的覆盖奠定坚实基础。</w:t>
            </w:r>
          </w:p>
        </w:tc>
      </w:tr>
      <w:tr w:rsidR="00157EA0" w:rsidTr="00AF7E7B">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半钢二次法成型机一人机</w:t>
            </w:r>
          </w:p>
        </w:tc>
        <w:tc>
          <w:tcPr>
            <w:tcW w:w="496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本机型优化时序，提高生产效率，操作人数由2人减少为1人操作，实现全自动化生产并实现自动上胎圈功能，是一款自动化、智能化产品。</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客户现场测试</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具备量</w:t>
            </w:r>
            <w:proofErr w:type="gramStart"/>
            <w:r>
              <w:rPr>
                <w:rFonts w:ascii="宋体" w:eastAsia="宋体" w:hAnsi="宋体" w:cs="宋体"/>
                <w:sz w:val="18"/>
                <w:szCs w:val="18"/>
              </w:rPr>
              <w:t>产上市</w:t>
            </w:r>
            <w:proofErr w:type="gramEnd"/>
            <w:r>
              <w:rPr>
                <w:rFonts w:ascii="宋体" w:eastAsia="宋体" w:hAnsi="宋体" w:cs="宋体"/>
                <w:sz w:val="18"/>
                <w:szCs w:val="18"/>
              </w:rPr>
              <w:t>条件</w:t>
            </w:r>
          </w:p>
        </w:tc>
        <w:tc>
          <w:tcPr>
            <w:tcW w:w="17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产品升级换代，进一步提高产品竞争力。</w:t>
            </w:r>
          </w:p>
        </w:tc>
      </w:tr>
      <w:tr w:rsidR="00157EA0" w:rsidTr="00AF7E7B">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成型机测试平台</w:t>
            </w:r>
          </w:p>
        </w:tc>
        <w:tc>
          <w:tcPr>
            <w:tcW w:w="496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研发一台用来验证主要关键零部件解决方案的可靠性机台，测试新型伺服控制系统、低压电器、传感器、精密减速机、变频电机等关键零部件。</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测试验证阶段</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具备量</w:t>
            </w:r>
            <w:proofErr w:type="gramStart"/>
            <w:r>
              <w:rPr>
                <w:rFonts w:ascii="宋体" w:eastAsia="宋体" w:hAnsi="宋体" w:cs="宋体"/>
                <w:sz w:val="18"/>
                <w:szCs w:val="18"/>
              </w:rPr>
              <w:t>产上市</w:t>
            </w:r>
            <w:proofErr w:type="gramEnd"/>
            <w:r>
              <w:rPr>
                <w:rFonts w:ascii="宋体" w:eastAsia="宋体" w:hAnsi="宋体" w:cs="宋体"/>
                <w:sz w:val="18"/>
                <w:szCs w:val="18"/>
              </w:rPr>
              <w:t>条件</w:t>
            </w:r>
          </w:p>
        </w:tc>
        <w:tc>
          <w:tcPr>
            <w:tcW w:w="17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储备产品与技术，实现高端装备自主可控的能力。</w:t>
            </w:r>
          </w:p>
        </w:tc>
      </w:tr>
      <w:tr w:rsidR="00157EA0" w:rsidTr="00AF7E7B">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工程胎巨胎胎体裁断一体机生产线研发</w:t>
            </w:r>
          </w:p>
        </w:tc>
        <w:tc>
          <w:tcPr>
            <w:tcW w:w="496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研发新一代高自动化、高效率的“工程胎巨胎胎体裁断一体机生产线”，通过一体</w:t>
            </w:r>
            <w:proofErr w:type="gramStart"/>
            <w:r>
              <w:rPr>
                <w:rFonts w:ascii="宋体" w:eastAsia="宋体" w:hAnsi="宋体" w:cs="宋体"/>
                <w:sz w:val="18"/>
                <w:szCs w:val="18"/>
              </w:rPr>
              <w:t>机形式</w:t>
            </w:r>
            <w:proofErr w:type="gramEnd"/>
            <w:r>
              <w:rPr>
                <w:rFonts w:ascii="宋体" w:eastAsia="宋体" w:hAnsi="宋体" w:cs="宋体"/>
                <w:sz w:val="18"/>
                <w:szCs w:val="18"/>
              </w:rPr>
              <w:t>同时应用于工程胎、巨胎胎体的所有规格生产需求，满足市场对工程胎、巨胎生产的自动化、高质量、高效率日益增加的需求。</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批量化应用</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具备量</w:t>
            </w:r>
            <w:proofErr w:type="gramStart"/>
            <w:r>
              <w:rPr>
                <w:rFonts w:ascii="宋体" w:eastAsia="宋体" w:hAnsi="宋体" w:cs="宋体"/>
                <w:sz w:val="18"/>
                <w:szCs w:val="18"/>
              </w:rPr>
              <w:t>产上市</w:t>
            </w:r>
            <w:proofErr w:type="gramEnd"/>
            <w:r>
              <w:rPr>
                <w:rFonts w:ascii="宋体" w:eastAsia="宋体" w:hAnsi="宋体" w:cs="宋体"/>
                <w:sz w:val="18"/>
                <w:szCs w:val="18"/>
              </w:rPr>
              <w:t>条件</w:t>
            </w:r>
          </w:p>
        </w:tc>
        <w:tc>
          <w:tcPr>
            <w:tcW w:w="17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丰富产品线，增加行业竞争力。</w:t>
            </w:r>
          </w:p>
        </w:tc>
      </w:tr>
      <w:tr w:rsidR="00157EA0" w:rsidTr="00AF7E7B">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新一代全自动小料项目</w:t>
            </w:r>
          </w:p>
        </w:tc>
        <w:tc>
          <w:tcPr>
            <w:tcW w:w="496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新一代全自动小料称量系统是集解包、除尘、存储、称量、输送</w:t>
            </w:r>
            <w:proofErr w:type="gramStart"/>
            <w:r>
              <w:rPr>
                <w:rFonts w:ascii="宋体" w:eastAsia="宋体" w:hAnsi="宋体" w:cs="宋体"/>
                <w:sz w:val="18"/>
                <w:szCs w:val="18"/>
              </w:rPr>
              <w:t>及料袋自动</w:t>
            </w:r>
            <w:proofErr w:type="gramEnd"/>
            <w:r>
              <w:rPr>
                <w:rFonts w:ascii="宋体" w:eastAsia="宋体" w:hAnsi="宋体" w:cs="宋体"/>
                <w:sz w:val="18"/>
                <w:szCs w:val="18"/>
              </w:rPr>
              <w:t>制作、自动封口于一体的全自动化设备。使用该设备可以显著提高小料称量过程的自动化程度，同时降低人工劳动强度，减少操作工数量，</w:t>
            </w:r>
            <w:proofErr w:type="gramStart"/>
            <w:r>
              <w:rPr>
                <w:rFonts w:ascii="宋体" w:eastAsia="宋体" w:hAnsi="宋体" w:cs="宋体"/>
                <w:sz w:val="18"/>
                <w:szCs w:val="18"/>
              </w:rPr>
              <w:t>改善密炼车间</w:t>
            </w:r>
            <w:proofErr w:type="gramEnd"/>
            <w:r>
              <w:rPr>
                <w:rFonts w:ascii="宋体" w:eastAsia="宋体" w:hAnsi="宋体" w:cs="宋体"/>
                <w:sz w:val="18"/>
                <w:szCs w:val="18"/>
              </w:rPr>
              <w:t>的工作环境。</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批量化应用</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具备量</w:t>
            </w:r>
            <w:proofErr w:type="gramStart"/>
            <w:r>
              <w:rPr>
                <w:rFonts w:ascii="宋体" w:eastAsia="宋体" w:hAnsi="宋体" w:cs="宋体"/>
                <w:sz w:val="18"/>
                <w:szCs w:val="18"/>
              </w:rPr>
              <w:t>产上市</w:t>
            </w:r>
            <w:proofErr w:type="gramEnd"/>
            <w:r>
              <w:rPr>
                <w:rFonts w:ascii="宋体" w:eastAsia="宋体" w:hAnsi="宋体" w:cs="宋体"/>
                <w:sz w:val="18"/>
                <w:szCs w:val="18"/>
              </w:rPr>
              <w:t>条件</w:t>
            </w:r>
          </w:p>
        </w:tc>
        <w:tc>
          <w:tcPr>
            <w:tcW w:w="17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产品升级换代，进一步提高产品竞争力，提升市场占有率。</w:t>
            </w:r>
          </w:p>
        </w:tc>
      </w:tr>
      <w:tr w:rsidR="00157EA0" w:rsidTr="00AF7E7B">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袖筒式空气弹簧成型机</w:t>
            </w:r>
          </w:p>
        </w:tc>
        <w:tc>
          <w:tcPr>
            <w:tcW w:w="496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全自动袖筒式空气弹簧成型机是一种新的专门为袖筒式空气弹簧成型的设备，新方案能够满足客户的工艺需求，主要实现帘布新裁断成型工艺、全自动供料贴合、胶料贴合压力精确控制技术、多层胶料一次性不间断贴合技术、帘布</w:t>
            </w:r>
            <w:proofErr w:type="gramStart"/>
            <w:r>
              <w:rPr>
                <w:rFonts w:ascii="宋体" w:eastAsia="宋体" w:hAnsi="宋体" w:cs="宋体"/>
                <w:sz w:val="18"/>
                <w:szCs w:val="18"/>
              </w:rPr>
              <w:t>吸附式递料及</w:t>
            </w:r>
            <w:proofErr w:type="gramEnd"/>
            <w:r>
              <w:rPr>
                <w:rFonts w:ascii="宋体" w:eastAsia="宋体" w:hAnsi="宋体" w:cs="宋体"/>
                <w:sz w:val="18"/>
                <w:szCs w:val="18"/>
              </w:rPr>
              <w:t>裁切技术、薄胶料吸附递送定位技术等。</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批量化应用</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具备量</w:t>
            </w:r>
            <w:proofErr w:type="gramStart"/>
            <w:r>
              <w:rPr>
                <w:rFonts w:ascii="宋体" w:eastAsia="宋体" w:hAnsi="宋体" w:cs="宋体"/>
                <w:sz w:val="18"/>
                <w:szCs w:val="18"/>
              </w:rPr>
              <w:t>产上市</w:t>
            </w:r>
            <w:proofErr w:type="gramEnd"/>
            <w:r>
              <w:rPr>
                <w:rFonts w:ascii="宋体" w:eastAsia="宋体" w:hAnsi="宋体" w:cs="宋体"/>
                <w:sz w:val="18"/>
                <w:szCs w:val="18"/>
              </w:rPr>
              <w:t>条件</w:t>
            </w:r>
          </w:p>
        </w:tc>
        <w:tc>
          <w:tcPr>
            <w:tcW w:w="17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拓展其他细分市场，完善产品线产品。</w:t>
            </w:r>
          </w:p>
        </w:tc>
      </w:tr>
      <w:tr w:rsidR="00157EA0" w:rsidTr="00AF7E7B">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全自动半钢一次法成型机</w:t>
            </w:r>
          </w:p>
        </w:tc>
        <w:tc>
          <w:tcPr>
            <w:tcW w:w="496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全自动半钢一次法成型机是一款全自动的轮胎成型设备，轮胎成型全过程仅需一人监控，同时能兼顾</w:t>
            </w:r>
            <w:proofErr w:type="gramStart"/>
            <w:r>
              <w:rPr>
                <w:rFonts w:ascii="宋体" w:eastAsia="宋体" w:hAnsi="宋体" w:cs="宋体"/>
                <w:sz w:val="18"/>
                <w:szCs w:val="18"/>
              </w:rPr>
              <w:t>手动上</w:t>
            </w:r>
            <w:proofErr w:type="gramEnd"/>
            <w:r>
              <w:rPr>
                <w:rFonts w:ascii="宋体" w:eastAsia="宋体" w:hAnsi="宋体" w:cs="宋体"/>
                <w:sz w:val="18"/>
                <w:szCs w:val="18"/>
              </w:rPr>
              <w:t>圈、人工修胎及修胎后自动对接物流线的功能，扩展其运用范围，提高效率，减少人力成本。</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批量化应用</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具备量</w:t>
            </w:r>
            <w:proofErr w:type="gramStart"/>
            <w:r>
              <w:rPr>
                <w:rFonts w:ascii="宋体" w:eastAsia="宋体" w:hAnsi="宋体" w:cs="宋体"/>
                <w:sz w:val="18"/>
                <w:szCs w:val="18"/>
              </w:rPr>
              <w:t>产上市</w:t>
            </w:r>
            <w:proofErr w:type="gramEnd"/>
            <w:r>
              <w:rPr>
                <w:rFonts w:ascii="宋体" w:eastAsia="宋体" w:hAnsi="宋体" w:cs="宋体"/>
                <w:sz w:val="18"/>
                <w:szCs w:val="18"/>
              </w:rPr>
              <w:t>条件</w:t>
            </w:r>
          </w:p>
        </w:tc>
        <w:tc>
          <w:tcPr>
            <w:tcW w:w="17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全面提高产品智能化、自动化程度，打造国际领先的明星产品，提高企业成型产品核心竞争力。</w:t>
            </w:r>
          </w:p>
        </w:tc>
      </w:tr>
      <w:tr w:rsidR="00157EA0" w:rsidTr="00AF7E7B">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视觉技术研发</w:t>
            </w:r>
          </w:p>
        </w:tc>
        <w:tc>
          <w:tcPr>
            <w:tcW w:w="496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自主研发适用橡胶机械行业的机器视觉技术产品族，主要包括缺陷检测、生产过程监测、视觉引导等技术及产品。</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批量化应用</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具备量</w:t>
            </w:r>
            <w:proofErr w:type="gramStart"/>
            <w:r>
              <w:rPr>
                <w:rFonts w:ascii="宋体" w:eastAsia="宋体" w:hAnsi="宋体" w:cs="宋体"/>
                <w:sz w:val="18"/>
                <w:szCs w:val="18"/>
              </w:rPr>
              <w:t>产上市</w:t>
            </w:r>
            <w:proofErr w:type="gramEnd"/>
            <w:r>
              <w:rPr>
                <w:rFonts w:ascii="宋体" w:eastAsia="宋体" w:hAnsi="宋体" w:cs="宋体"/>
                <w:sz w:val="18"/>
                <w:szCs w:val="18"/>
              </w:rPr>
              <w:t>条件</w:t>
            </w:r>
          </w:p>
        </w:tc>
        <w:tc>
          <w:tcPr>
            <w:tcW w:w="17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满足轮胎及制品行业对于产品高质量的要求，</w:t>
            </w:r>
            <w:proofErr w:type="gramStart"/>
            <w:r>
              <w:rPr>
                <w:rFonts w:ascii="宋体" w:eastAsia="宋体" w:hAnsi="宋体" w:cs="宋体"/>
                <w:sz w:val="18"/>
                <w:szCs w:val="18"/>
              </w:rPr>
              <w:t>助力软控整机</w:t>
            </w:r>
            <w:proofErr w:type="gramEnd"/>
            <w:r>
              <w:rPr>
                <w:rFonts w:ascii="宋体" w:eastAsia="宋体" w:hAnsi="宋体" w:cs="宋体"/>
                <w:sz w:val="18"/>
                <w:szCs w:val="18"/>
              </w:rPr>
              <w:t>产品的销售，提升企业整体竞争</w:t>
            </w:r>
            <w:r>
              <w:rPr>
                <w:rFonts w:ascii="宋体" w:eastAsia="宋体" w:hAnsi="宋体" w:cs="宋体"/>
                <w:sz w:val="18"/>
                <w:szCs w:val="18"/>
              </w:rPr>
              <w:lastRenderedPageBreak/>
              <w:t>力。</w:t>
            </w:r>
          </w:p>
        </w:tc>
      </w:tr>
      <w:tr w:rsidR="00157EA0" w:rsidTr="00AF7E7B">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lastRenderedPageBreak/>
              <w:t>运</w:t>
            </w:r>
            <w:proofErr w:type="gramStart"/>
            <w:r>
              <w:rPr>
                <w:rFonts w:ascii="宋体" w:eastAsia="宋体" w:hAnsi="宋体" w:cs="宋体"/>
                <w:sz w:val="18"/>
                <w:szCs w:val="18"/>
              </w:rPr>
              <w:t>维中心</w:t>
            </w:r>
            <w:proofErr w:type="gramEnd"/>
            <w:r>
              <w:rPr>
                <w:rFonts w:ascii="宋体" w:eastAsia="宋体" w:hAnsi="宋体" w:cs="宋体"/>
                <w:sz w:val="18"/>
                <w:szCs w:val="18"/>
              </w:rPr>
              <w:t>系统</w:t>
            </w:r>
          </w:p>
        </w:tc>
        <w:tc>
          <w:tcPr>
            <w:tcW w:w="496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运</w:t>
            </w:r>
            <w:proofErr w:type="gramStart"/>
            <w:r>
              <w:rPr>
                <w:rFonts w:ascii="宋体" w:eastAsia="宋体" w:hAnsi="宋体" w:cs="宋体"/>
                <w:sz w:val="18"/>
                <w:szCs w:val="18"/>
              </w:rPr>
              <w:t>维中心</w:t>
            </w:r>
            <w:proofErr w:type="gramEnd"/>
            <w:r>
              <w:rPr>
                <w:rFonts w:ascii="宋体" w:eastAsia="宋体" w:hAnsi="宋体" w:cs="宋体"/>
                <w:sz w:val="18"/>
                <w:szCs w:val="18"/>
              </w:rPr>
              <w:t>系统是智能调度运</w:t>
            </w:r>
            <w:proofErr w:type="gramStart"/>
            <w:r>
              <w:rPr>
                <w:rFonts w:ascii="宋体" w:eastAsia="宋体" w:hAnsi="宋体" w:cs="宋体"/>
                <w:sz w:val="18"/>
                <w:szCs w:val="18"/>
              </w:rPr>
              <w:t>维工处理</w:t>
            </w:r>
            <w:proofErr w:type="gramEnd"/>
            <w:r>
              <w:rPr>
                <w:rFonts w:ascii="宋体" w:eastAsia="宋体" w:hAnsi="宋体" w:cs="宋体"/>
                <w:sz w:val="18"/>
                <w:szCs w:val="18"/>
              </w:rPr>
              <w:t>设备基础报警任务，通过数字孪生，在数字虚拟世界中构建设备模型，通过信息化平台展示物理实体的状态；根据实际状态智能运算，向最优运</w:t>
            </w:r>
            <w:proofErr w:type="gramStart"/>
            <w:r>
              <w:rPr>
                <w:rFonts w:ascii="宋体" w:eastAsia="宋体" w:hAnsi="宋体" w:cs="宋体"/>
                <w:sz w:val="18"/>
                <w:szCs w:val="18"/>
              </w:rPr>
              <w:t>维工派发</w:t>
            </w:r>
            <w:proofErr w:type="gramEnd"/>
            <w:r>
              <w:rPr>
                <w:rFonts w:ascii="宋体" w:eastAsia="宋体" w:hAnsi="宋体" w:cs="宋体"/>
                <w:sz w:val="18"/>
                <w:szCs w:val="18"/>
              </w:rPr>
              <w:t>任务进行处理。保证设备及时运行，实现2-3人运</w:t>
            </w:r>
            <w:proofErr w:type="gramStart"/>
            <w:r>
              <w:rPr>
                <w:rFonts w:ascii="宋体" w:eastAsia="宋体" w:hAnsi="宋体" w:cs="宋体"/>
                <w:sz w:val="18"/>
                <w:szCs w:val="18"/>
              </w:rPr>
              <w:t>维工同时</w:t>
            </w:r>
            <w:proofErr w:type="gramEnd"/>
            <w:r>
              <w:rPr>
                <w:rFonts w:ascii="宋体" w:eastAsia="宋体" w:hAnsi="宋体" w:cs="宋体"/>
                <w:sz w:val="18"/>
                <w:szCs w:val="18"/>
              </w:rPr>
              <w:t>维护多台设备运行，提升效率。</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批量化应用</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满足厂内及客户现场应用需求</w:t>
            </w:r>
          </w:p>
        </w:tc>
        <w:tc>
          <w:tcPr>
            <w:tcW w:w="17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为客户工厂减员增效，提高对客户端问题的响应速度进而提高客户满意度。</w:t>
            </w:r>
            <w:proofErr w:type="gramStart"/>
            <w:r>
              <w:rPr>
                <w:rFonts w:ascii="宋体" w:eastAsia="宋体" w:hAnsi="宋体" w:cs="宋体"/>
                <w:sz w:val="18"/>
                <w:szCs w:val="18"/>
              </w:rPr>
              <w:t>增加软控橡胶</w:t>
            </w:r>
            <w:proofErr w:type="gramEnd"/>
            <w:r>
              <w:rPr>
                <w:rFonts w:ascii="宋体" w:eastAsia="宋体" w:hAnsi="宋体" w:cs="宋体"/>
                <w:sz w:val="18"/>
                <w:szCs w:val="18"/>
              </w:rPr>
              <w:t>机械设备产品的竞争力。</w:t>
            </w:r>
          </w:p>
        </w:tc>
      </w:tr>
    </w:tbl>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公司研发人员情况</w:t>
      </w:r>
    </w:p>
    <w:tbl>
      <w:tblPr>
        <w:tblW w:w="9639" w:type="dxa"/>
        <w:tblLayout w:type="fixed"/>
        <w:tblLook w:val="04A0" w:firstRow="1" w:lastRow="0" w:firstColumn="1" w:lastColumn="0" w:noHBand="0" w:noVBand="1"/>
      </w:tblPr>
      <w:tblGrid>
        <w:gridCol w:w="2409"/>
        <w:gridCol w:w="2410"/>
        <w:gridCol w:w="2410"/>
        <w:gridCol w:w="2410"/>
      </w:tblGrid>
      <w:tr w:rsidR="00157EA0">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2023年</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2022年</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变动比例</w:t>
            </w:r>
          </w:p>
        </w:tc>
      </w:tr>
      <w:tr w:rsidR="00157EA0">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研发人员数量（人）</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997</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959</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3.96%</w:t>
            </w:r>
          </w:p>
        </w:tc>
      </w:tr>
      <w:tr w:rsidR="00157EA0">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研发人员数量占比</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24.54%</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25.62%</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-1.08%</w:t>
            </w:r>
          </w:p>
        </w:tc>
      </w:tr>
      <w:tr w:rsidR="00157EA0">
        <w:trPr>
          <w:trHeight w:val="240"/>
        </w:trPr>
        <w:tc>
          <w:tcPr>
            <w:tcW w:w="9639"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研发人员学历结构</w:t>
            </w:r>
          </w:p>
        </w:tc>
      </w:tr>
      <w:tr w:rsidR="00157EA0">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本科</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479</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457</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4.81%</w:t>
            </w:r>
          </w:p>
        </w:tc>
      </w:tr>
      <w:tr w:rsidR="00157EA0">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硕士</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135</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118</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14.41%</w:t>
            </w:r>
          </w:p>
        </w:tc>
      </w:tr>
      <w:tr w:rsidR="00157EA0">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大专及以下</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383</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384</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-0.26%</w:t>
            </w:r>
          </w:p>
        </w:tc>
      </w:tr>
      <w:tr w:rsidR="00157EA0">
        <w:trPr>
          <w:trHeight w:val="240"/>
        </w:trPr>
        <w:tc>
          <w:tcPr>
            <w:tcW w:w="9639"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研发人员年龄构成</w:t>
            </w:r>
          </w:p>
        </w:tc>
      </w:tr>
      <w:tr w:rsidR="00157EA0">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30岁以下</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499</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493</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1.22%</w:t>
            </w:r>
          </w:p>
        </w:tc>
      </w:tr>
      <w:tr w:rsidR="00157EA0">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30~40岁</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207</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191</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8.38%</w:t>
            </w:r>
          </w:p>
        </w:tc>
      </w:tr>
      <w:tr w:rsidR="00157EA0">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40岁以上</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291</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275</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5.82%</w:t>
            </w:r>
          </w:p>
        </w:tc>
      </w:tr>
    </w:tbl>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公司研发投入情况</w:t>
      </w:r>
    </w:p>
    <w:tbl>
      <w:tblPr>
        <w:tblW w:w="9639" w:type="dxa"/>
        <w:tblLayout w:type="fixed"/>
        <w:tblLook w:val="04A0" w:firstRow="1" w:lastRow="0" w:firstColumn="1" w:lastColumn="0" w:noHBand="0" w:noVBand="1"/>
      </w:tblPr>
      <w:tblGrid>
        <w:gridCol w:w="2974"/>
        <w:gridCol w:w="2410"/>
        <w:gridCol w:w="2410"/>
        <w:gridCol w:w="1845"/>
      </w:tblGrid>
      <w:tr w:rsidR="00157EA0" w:rsidTr="00077EE9">
        <w:trPr>
          <w:trHeight w:val="240"/>
        </w:trPr>
        <w:tc>
          <w:tcPr>
            <w:tcW w:w="2974"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2023年</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2022年</w:t>
            </w:r>
          </w:p>
        </w:tc>
        <w:tc>
          <w:tcPr>
            <w:tcW w:w="184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变动比例</w:t>
            </w:r>
          </w:p>
        </w:tc>
      </w:tr>
      <w:tr w:rsidR="00157EA0" w:rsidTr="00077EE9">
        <w:trPr>
          <w:trHeight w:val="240"/>
        </w:trPr>
        <w:tc>
          <w:tcPr>
            <w:tcW w:w="2974"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研发投入金额（元）</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358,585,068.83</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302,939,656.19</w:t>
            </w:r>
          </w:p>
        </w:tc>
        <w:tc>
          <w:tcPr>
            <w:tcW w:w="184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18.37%</w:t>
            </w:r>
          </w:p>
        </w:tc>
      </w:tr>
      <w:tr w:rsidR="00157EA0" w:rsidTr="00077EE9">
        <w:trPr>
          <w:trHeight w:val="240"/>
        </w:trPr>
        <w:tc>
          <w:tcPr>
            <w:tcW w:w="2974"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研发投入占营业收入比例</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6.35%</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5.28%</w:t>
            </w:r>
          </w:p>
        </w:tc>
        <w:tc>
          <w:tcPr>
            <w:tcW w:w="184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1.07%</w:t>
            </w:r>
          </w:p>
        </w:tc>
      </w:tr>
      <w:tr w:rsidR="00157EA0" w:rsidTr="00077EE9">
        <w:trPr>
          <w:trHeight w:val="240"/>
        </w:trPr>
        <w:tc>
          <w:tcPr>
            <w:tcW w:w="2974"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研发投入资本化的金额（元）</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Pr="00077EE9" w:rsidRDefault="00BA0365">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84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rsidTr="00077EE9">
        <w:trPr>
          <w:trHeight w:val="240"/>
        </w:trPr>
        <w:tc>
          <w:tcPr>
            <w:tcW w:w="2974"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资本化研发投入占研发投入的比例</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84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r>
    </w:tbl>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公司研发人员构成发生重大变化的原因及影响</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研发投入总额占营业收入的比重较上年发生显著变化的原因</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研发投入资本化率大幅变动的原因及其合理性说明</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pStyle w:val="3"/>
        <w:spacing w:line="280" w:lineRule="exact"/>
        <w:jc w:val="left"/>
        <w:rPr>
          <w:rFonts w:ascii="宋体" w:hAnsi="宋体" w:cs="宋体"/>
          <w:b/>
          <w:bCs/>
        </w:rPr>
      </w:pPr>
      <w:bookmarkStart w:id="30" w:name="_Toc988919"/>
      <w:r>
        <w:rPr>
          <w:rFonts w:ascii="宋体" w:hAnsi="宋体" w:cs="宋体"/>
          <w:b/>
          <w:bCs/>
        </w:rPr>
        <w:t>5、现金流</w:t>
      </w:r>
      <w:bookmarkEnd w:id="30"/>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2660"/>
        <w:gridCol w:w="2159"/>
        <w:gridCol w:w="2410"/>
        <w:gridCol w:w="2410"/>
      </w:tblGrid>
      <w:tr w:rsidR="00157EA0" w:rsidTr="00832133">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15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2023年</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2022年</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同比增减</w:t>
            </w:r>
          </w:p>
        </w:tc>
      </w:tr>
      <w:tr w:rsidR="00157EA0" w:rsidTr="00832133">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经营活动现金流入小计</w:t>
            </w:r>
          </w:p>
        </w:tc>
        <w:tc>
          <w:tcPr>
            <w:tcW w:w="21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7,843,702,867.37</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7,900,455,062.27</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-0.72%</w:t>
            </w:r>
          </w:p>
        </w:tc>
      </w:tr>
      <w:tr w:rsidR="00157EA0" w:rsidTr="00832133">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经营活动现金流出小计</w:t>
            </w:r>
          </w:p>
        </w:tc>
        <w:tc>
          <w:tcPr>
            <w:tcW w:w="21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7,612,298,119.80</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7,517,720,409.36</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1.26%</w:t>
            </w:r>
          </w:p>
        </w:tc>
      </w:tr>
      <w:tr w:rsidR="00157EA0" w:rsidTr="00832133">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经营活动产生的现金流量净额</w:t>
            </w:r>
          </w:p>
        </w:tc>
        <w:tc>
          <w:tcPr>
            <w:tcW w:w="21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231,404,747.57</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382,734,652.91</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-39.54%</w:t>
            </w:r>
          </w:p>
        </w:tc>
      </w:tr>
      <w:tr w:rsidR="00157EA0" w:rsidTr="00832133">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投资活动现金流入小计</w:t>
            </w:r>
          </w:p>
        </w:tc>
        <w:tc>
          <w:tcPr>
            <w:tcW w:w="21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3,089,477,862.22</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3,458,082,792.28</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-10.66%</w:t>
            </w:r>
          </w:p>
        </w:tc>
      </w:tr>
      <w:tr w:rsidR="00157EA0" w:rsidTr="00832133">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投资活动现金流出小计</w:t>
            </w:r>
          </w:p>
        </w:tc>
        <w:tc>
          <w:tcPr>
            <w:tcW w:w="21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3,915,132,471.11</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4,210,241,460.08</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-7.01%</w:t>
            </w:r>
          </w:p>
        </w:tc>
      </w:tr>
      <w:tr w:rsidR="00157EA0" w:rsidTr="00832133">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投资活动产生的现金流量净额</w:t>
            </w:r>
          </w:p>
        </w:tc>
        <w:tc>
          <w:tcPr>
            <w:tcW w:w="21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-825,654,608.89</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-752,158,667.80</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-9.77%</w:t>
            </w:r>
          </w:p>
        </w:tc>
      </w:tr>
      <w:tr w:rsidR="00157EA0" w:rsidTr="00832133">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筹资活动现金流入小计</w:t>
            </w:r>
          </w:p>
        </w:tc>
        <w:tc>
          <w:tcPr>
            <w:tcW w:w="21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1,570,161,165.28</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1,506,385,846.05</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4.23%</w:t>
            </w:r>
          </w:p>
        </w:tc>
      </w:tr>
      <w:tr w:rsidR="00157EA0" w:rsidTr="00832133">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lastRenderedPageBreak/>
              <w:t>筹资活动现金流出小计</w:t>
            </w:r>
          </w:p>
        </w:tc>
        <w:tc>
          <w:tcPr>
            <w:tcW w:w="21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1,028,037,955.26</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758,541,005.20</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35.53%</w:t>
            </w:r>
          </w:p>
        </w:tc>
      </w:tr>
      <w:tr w:rsidR="00157EA0" w:rsidTr="00832133">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筹资活动产生的现金流量净额</w:t>
            </w:r>
          </w:p>
        </w:tc>
        <w:tc>
          <w:tcPr>
            <w:tcW w:w="21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542,123,210.02</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747,844,840.85</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-27.51%</w:t>
            </w:r>
          </w:p>
        </w:tc>
      </w:tr>
      <w:tr w:rsidR="00157EA0" w:rsidTr="00832133">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现金及现金等价物净增加额</w:t>
            </w:r>
          </w:p>
        </w:tc>
        <w:tc>
          <w:tcPr>
            <w:tcW w:w="21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-57,175,228.57</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396,993,727.28</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-114.40%</w:t>
            </w:r>
          </w:p>
        </w:tc>
      </w:tr>
    </w:tbl>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相关数据同比发生重大变动的主要影响因素说明</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8D4B2E" w:rsidRPr="007370FD" w:rsidRDefault="008D4B2E" w:rsidP="007370FD">
      <w:pPr>
        <w:spacing w:before="100" w:after="100" w:line="240" w:lineRule="exact"/>
        <w:divId w:val="5639096"/>
        <w:rPr>
          <w:rFonts w:ascii="宋体" w:eastAsia="宋体" w:hAnsi="宋体" w:cs="宋体"/>
          <w:sz w:val="18"/>
          <w:szCs w:val="18"/>
        </w:rPr>
      </w:pPr>
      <w:r w:rsidRPr="007370FD">
        <w:rPr>
          <w:rFonts w:ascii="宋体" w:eastAsia="宋体" w:hAnsi="宋体" w:cs="宋体" w:hint="eastAsia"/>
          <w:sz w:val="18"/>
          <w:szCs w:val="18"/>
        </w:rPr>
        <w:t>经营活动产生的现金流量金额较同期下降39.54%，主要是由于期末受限资金余额较大，导致经营活动现金流出所致；</w:t>
      </w:r>
    </w:p>
    <w:p w:rsidR="008D4B2E" w:rsidRPr="007370FD" w:rsidRDefault="008D4B2E" w:rsidP="007370FD">
      <w:pPr>
        <w:spacing w:before="100" w:after="100" w:line="240" w:lineRule="exact"/>
        <w:divId w:val="5639096"/>
        <w:rPr>
          <w:rFonts w:ascii="宋体" w:eastAsia="宋体" w:hAnsi="宋体" w:cs="宋体"/>
          <w:sz w:val="18"/>
          <w:szCs w:val="18"/>
        </w:rPr>
      </w:pPr>
      <w:r w:rsidRPr="007370FD">
        <w:rPr>
          <w:rFonts w:ascii="宋体" w:eastAsia="宋体" w:hAnsi="宋体" w:cs="宋体" w:hint="eastAsia"/>
          <w:sz w:val="18"/>
          <w:szCs w:val="18"/>
        </w:rPr>
        <w:t>筹资活动现金流出较同期增长35.53%，主要是由于本期偿还借款较多所致；</w:t>
      </w:r>
    </w:p>
    <w:p w:rsidR="008D4B2E" w:rsidRPr="007370FD" w:rsidRDefault="008D4B2E" w:rsidP="007370FD">
      <w:pPr>
        <w:spacing w:before="100" w:after="100" w:line="240" w:lineRule="exact"/>
        <w:divId w:val="5639096"/>
        <w:rPr>
          <w:rFonts w:ascii="宋体" w:eastAsia="宋体" w:hAnsi="宋体" w:cs="宋体"/>
          <w:sz w:val="18"/>
          <w:szCs w:val="18"/>
        </w:rPr>
      </w:pPr>
      <w:r w:rsidRPr="007370FD">
        <w:rPr>
          <w:rFonts w:ascii="宋体" w:eastAsia="宋体" w:hAnsi="宋体" w:cs="宋体" w:hint="eastAsia"/>
          <w:sz w:val="18"/>
          <w:szCs w:val="18"/>
        </w:rPr>
        <w:t>现金及现金等价物净增加额较去年同期下降114.40%，主要是由于经营活动和筹资活动现金流出较多所致。</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报告期内公司经营活动产生的现金净流量与本年度净利润存在重大差异的原因说明</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8D4B2E" w:rsidRPr="007370FD" w:rsidRDefault="008D4B2E" w:rsidP="007370FD">
      <w:pPr>
        <w:spacing w:before="100" w:after="100" w:line="240" w:lineRule="exact"/>
        <w:divId w:val="564679520"/>
        <w:rPr>
          <w:rFonts w:ascii="宋体" w:eastAsia="宋体" w:hAnsi="宋体" w:cs="宋体"/>
          <w:sz w:val="18"/>
          <w:szCs w:val="18"/>
        </w:rPr>
      </w:pPr>
      <w:r w:rsidRPr="007370FD">
        <w:rPr>
          <w:rFonts w:ascii="宋体" w:eastAsia="宋体" w:hAnsi="宋体" w:cs="宋体" w:hint="eastAsia"/>
          <w:sz w:val="18"/>
          <w:szCs w:val="18"/>
        </w:rPr>
        <w:t>详细情况见</w:t>
      </w:r>
      <w:r w:rsidRPr="007370FD">
        <w:rPr>
          <w:rFonts w:ascii="宋体" w:eastAsia="宋体" w:hAnsi="宋体" w:cs="宋体"/>
          <w:sz w:val="18"/>
          <w:szCs w:val="18"/>
        </w:rPr>
        <w:t>“</w:t>
      </w:r>
      <w:r w:rsidRPr="007370FD">
        <w:rPr>
          <w:rFonts w:ascii="宋体" w:eastAsia="宋体" w:hAnsi="宋体" w:cs="宋体" w:hint="eastAsia"/>
          <w:sz w:val="18"/>
          <w:szCs w:val="18"/>
        </w:rPr>
        <w:t>现金流量表补充资料</w:t>
      </w:r>
      <w:r w:rsidRPr="007370FD">
        <w:rPr>
          <w:rFonts w:ascii="宋体" w:eastAsia="宋体" w:hAnsi="宋体" w:cs="宋体"/>
          <w:sz w:val="18"/>
          <w:szCs w:val="18"/>
        </w:rPr>
        <w:t>”</w:t>
      </w:r>
      <w:r w:rsidRPr="007370FD">
        <w:rPr>
          <w:rFonts w:ascii="宋体" w:eastAsia="宋体" w:hAnsi="宋体" w:cs="宋体" w:hint="eastAsia"/>
          <w:sz w:val="18"/>
          <w:szCs w:val="18"/>
        </w:rPr>
        <w:t>。</w:t>
      </w:r>
    </w:p>
    <w:p w:rsidR="00BA0365" w:rsidRDefault="008D4B2E">
      <w:pPr>
        <w:pStyle w:val="2"/>
        <w:spacing w:before="300" w:after="300" w:line="320" w:lineRule="exact"/>
        <w:rPr>
          <w:rFonts w:ascii="宋体" w:eastAsia="宋体" w:hAnsi="宋体" w:cs="宋体"/>
          <w:b/>
          <w:bCs/>
          <w:sz w:val="24"/>
          <w:szCs w:val="24"/>
        </w:rPr>
      </w:pPr>
      <w:bookmarkStart w:id="31" w:name="_Toc988920"/>
      <w:r>
        <w:rPr>
          <w:rFonts w:ascii="宋体" w:eastAsia="宋体" w:hAnsi="宋体" w:cs="宋体"/>
          <w:b/>
          <w:bCs/>
          <w:sz w:val="24"/>
          <w:szCs w:val="24"/>
        </w:rPr>
        <w:t>五、非主营业务分析</w:t>
      </w:r>
      <w:bookmarkEnd w:id="31"/>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BA0365" w:rsidRDefault="008D4B2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1384"/>
        <w:gridCol w:w="1559"/>
        <w:gridCol w:w="1560"/>
        <w:gridCol w:w="3402"/>
        <w:gridCol w:w="1734"/>
      </w:tblGrid>
      <w:tr w:rsidR="00157EA0" w:rsidTr="00832133">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占利润总额比例</w:t>
            </w:r>
          </w:p>
        </w:tc>
        <w:tc>
          <w:tcPr>
            <w:tcW w:w="34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形成原因说明</w:t>
            </w:r>
          </w:p>
        </w:tc>
        <w:tc>
          <w:tcPr>
            <w:tcW w:w="1734"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是否具有可持续性</w:t>
            </w:r>
          </w:p>
        </w:tc>
      </w:tr>
      <w:tr w:rsidR="00157EA0" w:rsidTr="00832133">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投资收益</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81,225,239.72</w:t>
            </w: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19.75%</w:t>
            </w:r>
          </w:p>
        </w:tc>
        <w:tc>
          <w:tcPr>
            <w:tcW w:w="34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主要系理财收益、股权处置及其他权益工具投资分红</w:t>
            </w:r>
          </w:p>
        </w:tc>
        <w:tc>
          <w:tcPr>
            <w:tcW w:w="1734" w:type="dxa"/>
            <w:tcBorders>
              <w:top w:val="single" w:sz="2" w:space="0" w:color="auto"/>
              <w:left w:val="single" w:sz="2" w:space="0" w:color="auto"/>
              <w:bottom w:val="single" w:sz="2" w:space="0" w:color="auto"/>
              <w:right w:val="single" w:sz="2" w:space="0" w:color="auto"/>
            </w:tcBorders>
            <w:vAlign w:val="center"/>
          </w:tcPr>
          <w:p w:rsidR="00BA0365" w:rsidRDefault="008D4B2E" w:rsidP="001505AE">
            <w:pPr>
              <w:spacing w:line="240" w:lineRule="exact"/>
              <w:jc w:val="right"/>
              <w:rPr>
                <w:rFonts w:ascii="宋体" w:eastAsia="宋体" w:hAnsi="宋体" w:cs="宋体"/>
                <w:sz w:val="18"/>
                <w:szCs w:val="18"/>
              </w:rPr>
            </w:pPr>
            <w:r>
              <w:rPr>
                <w:rFonts w:ascii="宋体" w:eastAsia="宋体" w:hAnsi="宋体" w:cs="宋体"/>
                <w:sz w:val="18"/>
                <w:szCs w:val="18"/>
              </w:rPr>
              <w:t>否</w:t>
            </w:r>
          </w:p>
        </w:tc>
      </w:tr>
      <w:tr w:rsidR="00157EA0" w:rsidTr="00832133">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资产减值</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-100,107,800.90</w:t>
            </w: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-24.34%</w:t>
            </w:r>
          </w:p>
        </w:tc>
        <w:tc>
          <w:tcPr>
            <w:tcW w:w="34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主要系订单规模增长，存货跌价准备计提带来的影响</w:t>
            </w:r>
          </w:p>
        </w:tc>
        <w:tc>
          <w:tcPr>
            <w:tcW w:w="1734" w:type="dxa"/>
            <w:tcBorders>
              <w:top w:val="single" w:sz="2" w:space="0" w:color="auto"/>
              <w:left w:val="single" w:sz="2" w:space="0" w:color="auto"/>
              <w:bottom w:val="single" w:sz="2" w:space="0" w:color="auto"/>
              <w:right w:val="single" w:sz="2" w:space="0" w:color="auto"/>
            </w:tcBorders>
            <w:vAlign w:val="center"/>
          </w:tcPr>
          <w:p w:rsidR="00BA0365" w:rsidRDefault="008D4B2E" w:rsidP="001505AE">
            <w:pPr>
              <w:spacing w:line="240" w:lineRule="exact"/>
              <w:jc w:val="right"/>
              <w:rPr>
                <w:rFonts w:ascii="宋体" w:eastAsia="宋体" w:hAnsi="宋体" w:cs="宋体"/>
                <w:sz w:val="18"/>
                <w:szCs w:val="18"/>
              </w:rPr>
            </w:pPr>
            <w:r>
              <w:rPr>
                <w:rFonts w:ascii="宋体" w:eastAsia="宋体" w:hAnsi="宋体" w:cs="宋体"/>
                <w:sz w:val="18"/>
                <w:szCs w:val="18"/>
              </w:rPr>
              <w:t>否</w:t>
            </w:r>
          </w:p>
        </w:tc>
      </w:tr>
      <w:tr w:rsidR="00157EA0" w:rsidTr="00832133">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营业外收入</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2,690,759.36</w:t>
            </w: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0.65%</w:t>
            </w:r>
          </w:p>
        </w:tc>
        <w:tc>
          <w:tcPr>
            <w:tcW w:w="34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主要系政府补助收入及罚款收入</w:t>
            </w:r>
          </w:p>
        </w:tc>
        <w:tc>
          <w:tcPr>
            <w:tcW w:w="1734" w:type="dxa"/>
            <w:tcBorders>
              <w:top w:val="single" w:sz="2" w:space="0" w:color="auto"/>
              <w:left w:val="single" w:sz="2" w:space="0" w:color="auto"/>
              <w:bottom w:val="single" w:sz="2" w:space="0" w:color="auto"/>
              <w:right w:val="single" w:sz="2" w:space="0" w:color="auto"/>
            </w:tcBorders>
            <w:vAlign w:val="center"/>
          </w:tcPr>
          <w:p w:rsidR="00BA0365" w:rsidRDefault="008D4B2E" w:rsidP="001505AE">
            <w:pPr>
              <w:spacing w:line="240" w:lineRule="exact"/>
              <w:jc w:val="right"/>
              <w:rPr>
                <w:rFonts w:ascii="宋体" w:eastAsia="宋体" w:hAnsi="宋体" w:cs="宋体"/>
                <w:sz w:val="18"/>
                <w:szCs w:val="18"/>
              </w:rPr>
            </w:pPr>
            <w:r>
              <w:rPr>
                <w:rFonts w:ascii="宋体" w:eastAsia="宋体" w:hAnsi="宋体" w:cs="宋体"/>
                <w:sz w:val="18"/>
                <w:szCs w:val="18"/>
              </w:rPr>
              <w:t>否</w:t>
            </w:r>
          </w:p>
        </w:tc>
      </w:tr>
      <w:tr w:rsidR="00157EA0" w:rsidTr="00832133">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营业外支出</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20,498,497.96</w:t>
            </w: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4.98%</w:t>
            </w:r>
          </w:p>
        </w:tc>
        <w:tc>
          <w:tcPr>
            <w:tcW w:w="34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主要</w:t>
            </w:r>
            <w:proofErr w:type="gramStart"/>
            <w:r>
              <w:rPr>
                <w:rFonts w:ascii="宋体" w:eastAsia="宋体" w:hAnsi="宋体" w:cs="宋体"/>
                <w:sz w:val="18"/>
                <w:szCs w:val="18"/>
              </w:rPr>
              <w:t>系资产</w:t>
            </w:r>
            <w:proofErr w:type="gramEnd"/>
            <w:r>
              <w:rPr>
                <w:rFonts w:ascii="宋体" w:eastAsia="宋体" w:hAnsi="宋体" w:cs="宋体"/>
                <w:sz w:val="18"/>
                <w:szCs w:val="18"/>
              </w:rPr>
              <w:t>报废损失和赔偿金</w:t>
            </w:r>
          </w:p>
        </w:tc>
        <w:tc>
          <w:tcPr>
            <w:tcW w:w="1734" w:type="dxa"/>
            <w:tcBorders>
              <w:top w:val="single" w:sz="2" w:space="0" w:color="auto"/>
              <w:left w:val="single" w:sz="2" w:space="0" w:color="auto"/>
              <w:bottom w:val="single" w:sz="2" w:space="0" w:color="auto"/>
              <w:right w:val="single" w:sz="2" w:space="0" w:color="auto"/>
            </w:tcBorders>
            <w:vAlign w:val="center"/>
          </w:tcPr>
          <w:p w:rsidR="00BA0365" w:rsidRDefault="008D4B2E" w:rsidP="001505AE">
            <w:pPr>
              <w:spacing w:line="240" w:lineRule="exact"/>
              <w:jc w:val="right"/>
              <w:rPr>
                <w:rFonts w:ascii="宋体" w:eastAsia="宋体" w:hAnsi="宋体" w:cs="宋体"/>
                <w:sz w:val="18"/>
                <w:szCs w:val="18"/>
              </w:rPr>
            </w:pPr>
            <w:r>
              <w:rPr>
                <w:rFonts w:ascii="宋体" w:eastAsia="宋体" w:hAnsi="宋体" w:cs="宋体"/>
                <w:sz w:val="18"/>
                <w:szCs w:val="18"/>
              </w:rPr>
              <w:t>否</w:t>
            </w:r>
          </w:p>
        </w:tc>
      </w:tr>
      <w:tr w:rsidR="00157EA0" w:rsidTr="00832133">
        <w:trPr>
          <w:trHeight w:val="240"/>
        </w:trPr>
        <w:tc>
          <w:tcPr>
            <w:tcW w:w="138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其他收益</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37,369,532.27</w:t>
            </w: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9.09%</w:t>
            </w:r>
          </w:p>
        </w:tc>
        <w:tc>
          <w:tcPr>
            <w:tcW w:w="34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主要系与企业日常活动相关的政府补助</w:t>
            </w:r>
          </w:p>
        </w:tc>
        <w:tc>
          <w:tcPr>
            <w:tcW w:w="1734" w:type="dxa"/>
            <w:tcBorders>
              <w:top w:val="single" w:sz="2" w:space="0" w:color="auto"/>
              <w:left w:val="single" w:sz="2" w:space="0" w:color="auto"/>
              <w:bottom w:val="single" w:sz="2" w:space="0" w:color="auto"/>
              <w:right w:val="single" w:sz="2" w:space="0" w:color="auto"/>
            </w:tcBorders>
            <w:vAlign w:val="center"/>
          </w:tcPr>
          <w:p w:rsidR="00BA0365" w:rsidRDefault="008D4B2E" w:rsidP="001505AE">
            <w:pPr>
              <w:spacing w:line="240" w:lineRule="exact"/>
              <w:jc w:val="right"/>
              <w:rPr>
                <w:rFonts w:ascii="宋体" w:eastAsia="宋体" w:hAnsi="宋体" w:cs="宋体"/>
                <w:sz w:val="18"/>
                <w:szCs w:val="18"/>
              </w:rPr>
            </w:pPr>
            <w:r>
              <w:rPr>
                <w:rFonts w:ascii="宋体" w:eastAsia="宋体" w:hAnsi="宋体" w:cs="宋体"/>
                <w:sz w:val="18"/>
                <w:szCs w:val="18"/>
              </w:rPr>
              <w:t>是</w:t>
            </w:r>
          </w:p>
        </w:tc>
      </w:tr>
      <w:tr w:rsidR="00157EA0" w:rsidTr="00832133">
        <w:trPr>
          <w:trHeight w:val="240"/>
        </w:trPr>
        <w:tc>
          <w:tcPr>
            <w:tcW w:w="138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信用减值损失</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19,146,358.66</w:t>
            </w: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4.66%</w:t>
            </w:r>
          </w:p>
        </w:tc>
        <w:tc>
          <w:tcPr>
            <w:tcW w:w="34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主要系本期回款情况较好，冲回坏账准备所致</w:t>
            </w:r>
          </w:p>
        </w:tc>
        <w:tc>
          <w:tcPr>
            <w:tcW w:w="1734" w:type="dxa"/>
            <w:tcBorders>
              <w:top w:val="single" w:sz="2" w:space="0" w:color="auto"/>
              <w:left w:val="single" w:sz="2" w:space="0" w:color="auto"/>
              <w:bottom w:val="single" w:sz="2" w:space="0" w:color="auto"/>
              <w:right w:val="single" w:sz="2" w:space="0" w:color="auto"/>
            </w:tcBorders>
            <w:vAlign w:val="center"/>
          </w:tcPr>
          <w:p w:rsidR="00BA0365" w:rsidRDefault="008D4B2E" w:rsidP="001505AE">
            <w:pPr>
              <w:spacing w:line="240" w:lineRule="exact"/>
              <w:jc w:val="right"/>
              <w:rPr>
                <w:rFonts w:ascii="宋体" w:eastAsia="宋体" w:hAnsi="宋体" w:cs="宋体"/>
                <w:sz w:val="18"/>
                <w:szCs w:val="18"/>
              </w:rPr>
            </w:pPr>
            <w:r>
              <w:rPr>
                <w:rFonts w:ascii="宋体" w:eastAsia="宋体" w:hAnsi="宋体" w:cs="宋体"/>
                <w:sz w:val="18"/>
                <w:szCs w:val="18"/>
              </w:rPr>
              <w:t>是</w:t>
            </w:r>
          </w:p>
        </w:tc>
      </w:tr>
    </w:tbl>
    <w:p w:rsidR="00BA0365" w:rsidRDefault="008D4B2E">
      <w:pPr>
        <w:pStyle w:val="2"/>
        <w:spacing w:before="300" w:after="300" w:line="320" w:lineRule="exact"/>
        <w:rPr>
          <w:rFonts w:ascii="宋体" w:eastAsia="宋体" w:hAnsi="宋体" w:cs="宋体"/>
          <w:b/>
          <w:bCs/>
          <w:sz w:val="24"/>
          <w:szCs w:val="24"/>
        </w:rPr>
      </w:pPr>
      <w:bookmarkStart w:id="32" w:name="_Toc988921"/>
      <w:r>
        <w:rPr>
          <w:rFonts w:ascii="宋体" w:eastAsia="宋体" w:hAnsi="宋体" w:cs="宋体"/>
          <w:b/>
          <w:bCs/>
          <w:sz w:val="24"/>
          <w:szCs w:val="24"/>
        </w:rPr>
        <w:t>六、资产及负债状况分析</w:t>
      </w:r>
      <w:bookmarkEnd w:id="32"/>
    </w:p>
    <w:p w:rsidR="00BA0365" w:rsidRDefault="008D4B2E">
      <w:pPr>
        <w:pStyle w:val="3"/>
        <w:spacing w:line="280" w:lineRule="exact"/>
        <w:jc w:val="left"/>
        <w:rPr>
          <w:rFonts w:ascii="宋体" w:hAnsi="宋体" w:cs="宋体"/>
          <w:b/>
          <w:bCs/>
        </w:rPr>
      </w:pPr>
      <w:bookmarkStart w:id="33" w:name="_Toc988922"/>
      <w:r>
        <w:rPr>
          <w:rFonts w:ascii="宋体" w:hAnsi="宋体" w:cs="宋体"/>
          <w:b/>
          <w:bCs/>
        </w:rPr>
        <w:t>1、资产构成重大变动情况</w:t>
      </w:r>
      <w:bookmarkEnd w:id="33"/>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1101"/>
        <w:gridCol w:w="1701"/>
        <w:gridCol w:w="850"/>
        <w:gridCol w:w="1701"/>
        <w:gridCol w:w="851"/>
        <w:gridCol w:w="850"/>
        <w:gridCol w:w="2585"/>
      </w:tblGrid>
      <w:tr w:rsidR="00157EA0" w:rsidTr="00832133">
        <w:trPr>
          <w:trHeight w:val="240"/>
        </w:trPr>
        <w:tc>
          <w:tcPr>
            <w:tcW w:w="110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2551"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2023年末</w:t>
            </w:r>
          </w:p>
        </w:tc>
        <w:tc>
          <w:tcPr>
            <w:tcW w:w="255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2023年初</w:t>
            </w:r>
          </w:p>
        </w:tc>
        <w:tc>
          <w:tcPr>
            <w:tcW w:w="85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比重增减</w:t>
            </w:r>
          </w:p>
        </w:tc>
        <w:tc>
          <w:tcPr>
            <w:tcW w:w="258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重大变动说明</w:t>
            </w:r>
          </w:p>
        </w:tc>
      </w:tr>
      <w:tr w:rsidR="00157EA0" w:rsidTr="00832133">
        <w:trPr>
          <w:trHeight w:val="240"/>
        </w:trPr>
        <w:tc>
          <w:tcPr>
            <w:tcW w:w="110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占总资产比例</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占总资产比例</w:t>
            </w:r>
          </w:p>
        </w:tc>
        <w:tc>
          <w:tcPr>
            <w:tcW w:w="85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258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r w:rsidR="00157EA0" w:rsidTr="00832133">
        <w:trPr>
          <w:trHeight w:val="240"/>
        </w:trPr>
        <w:tc>
          <w:tcPr>
            <w:tcW w:w="110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货币资金</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2,955,647,872.55</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18.52%</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2,749,149,407.21</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20.03%</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-1.51%</w:t>
            </w:r>
          </w:p>
        </w:tc>
        <w:tc>
          <w:tcPr>
            <w:tcW w:w="258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r>
      <w:tr w:rsidR="00157EA0" w:rsidTr="00832133">
        <w:trPr>
          <w:trHeight w:val="240"/>
        </w:trPr>
        <w:tc>
          <w:tcPr>
            <w:tcW w:w="110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应收账款</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1,165,564,469.53</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7.30%</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994,740,356.96</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7.25%</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0.05%</w:t>
            </w:r>
          </w:p>
        </w:tc>
        <w:tc>
          <w:tcPr>
            <w:tcW w:w="258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r>
      <w:tr w:rsidR="00157EA0" w:rsidTr="00832133">
        <w:trPr>
          <w:trHeight w:val="240"/>
        </w:trPr>
        <w:tc>
          <w:tcPr>
            <w:tcW w:w="110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存货</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5,673,274,874.12</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35.54%</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4,661,226,499.67</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33.96%</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1.58%</w:t>
            </w:r>
          </w:p>
        </w:tc>
        <w:tc>
          <w:tcPr>
            <w:tcW w:w="258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主要是由于</w:t>
            </w:r>
            <w:r w:rsidR="00212B93">
              <w:rPr>
                <w:rFonts w:ascii="宋体" w:eastAsia="宋体" w:hAnsi="宋体" w:cs="宋体" w:hint="eastAsia"/>
                <w:sz w:val="18"/>
                <w:szCs w:val="18"/>
              </w:rPr>
              <w:t>业务</w:t>
            </w:r>
            <w:r>
              <w:rPr>
                <w:rFonts w:ascii="宋体" w:eastAsia="宋体" w:hAnsi="宋体" w:cs="宋体"/>
                <w:sz w:val="18"/>
                <w:szCs w:val="18"/>
              </w:rPr>
              <w:t>规模增长，在</w:t>
            </w:r>
            <w:proofErr w:type="gramStart"/>
            <w:r>
              <w:rPr>
                <w:rFonts w:ascii="宋体" w:eastAsia="宋体" w:hAnsi="宋体" w:cs="宋体"/>
                <w:sz w:val="18"/>
                <w:szCs w:val="18"/>
              </w:rPr>
              <w:t>产项目</w:t>
            </w:r>
            <w:proofErr w:type="gramEnd"/>
            <w:r>
              <w:rPr>
                <w:rFonts w:ascii="宋体" w:eastAsia="宋体" w:hAnsi="宋体" w:cs="宋体"/>
                <w:sz w:val="18"/>
                <w:szCs w:val="18"/>
              </w:rPr>
              <w:t>增多所致。</w:t>
            </w:r>
          </w:p>
        </w:tc>
      </w:tr>
      <w:tr w:rsidR="00157EA0" w:rsidTr="00832133">
        <w:trPr>
          <w:trHeight w:val="240"/>
        </w:trPr>
        <w:tc>
          <w:tcPr>
            <w:tcW w:w="110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投资性房地产</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76,210,169.42</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0.56%</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-0.56%</w:t>
            </w:r>
          </w:p>
        </w:tc>
        <w:tc>
          <w:tcPr>
            <w:tcW w:w="258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r>
      <w:tr w:rsidR="00157EA0" w:rsidTr="00832133">
        <w:trPr>
          <w:trHeight w:val="240"/>
        </w:trPr>
        <w:tc>
          <w:tcPr>
            <w:tcW w:w="110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长期股权投资</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128,164,823.58</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0.80%</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126,164,853.56</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0.92%</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-0.12%</w:t>
            </w:r>
          </w:p>
        </w:tc>
        <w:tc>
          <w:tcPr>
            <w:tcW w:w="258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r>
      <w:tr w:rsidR="00157EA0" w:rsidTr="00832133">
        <w:trPr>
          <w:trHeight w:val="240"/>
        </w:trPr>
        <w:tc>
          <w:tcPr>
            <w:tcW w:w="110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固定资产</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2,221,675,441.56</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13.92%</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2,205,451,294.22</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16.07%</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-2.15%</w:t>
            </w:r>
          </w:p>
        </w:tc>
        <w:tc>
          <w:tcPr>
            <w:tcW w:w="258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r>
      <w:tr w:rsidR="00157EA0" w:rsidTr="00832133">
        <w:trPr>
          <w:trHeight w:val="240"/>
        </w:trPr>
        <w:tc>
          <w:tcPr>
            <w:tcW w:w="110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在建工程</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580,504,540.03</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3.64%</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91,254,554.21</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0.66%</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2.98%</w:t>
            </w:r>
          </w:p>
        </w:tc>
        <w:tc>
          <w:tcPr>
            <w:tcW w:w="258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主要是子公司新建厂房，在建工程余额增加所致。</w:t>
            </w:r>
          </w:p>
        </w:tc>
      </w:tr>
      <w:tr w:rsidR="00157EA0" w:rsidTr="00832133">
        <w:trPr>
          <w:trHeight w:val="240"/>
        </w:trPr>
        <w:tc>
          <w:tcPr>
            <w:tcW w:w="110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lastRenderedPageBreak/>
              <w:t>使用权资产</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46,236,259.58</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0.29%</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59,690,206.29</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0.43%</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-0.14%</w:t>
            </w:r>
          </w:p>
        </w:tc>
        <w:tc>
          <w:tcPr>
            <w:tcW w:w="258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r>
      <w:tr w:rsidR="00157EA0" w:rsidTr="00832133">
        <w:trPr>
          <w:trHeight w:val="240"/>
        </w:trPr>
        <w:tc>
          <w:tcPr>
            <w:tcW w:w="110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短期借款</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688,978,350.00</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4.32%</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429,608,369.35</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3.13%</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1.19%</w:t>
            </w:r>
          </w:p>
        </w:tc>
        <w:tc>
          <w:tcPr>
            <w:tcW w:w="258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主要是由于短期流动性贷款补充所致。</w:t>
            </w:r>
          </w:p>
        </w:tc>
      </w:tr>
      <w:tr w:rsidR="00157EA0" w:rsidTr="00832133">
        <w:trPr>
          <w:trHeight w:val="240"/>
        </w:trPr>
        <w:tc>
          <w:tcPr>
            <w:tcW w:w="110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合同负债</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4,168,545,556.67</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26.12%</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3,158,646,686.84</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23.01%</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3.11%</w:t>
            </w:r>
          </w:p>
        </w:tc>
        <w:tc>
          <w:tcPr>
            <w:tcW w:w="258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主要是由于</w:t>
            </w:r>
            <w:r w:rsidR="00212B93">
              <w:rPr>
                <w:rFonts w:ascii="宋体" w:eastAsia="宋体" w:hAnsi="宋体" w:cs="宋体" w:hint="eastAsia"/>
                <w:sz w:val="18"/>
                <w:szCs w:val="18"/>
              </w:rPr>
              <w:t>业务</w:t>
            </w:r>
            <w:r>
              <w:rPr>
                <w:rFonts w:ascii="宋体" w:eastAsia="宋体" w:hAnsi="宋体" w:cs="宋体"/>
                <w:sz w:val="18"/>
                <w:szCs w:val="18"/>
              </w:rPr>
              <w:t>规模增长，预收客户款项较多所致。</w:t>
            </w:r>
          </w:p>
        </w:tc>
      </w:tr>
      <w:tr w:rsidR="00157EA0" w:rsidTr="00832133">
        <w:trPr>
          <w:trHeight w:val="240"/>
        </w:trPr>
        <w:tc>
          <w:tcPr>
            <w:tcW w:w="110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长期借款</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943,004,370.30</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5.91%</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963,612,166.00</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7.02%</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-1.11%</w:t>
            </w:r>
          </w:p>
        </w:tc>
        <w:tc>
          <w:tcPr>
            <w:tcW w:w="258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r>
      <w:tr w:rsidR="00157EA0" w:rsidTr="00614C8D">
        <w:trPr>
          <w:trHeight w:val="240"/>
        </w:trPr>
        <w:tc>
          <w:tcPr>
            <w:tcW w:w="110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租赁负债</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29,234,874.64</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0.18%</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39,775,251.13</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0.29%</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-0.11%</w:t>
            </w:r>
          </w:p>
        </w:tc>
        <w:tc>
          <w:tcPr>
            <w:tcW w:w="258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r>
      <w:tr w:rsidR="00157EA0" w:rsidTr="00614C8D">
        <w:trPr>
          <w:trHeight w:val="240"/>
        </w:trPr>
        <w:tc>
          <w:tcPr>
            <w:tcW w:w="1101" w:type="dxa"/>
            <w:tcBorders>
              <w:top w:val="single" w:sz="2" w:space="0" w:color="auto"/>
              <w:left w:val="single" w:sz="2" w:space="0" w:color="auto"/>
              <w:bottom w:val="single" w:sz="2" w:space="0" w:color="auto"/>
              <w:right w:val="single" w:sz="2" w:space="0" w:color="auto"/>
            </w:tcBorders>
            <w:shd w:val="pct15" w:color="auto" w:fill="auto"/>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交易性金融资产</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650,001,001.00</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4.07%</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105,052,985.91</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0.77%</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3.30%</w:t>
            </w:r>
          </w:p>
        </w:tc>
        <w:tc>
          <w:tcPr>
            <w:tcW w:w="258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主要是由于未到期理财较多所致所致。</w:t>
            </w:r>
          </w:p>
        </w:tc>
      </w:tr>
      <w:tr w:rsidR="00157EA0" w:rsidTr="00614C8D">
        <w:trPr>
          <w:trHeight w:val="240"/>
        </w:trPr>
        <w:tc>
          <w:tcPr>
            <w:tcW w:w="1101" w:type="dxa"/>
            <w:tcBorders>
              <w:top w:val="single" w:sz="2" w:space="0" w:color="auto"/>
              <w:left w:val="single" w:sz="2" w:space="0" w:color="auto"/>
              <w:bottom w:val="single" w:sz="2" w:space="0" w:color="auto"/>
              <w:right w:val="single" w:sz="2" w:space="0" w:color="auto"/>
            </w:tcBorders>
            <w:shd w:val="pct15" w:color="auto" w:fill="auto"/>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应收款项融资</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176,770,743.91</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1.11%</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529,018,313.90</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3.85%</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-2.74%</w:t>
            </w:r>
          </w:p>
        </w:tc>
        <w:tc>
          <w:tcPr>
            <w:tcW w:w="258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主要是质押的大银行银行承兑汇票重分类所致。</w:t>
            </w:r>
          </w:p>
        </w:tc>
      </w:tr>
      <w:tr w:rsidR="00157EA0" w:rsidTr="00614C8D">
        <w:trPr>
          <w:trHeight w:val="240"/>
        </w:trPr>
        <w:tc>
          <w:tcPr>
            <w:tcW w:w="1101" w:type="dxa"/>
            <w:tcBorders>
              <w:top w:val="single" w:sz="2" w:space="0" w:color="auto"/>
              <w:left w:val="single" w:sz="2" w:space="0" w:color="auto"/>
              <w:bottom w:val="single" w:sz="2" w:space="0" w:color="auto"/>
              <w:right w:val="single" w:sz="2" w:space="0" w:color="auto"/>
            </w:tcBorders>
            <w:shd w:val="pct15" w:color="auto" w:fill="auto"/>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应付票据</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1,242,093,084.11</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7.78%</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1,325,127,570.22</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9.65%</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-1.87%</w:t>
            </w:r>
          </w:p>
        </w:tc>
        <w:tc>
          <w:tcPr>
            <w:tcW w:w="258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主要是期末未到期兑付的票据较少。</w:t>
            </w:r>
          </w:p>
        </w:tc>
      </w:tr>
      <w:tr w:rsidR="00157EA0" w:rsidTr="00614C8D">
        <w:trPr>
          <w:trHeight w:val="240"/>
        </w:trPr>
        <w:tc>
          <w:tcPr>
            <w:tcW w:w="1101" w:type="dxa"/>
            <w:tcBorders>
              <w:top w:val="single" w:sz="2" w:space="0" w:color="auto"/>
              <w:left w:val="single" w:sz="2" w:space="0" w:color="auto"/>
              <w:bottom w:val="single" w:sz="2" w:space="0" w:color="auto"/>
              <w:right w:val="single" w:sz="2" w:space="0" w:color="auto"/>
            </w:tcBorders>
            <w:shd w:val="pct15" w:color="auto" w:fill="auto"/>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预付款项</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176,284,198.51</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1.10%</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267,460,070.81</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1.95%</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-0.85%</w:t>
            </w:r>
          </w:p>
        </w:tc>
        <w:tc>
          <w:tcPr>
            <w:tcW w:w="258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r>
      <w:tr w:rsidR="00157EA0" w:rsidTr="00614C8D">
        <w:trPr>
          <w:trHeight w:val="240"/>
        </w:trPr>
        <w:tc>
          <w:tcPr>
            <w:tcW w:w="1101" w:type="dxa"/>
            <w:tcBorders>
              <w:top w:val="single" w:sz="2" w:space="0" w:color="auto"/>
              <w:left w:val="single" w:sz="2" w:space="0" w:color="auto"/>
              <w:bottom w:val="single" w:sz="2" w:space="0" w:color="auto"/>
              <w:right w:val="single" w:sz="2" w:space="0" w:color="auto"/>
            </w:tcBorders>
            <w:shd w:val="pct15" w:color="auto" w:fill="auto"/>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其他应收款</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45,788,981.72</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0.29%</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98,744,337.28</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0.72%</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-0.43%</w:t>
            </w:r>
          </w:p>
        </w:tc>
        <w:tc>
          <w:tcPr>
            <w:tcW w:w="258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r>
      <w:tr w:rsidR="00157EA0" w:rsidTr="00614C8D">
        <w:trPr>
          <w:trHeight w:val="240"/>
        </w:trPr>
        <w:tc>
          <w:tcPr>
            <w:tcW w:w="1101" w:type="dxa"/>
            <w:tcBorders>
              <w:top w:val="single" w:sz="2" w:space="0" w:color="auto"/>
              <w:left w:val="single" w:sz="2" w:space="0" w:color="auto"/>
              <w:bottom w:val="single" w:sz="2" w:space="0" w:color="auto"/>
              <w:right w:val="single" w:sz="2" w:space="0" w:color="auto"/>
            </w:tcBorders>
            <w:shd w:val="pct15" w:color="auto" w:fill="auto"/>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其他非流动资产</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35,795,813.60</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0.22%</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86,715,621.09</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0.63%</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-0.41%</w:t>
            </w:r>
          </w:p>
        </w:tc>
        <w:tc>
          <w:tcPr>
            <w:tcW w:w="258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r>
      <w:tr w:rsidR="00157EA0" w:rsidTr="00614C8D">
        <w:trPr>
          <w:trHeight w:val="240"/>
        </w:trPr>
        <w:tc>
          <w:tcPr>
            <w:tcW w:w="1101" w:type="dxa"/>
            <w:tcBorders>
              <w:top w:val="single" w:sz="2" w:space="0" w:color="auto"/>
              <w:left w:val="single" w:sz="2" w:space="0" w:color="auto"/>
              <w:bottom w:val="single" w:sz="2" w:space="0" w:color="auto"/>
              <w:right w:val="single" w:sz="2" w:space="0" w:color="auto"/>
            </w:tcBorders>
            <w:shd w:val="pct15" w:color="auto" w:fill="auto"/>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其他流动负债</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565,062,731.97</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3.54%</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365,057,638.20</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2.66%</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0.88%</w:t>
            </w:r>
          </w:p>
        </w:tc>
        <w:tc>
          <w:tcPr>
            <w:tcW w:w="258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r>
    </w:tbl>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境外资产</w:t>
      </w:r>
      <w:proofErr w:type="gramStart"/>
      <w:r>
        <w:rPr>
          <w:rFonts w:ascii="宋体" w:eastAsia="宋体" w:hAnsi="宋体" w:cs="宋体"/>
          <w:sz w:val="18"/>
          <w:szCs w:val="18"/>
        </w:rPr>
        <w:t>占比较</w:t>
      </w:r>
      <w:proofErr w:type="gramEnd"/>
      <w:r>
        <w:rPr>
          <w:rFonts w:ascii="宋体" w:eastAsia="宋体" w:hAnsi="宋体" w:cs="宋体"/>
          <w:sz w:val="18"/>
          <w:szCs w:val="18"/>
        </w:rPr>
        <w:t>高</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pStyle w:val="3"/>
        <w:spacing w:line="280" w:lineRule="exact"/>
        <w:jc w:val="left"/>
        <w:rPr>
          <w:rFonts w:ascii="宋体" w:hAnsi="宋体" w:cs="宋体"/>
          <w:b/>
          <w:bCs/>
        </w:rPr>
      </w:pPr>
      <w:bookmarkStart w:id="34" w:name="_Toc988923"/>
      <w:r>
        <w:rPr>
          <w:rFonts w:ascii="宋体" w:hAnsi="宋体" w:cs="宋体"/>
          <w:b/>
          <w:bCs/>
        </w:rPr>
        <w:t>2、以公允价值计量的资产和负债</w:t>
      </w:r>
      <w:bookmarkEnd w:id="34"/>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BA0365" w:rsidRDefault="008D4B2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1071"/>
        <w:gridCol w:w="1071"/>
        <w:gridCol w:w="1071"/>
        <w:gridCol w:w="1071"/>
        <w:gridCol w:w="1071"/>
        <w:gridCol w:w="1071"/>
        <w:gridCol w:w="1071"/>
        <w:gridCol w:w="1071"/>
        <w:gridCol w:w="1071"/>
      </w:tblGrid>
      <w:tr w:rsidR="00157EA0">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期初数</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本期公允价值变动损益</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计入权益的累计公允价值变动</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本期计提的减值</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本期购买金额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本期出售金额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其他变动</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期末数</w:t>
            </w:r>
          </w:p>
        </w:tc>
      </w:tr>
      <w:tr w:rsidR="00157EA0">
        <w:trPr>
          <w:trHeight w:val="240"/>
        </w:trPr>
        <w:tc>
          <w:tcPr>
            <w:tcW w:w="9639" w:type="dxa"/>
            <w:gridSpan w:val="9"/>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金融资产</w:t>
            </w:r>
          </w:p>
        </w:tc>
      </w:tr>
      <w:tr w:rsidR="00157EA0">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1.交易性金融资产（不含衍生金融资产）</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105,052,985.91</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2,206,000,000.00</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1,656,000,000.00</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-5,051,984.91</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650,001,001.00</w:t>
            </w:r>
          </w:p>
        </w:tc>
      </w:tr>
      <w:tr w:rsidR="00157EA0">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3.其他债权投资</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252,505,000.00</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50,000,000.00</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252,505,000.00</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165,616.44</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50,165,616.44</w:t>
            </w:r>
          </w:p>
        </w:tc>
      </w:tr>
      <w:tr w:rsidR="00157EA0">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4.其他权益工具投资</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511,329,513.93</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-4,910,978.98</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24,094,641.50</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482,323,893.45</w:t>
            </w:r>
          </w:p>
        </w:tc>
      </w:tr>
      <w:tr w:rsidR="00157EA0">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金融资产小计</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868,887,499.84</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-4,910,978.98</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2,256,000,000.00</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1,932,599,641.50</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-4,886,368.47</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1,182,490,510.89</w:t>
            </w:r>
          </w:p>
        </w:tc>
      </w:tr>
      <w:tr w:rsidR="00157EA0">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应收款项融资</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529,018,313.90</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176,770,743.91</w:t>
            </w:r>
          </w:p>
        </w:tc>
      </w:tr>
      <w:tr w:rsidR="00157EA0">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上述合计</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1,397,905,813.74</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-4,910,978.98</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2,256,000,000.00</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1,932,599,641.50</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-4,886,368.47</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1,359,261,254.80</w:t>
            </w:r>
          </w:p>
        </w:tc>
      </w:tr>
      <w:tr w:rsidR="00157EA0">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金融负债</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r>
    </w:tbl>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其他变动的内容</w:t>
      </w:r>
    </w:p>
    <w:p w:rsidR="008D4B2E" w:rsidRPr="007370FD" w:rsidRDefault="008D4B2E" w:rsidP="007370FD">
      <w:pPr>
        <w:spacing w:before="100" w:after="100" w:line="240" w:lineRule="exact"/>
        <w:divId w:val="410083200"/>
        <w:rPr>
          <w:rFonts w:ascii="宋体" w:eastAsia="宋体" w:hAnsi="宋体" w:cs="宋体"/>
          <w:sz w:val="18"/>
          <w:szCs w:val="18"/>
        </w:rPr>
      </w:pPr>
      <w:r w:rsidRPr="007370FD">
        <w:rPr>
          <w:rFonts w:ascii="宋体" w:eastAsia="宋体" w:hAnsi="宋体" w:cs="宋体" w:hint="eastAsia"/>
          <w:sz w:val="18"/>
          <w:szCs w:val="18"/>
        </w:rPr>
        <w:t>交易性金融资产：为所持有基金清算所致。</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报告期内公司主要资产计量属性是否发生重大变化</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BA0365" w:rsidRDefault="008D4B2E">
      <w:pPr>
        <w:pStyle w:val="3"/>
        <w:spacing w:line="280" w:lineRule="exact"/>
        <w:jc w:val="left"/>
        <w:rPr>
          <w:rFonts w:ascii="宋体" w:hAnsi="宋体" w:cs="宋体"/>
          <w:b/>
          <w:bCs/>
        </w:rPr>
      </w:pPr>
      <w:bookmarkStart w:id="35" w:name="_Toc988924"/>
      <w:r>
        <w:rPr>
          <w:rFonts w:ascii="宋体" w:hAnsi="宋体" w:cs="宋体"/>
          <w:b/>
          <w:bCs/>
        </w:rPr>
        <w:t>3、截至报告期末的资产权利受限情况</w:t>
      </w:r>
      <w:bookmarkEnd w:id="35"/>
    </w:p>
    <w:tbl>
      <w:tblPr>
        <w:tblW w:w="9526" w:type="dxa"/>
        <w:tblCellMar>
          <w:left w:w="0" w:type="dxa"/>
          <w:right w:w="0" w:type="dxa"/>
        </w:tblCellMar>
        <w:tblLook w:val="04A0" w:firstRow="1" w:lastRow="0" w:firstColumn="1" w:lastColumn="0" w:noHBand="0" w:noVBand="1"/>
      </w:tblPr>
      <w:tblGrid>
        <w:gridCol w:w="2888"/>
        <w:gridCol w:w="2793"/>
        <w:gridCol w:w="3845"/>
      </w:tblGrid>
      <w:tr w:rsidR="008D4B2E" w:rsidTr="00832133">
        <w:trPr>
          <w:divId w:val="899748596"/>
          <w:trHeight w:val="360"/>
          <w:tblHeader/>
        </w:trPr>
        <w:tc>
          <w:tcPr>
            <w:tcW w:w="2888" w:type="dxa"/>
            <w:tcBorders>
              <w:top w:val="single" w:sz="8" w:space="0" w:color="auto"/>
              <w:left w:val="single" w:sz="8" w:space="0" w:color="auto"/>
              <w:bottom w:val="single" w:sz="8" w:space="0" w:color="auto"/>
              <w:right w:val="single" w:sz="8" w:space="0" w:color="auto"/>
            </w:tcBorders>
            <w:shd w:val="clear" w:color="auto" w:fill="D3D3D3"/>
            <w:tcMar>
              <w:top w:w="0" w:type="dxa"/>
              <w:left w:w="28" w:type="dxa"/>
              <w:bottom w:w="0" w:type="dxa"/>
              <w:right w:w="28" w:type="dxa"/>
            </w:tcMar>
            <w:vAlign w:val="center"/>
            <w:hideMark/>
          </w:tcPr>
          <w:p w:rsidR="008D4B2E" w:rsidRPr="00832133" w:rsidRDefault="008D4B2E" w:rsidP="00832133">
            <w:pPr>
              <w:spacing w:before="40" w:after="40" w:line="240" w:lineRule="exact"/>
              <w:jc w:val="center"/>
              <w:rPr>
                <w:rFonts w:ascii="宋体" w:eastAsia="宋体" w:hAnsi="宋体" w:cs="宋体"/>
                <w:sz w:val="18"/>
                <w:szCs w:val="18"/>
              </w:rPr>
            </w:pPr>
            <w:r w:rsidRPr="00832133">
              <w:rPr>
                <w:rFonts w:ascii="宋体" w:eastAsia="宋体" w:hAnsi="宋体" w:cs="宋体" w:hint="eastAsia"/>
                <w:sz w:val="18"/>
                <w:szCs w:val="18"/>
              </w:rPr>
              <w:t>项目</w:t>
            </w:r>
          </w:p>
        </w:tc>
        <w:tc>
          <w:tcPr>
            <w:tcW w:w="2793" w:type="dxa"/>
            <w:tcBorders>
              <w:top w:val="single" w:sz="8" w:space="0" w:color="auto"/>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rsidR="008D4B2E" w:rsidRPr="00832133" w:rsidRDefault="008D4B2E" w:rsidP="00832133">
            <w:pPr>
              <w:spacing w:before="40" w:after="40" w:line="240" w:lineRule="exact"/>
              <w:jc w:val="center"/>
              <w:rPr>
                <w:rFonts w:ascii="宋体" w:eastAsia="宋体" w:hAnsi="宋体" w:cs="宋体"/>
                <w:sz w:val="18"/>
                <w:szCs w:val="18"/>
              </w:rPr>
            </w:pPr>
            <w:r w:rsidRPr="00832133">
              <w:rPr>
                <w:rFonts w:ascii="宋体" w:eastAsia="宋体" w:hAnsi="宋体" w:cs="宋体" w:hint="eastAsia"/>
                <w:sz w:val="18"/>
                <w:szCs w:val="18"/>
              </w:rPr>
              <w:t>期末账面价值</w:t>
            </w:r>
          </w:p>
        </w:tc>
        <w:tc>
          <w:tcPr>
            <w:tcW w:w="3845" w:type="dxa"/>
            <w:tcBorders>
              <w:top w:val="single" w:sz="8" w:space="0" w:color="auto"/>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rsidR="008D4B2E" w:rsidRPr="00832133" w:rsidRDefault="008D4B2E" w:rsidP="00832133">
            <w:pPr>
              <w:spacing w:before="40" w:after="40" w:line="240" w:lineRule="exact"/>
              <w:jc w:val="center"/>
              <w:rPr>
                <w:rFonts w:ascii="宋体" w:eastAsia="宋体" w:hAnsi="宋体" w:cs="宋体"/>
                <w:sz w:val="18"/>
                <w:szCs w:val="18"/>
              </w:rPr>
            </w:pPr>
            <w:r w:rsidRPr="00832133">
              <w:rPr>
                <w:rFonts w:ascii="宋体" w:eastAsia="宋体" w:hAnsi="宋体" w:cs="宋体" w:hint="eastAsia"/>
                <w:sz w:val="18"/>
                <w:szCs w:val="18"/>
              </w:rPr>
              <w:t>受限原因</w:t>
            </w:r>
          </w:p>
        </w:tc>
      </w:tr>
      <w:tr w:rsidR="008D4B2E" w:rsidTr="00832133">
        <w:trPr>
          <w:divId w:val="899748596"/>
          <w:trHeight w:val="360"/>
        </w:trPr>
        <w:tc>
          <w:tcPr>
            <w:tcW w:w="2888" w:type="dxa"/>
            <w:tcBorders>
              <w:top w:val="nil"/>
              <w:left w:val="single" w:sz="8" w:space="0" w:color="auto"/>
              <w:bottom w:val="single" w:sz="8" w:space="0" w:color="auto"/>
              <w:right w:val="single" w:sz="8" w:space="0" w:color="auto"/>
            </w:tcBorders>
            <w:shd w:val="clear" w:color="auto" w:fill="D3D3D3"/>
            <w:tcMar>
              <w:top w:w="0" w:type="dxa"/>
              <w:left w:w="28" w:type="dxa"/>
              <w:bottom w:w="0" w:type="dxa"/>
              <w:right w:w="28" w:type="dxa"/>
            </w:tcMar>
            <w:hideMark/>
          </w:tcPr>
          <w:p w:rsidR="008D4B2E" w:rsidRPr="00832133" w:rsidRDefault="008D4B2E" w:rsidP="00832133">
            <w:pPr>
              <w:spacing w:before="40" w:after="40" w:line="240" w:lineRule="exact"/>
              <w:jc w:val="center"/>
              <w:rPr>
                <w:rFonts w:ascii="宋体" w:eastAsia="宋体" w:hAnsi="宋体" w:cs="宋体"/>
                <w:sz w:val="18"/>
                <w:szCs w:val="18"/>
              </w:rPr>
            </w:pPr>
            <w:r w:rsidRPr="00832133">
              <w:rPr>
                <w:rFonts w:ascii="宋体" w:eastAsia="宋体" w:hAnsi="宋体" w:cs="宋体" w:hint="eastAsia"/>
                <w:sz w:val="18"/>
                <w:szCs w:val="18"/>
              </w:rPr>
              <w:t>货币资金</w:t>
            </w:r>
          </w:p>
        </w:tc>
        <w:tc>
          <w:tcPr>
            <w:tcW w:w="2793" w:type="dxa"/>
            <w:tcBorders>
              <w:top w:val="nil"/>
              <w:left w:val="nil"/>
              <w:bottom w:val="single" w:sz="8" w:space="0" w:color="auto"/>
              <w:right w:val="single" w:sz="8" w:space="0" w:color="auto"/>
            </w:tcBorders>
            <w:tcMar>
              <w:top w:w="0" w:type="dxa"/>
              <w:left w:w="28" w:type="dxa"/>
              <w:bottom w:w="0" w:type="dxa"/>
              <w:right w:w="28" w:type="dxa"/>
            </w:tcMar>
            <w:hideMark/>
          </w:tcPr>
          <w:p w:rsidR="008D4B2E" w:rsidRPr="001505AE" w:rsidRDefault="008D4B2E">
            <w:pPr>
              <w:pStyle w:val="a3"/>
              <w:spacing w:before="0" w:beforeAutospacing="0" w:after="0" w:afterAutospacing="0" w:line="400" w:lineRule="atLeast"/>
              <w:jc w:val="right"/>
              <w:rPr>
                <w:kern w:val="2"/>
                <w:sz w:val="18"/>
                <w:szCs w:val="18"/>
              </w:rPr>
            </w:pPr>
            <w:r w:rsidRPr="001505AE">
              <w:rPr>
                <w:kern w:val="2"/>
                <w:sz w:val="18"/>
                <w:szCs w:val="18"/>
              </w:rPr>
              <w:t>1,301,351,336.99</w:t>
            </w:r>
          </w:p>
        </w:tc>
        <w:tc>
          <w:tcPr>
            <w:tcW w:w="3845" w:type="dxa"/>
            <w:tcBorders>
              <w:top w:val="nil"/>
              <w:left w:val="nil"/>
              <w:bottom w:val="single" w:sz="8" w:space="0" w:color="auto"/>
              <w:right w:val="single" w:sz="8" w:space="0" w:color="auto"/>
            </w:tcBorders>
            <w:tcMar>
              <w:top w:w="0" w:type="dxa"/>
              <w:left w:w="28" w:type="dxa"/>
              <w:bottom w:w="0" w:type="dxa"/>
              <w:right w:w="28" w:type="dxa"/>
            </w:tcMar>
            <w:hideMark/>
          </w:tcPr>
          <w:p w:rsidR="008D4B2E" w:rsidRPr="001505AE" w:rsidRDefault="008D4B2E" w:rsidP="001505AE">
            <w:pPr>
              <w:pStyle w:val="a3"/>
              <w:spacing w:before="0" w:beforeAutospacing="0" w:after="0" w:afterAutospacing="0" w:line="400" w:lineRule="atLeast"/>
              <w:jc w:val="right"/>
              <w:rPr>
                <w:rFonts w:cs="Arial"/>
                <w:sz w:val="18"/>
                <w:szCs w:val="18"/>
              </w:rPr>
            </w:pPr>
            <w:r w:rsidRPr="001505AE">
              <w:rPr>
                <w:rFonts w:cs="Arial" w:hint="eastAsia"/>
                <w:sz w:val="18"/>
                <w:szCs w:val="18"/>
              </w:rPr>
              <w:t>保证金和定期存款等</w:t>
            </w:r>
          </w:p>
        </w:tc>
      </w:tr>
      <w:tr w:rsidR="008D4B2E" w:rsidTr="00832133">
        <w:trPr>
          <w:divId w:val="899748596"/>
          <w:trHeight w:val="360"/>
        </w:trPr>
        <w:tc>
          <w:tcPr>
            <w:tcW w:w="2888" w:type="dxa"/>
            <w:tcBorders>
              <w:top w:val="nil"/>
              <w:left w:val="single" w:sz="8" w:space="0" w:color="auto"/>
              <w:bottom w:val="single" w:sz="8" w:space="0" w:color="auto"/>
              <w:right w:val="single" w:sz="8" w:space="0" w:color="auto"/>
            </w:tcBorders>
            <w:shd w:val="clear" w:color="auto" w:fill="D3D3D3"/>
            <w:tcMar>
              <w:top w:w="0" w:type="dxa"/>
              <w:left w:w="28" w:type="dxa"/>
              <w:bottom w:w="0" w:type="dxa"/>
              <w:right w:w="28" w:type="dxa"/>
            </w:tcMar>
            <w:hideMark/>
          </w:tcPr>
          <w:p w:rsidR="008D4B2E" w:rsidRPr="00832133" w:rsidRDefault="008D4B2E" w:rsidP="00832133">
            <w:pPr>
              <w:spacing w:before="40" w:after="40" w:line="240" w:lineRule="exact"/>
              <w:jc w:val="center"/>
              <w:rPr>
                <w:rFonts w:ascii="宋体" w:eastAsia="宋体" w:hAnsi="宋体" w:cs="宋体"/>
                <w:sz w:val="18"/>
                <w:szCs w:val="18"/>
              </w:rPr>
            </w:pPr>
            <w:r w:rsidRPr="00832133">
              <w:rPr>
                <w:rFonts w:ascii="宋体" w:eastAsia="宋体" w:hAnsi="宋体" w:cs="宋体" w:hint="eastAsia"/>
                <w:sz w:val="18"/>
                <w:szCs w:val="18"/>
              </w:rPr>
              <w:t>应收票据</w:t>
            </w:r>
          </w:p>
        </w:tc>
        <w:tc>
          <w:tcPr>
            <w:tcW w:w="2793" w:type="dxa"/>
            <w:tcBorders>
              <w:top w:val="nil"/>
              <w:left w:val="nil"/>
              <w:bottom w:val="single" w:sz="8" w:space="0" w:color="auto"/>
              <w:right w:val="single" w:sz="8" w:space="0" w:color="auto"/>
            </w:tcBorders>
            <w:tcMar>
              <w:top w:w="0" w:type="dxa"/>
              <w:left w:w="28" w:type="dxa"/>
              <w:bottom w:w="0" w:type="dxa"/>
              <w:right w:w="28" w:type="dxa"/>
            </w:tcMar>
            <w:hideMark/>
          </w:tcPr>
          <w:p w:rsidR="008D4B2E" w:rsidRPr="001505AE" w:rsidRDefault="008D4B2E">
            <w:pPr>
              <w:pStyle w:val="a3"/>
              <w:spacing w:before="0" w:beforeAutospacing="0" w:after="0" w:afterAutospacing="0" w:line="400" w:lineRule="atLeast"/>
              <w:jc w:val="right"/>
              <w:rPr>
                <w:kern w:val="2"/>
                <w:sz w:val="18"/>
                <w:szCs w:val="18"/>
              </w:rPr>
            </w:pPr>
            <w:r w:rsidRPr="001505AE">
              <w:rPr>
                <w:kern w:val="2"/>
                <w:sz w:val="18"/>
                <w:szCs w:val="18"/>
              </w:rPr>
              <w:t>455,321,827.13</w:t>
            </w:r>
          </w:p>
        </w:tc>
        <w:tc>
          <w:tcPr>
            <w:tcW w:w="3845" w:type="dxa"/>
            <w:tcBorders>
              <w:top w:val="nil"/>
              <w:left w:val="nil"/>
              <w:bottom w:val="single" w:sz="8" w:space="0" w:color="auto"/>
              <w:right w:val="single" w:sz="8" w:space="0" w:color="auto"/>
            </w:tcBorders>
            <w:tcMar>
              <w:top w:w="0" w:type="dxa"/>
              <w:left w:w="28" w:type="dxa"/>
              <w:bottom w:w="0" w:type="dxa"/>
              <w:right w:w="28" w:type="dxa"/>
            </w:tcMar>
            <w:hideMark/>
          </w:tcPr>
          <w:p w:rsidR="008D4B2E" w:rsidRPr="001505AE" w:rsidRDefault="008D4B2E" w:rsidP="001505AE">
            <w:pPr>
              <w:pStyle w:val="a3"/>
              <w:spacing w:before="0" w:beforeAutospacing="0" w:after="0" w:afterAutospacing="0" w:line="400" w:lineRule="atLeast"/>
              <w:jc w:val="right"/>
              <w:rPr>
                <w:rFonts w:cs="Arial"/>
                <w:sz w:val="18"/>
                <w:szCs w:val="18"/>
              </w:rPr>
            </w:pPr>
            <w:r w:rsidRPr="001505AE">
              <w:rPr>
                <w:rFonts w:cs="Arial"/>
                <w:sz w:val="18"/>
                <w:szCs w:val="18"/>
              </w:rPr>
              <w:t>质押用于开立银行承兑汇票</w:t>
            </w:r>
          </w:p>
        </w:tc>
      </w:tr>
      <w:tr w:rsidR="008D4B2E" w:rsidTr="00832133">
        <w:trPr>
          <w:divId w:val="899748596"/>
          <w:trHeight w:val="360"/>
        </w:trPr>
        <w:tc>
          <w:tcPr>
            <w:tcW w:w="2888" w:type="dxa"/>
            <w:tcBorders>
              <w:top w:val="nil"/>
              <w:left w:val="single" w:sz="8" w:space="0" w:color="auto"/>
              <w:bottom w:val="single" w:sz="8" w:space="0" w:color="auto"/>
              <w:right w:val="single" w:sz="8" w:space="0" w:color="auto"/>
            </w:tcBorders>
            <w:shd w:val="clear" w:color="auto" w:fill="D3D3D3"/>
            <w:tcMar>
              <w:top w:w="0" w:type="dxa"/>
              <w:left w:w="28" w:type="dxa"/>
              <w:bottom w:w="0" w:type="dxa"/>
              <w:right w:w="28" w:type="dxa"/>
            </w:tcMar>
            <w:hideMark/>
          </w:tcPr>
          <w:p w:rsidR="008D4B2E" w:rsidRPr="00832133" w:rsidRDefault="008D4B2E" w:rsidP="00832133">
            <w:pPr>
              <w:spacing w:before="40" w:after="40" w:line="240" w:lineRule="exact"/>
              <w:jc w:val="center"/>
              <w:rPr>
                <w:rFonts w:ascii="宋体" w:eastAsia="宋体" w:hAnsi="宋体" w:cs="宋体"/>
                <w:sz w:val="18"/>
                <w:szCs w:val="18"/>
              </w:rPr>
            </w:pPr>
            <w:r w:rsidRPr="00832133">
              <w:rPr>
                <w:rFonts w:ascii="宋体" w:eastAsia="宋体" w:hAnsi="宋体" w:cs="宋体" w:hint="eastAsia"/>
                <w:sz w:val="18"/>
                <w:szCs w:val="18"/>
              </w:rPr>
              <w:t>固定资产</w:t>
            </w:r>
          </w:p>
        </w:tc>
        <w:tc>
          <w:tcPr>
            <w:tcW w:w="2793" w:type="dxa"/>
            <w:tcBorders>
              <w:top w:val="nil"/>
              <w:left w:val="nil"/>
              <w:bottom w:val="single" w:sz="8" w:space="0" w:color="auto"/>
              <w:right w:val="single" w:sz="8" w:space="0" w:color="auto"/>
            </w:tcBorders>
            <w:tcMar>
              <w:top w:w="0" w:type="dxa"/>
              <w:left w:w="28" w:type="dxa"/>
              <w:bottom w:w="0" w:type="dxa"/>
              <w:right w:w="28" w:type="dxa"/>
            </w:tcMar>
            <w:hideMark/>
          </w:tcPr>
          <w:p w:rsidR="008D4B2E" w:rsidRPr="001505AE" w:rsidRDefault="008D4B2E">
            <w:pPr>
              <w:pStyle w:val="a3"/>
              <w:spacing w:before="0" w:beforeAutospacing="0" w:after="0" w:afterAutospacing="0" w:line="400" w:lineRule="atLeast"/>
              <w:jc w:val="right"/>
              <w:rPr>
                <w:kern w:val="2"/>
                <w:sz w:val="18"/>
                <w:szCs w:val="18"/>
              </w:rPr>
            </w:pPr>
            <w:r w:rsidRPr="001505AE">
              <w:rPr>
                <w:kern w:val="2"/>
                <w:sz w:val="18"/>
                <w:szCs w:val="18"/>
              </w:rPr>
              <w:t>138,289,971.48</w:t>
            </w:r>
          </w:p>
        </w:tc>
        <w:tc>
          <w:tcPr>
            <w:tcW w:w="3845" w:type="dxa"/>
            <w:tcBorders>
              <w:top w:val="nil"/>
              <w:left w:val="nil"/>
              <w:bottom w:val="single" w:sz="8" w:space="0" w:color="auto"/>
              <w:right w:val="single" w:sz="8" w:space="0" w:color="auto"/>
            </w:tcBorders>
            <w:tcMar>
              <w:top w:w="0" w:type="dxa"/>
              <w:left w:w="28" w:type="dxa"/>
              <w:bottom w:w="0" w:type="dxa"/>
              <w:right w:w="28" w:type="dxa"/>
            </w:tcMar>
            <w:hideMark/>
          </w:tcPr>
          <w:p w:rsidR="008D4B2E" w:rsidRPr="001505AE" w:rsidRDefault="008D4B2E" w:rsidP="001505AE">
            <w:pPr>
              <w:pStyle w:val="a3"/>
              <w:spacing w:before="0" w:beforeAutospacing="0" w:after="0" w:afterAutospacing="0" w:line="400" w:lineRule="atLeast"/>
              <w:jc w:val="right"/>
              <w:rPr>
                <w:rFonts w:cs="Arial"/>
                <w:sz w:val="18"/>
                <w:szCs w:val="18"/>
              </w:rPr>
            </w:pPr>
            <w:r w:rsidRPr="001505AE">
              <w:rPr>
                <w:rFonts w:cs="Arial" w:hint="eastAsia"/>
                <w:sz w:val="18"/>
                <w:szCs w:val="18"/>
              </w:rPr>
              <w:t>抵押用于取得银行借款</w:t>
            </w:r>
          </w:p>
        </w:tc>
      </w:tr>
      <w:tr w:rsidR="008D4B2E" w:rsidTr="00832133">
        <w:trPr>
          <w:divId w:val="899748596"/>
          <w:trHeight w:val="360"/>
        </w:trPr>
        <w:tc>
          <w:tcPr>
            <w:tcW w:w="2888" w:type="dxa"/>
            <w:tcBorders>
              <w:top w:val="nil"/>
              <w:left w:val="single" w:sz="8" w:space="0" w:color="auto"/>
              <w:bottom w:val="single" w:sz="8" w:space="0" w:color="auto"/>
              <w:right w:val="single" w:sz="8" w:space="0" w:color="auto"/>
            </w:tcBorders>
            <w:shd w:val="clear" w:color="auto" w:fill="D3D3D3"/>
            <w:tcMar>
              <w:top w:w="0" w:type="dxa"/>
              <w:left w:w="28" w:type="dxa"/>
              <w:bottom w:w="0" w:type="dxa"/>
              <w:right w:w="28" w:type="dxa"/>
            </w:tcMar>
            <w:hideMark/>
          </w:tcPr>
          <w:p w:rsidR="008D4B2E" w:rsidRPr="00832133" w:rsidRDefault="008D4B2E" w:rsidP="00832133">
            <w:pPr>
              <w:spacing w:before="40" w:after="40" w:line="240" w:lineRule="exact"/>
              <w:jc w:val="center"/>
              <w:rPr>
                <w:rFonts w:ascii="宋体" w:eastAsia="宋体" w:hAnsi="宋体" w:cs="宋体"/>
                <w:sz w:val="18"/>
                <w:szCs w:val="18"/>
              </w:rPr>
            </w:pPr>
            <w:r w:rsidRPr="00832133">
              <w:rPr>
                <w:rFonts w:ascii="宋体" w:eastAsia="宋体" w:hAnsi="宋体" w:cs="宋体" w:hint="eastAsia"/>
                <w:sz w:val="18"/>
                <w:szCs w:val="18"/>
              </w:rPr>
              <w:t>无形资产</w:t>
            </w:r>
          </w:p>
        </w:tc>
        <w:tc>
          <w:tcPr>
            <w:tcW w:w="2793" w:type="dxa"/>
            <w:tcBorders>
              <w:top w:val="nil"/>
              <w:left w:val="nil"/>
              <w:bottom w:val="single" w:sz="8" w:space="0" w:color="auto"/>
              <w:right w:val="single" w:sz="8" w:space="0" w:color="auto"/>
            </w:tcBorders>
            <w:tcMar>
              <w:top w:w="0" w:type="dxa"/>
              <w:left w:w="28" w:type="dxa"/>
              <w:bottom w:w="0" w:type="dxa"/>
              <w:right w:w="28" w:type="dxa"/>
            </w:tcMar>
            <w:hideMark/>
          </w:tcPr>
          <w:p w:rsidR="008D4B2E" w:rsidRPr="001505AE" w:rsidRDefault="008D4B2E">
            <w:pPr>
              <w:pStyle w:val="a3"/>
              <w:spacing w:before="0" w:beforeAutospacing="0" w:after="0" w:afterAutospacing="0" w:line="400" w:lineRule="atLeast"/>
              <w:jc w:val="right"/>
              <w:rPr>
                <w:kern w:val="2"/>
                <w:sz w:val="18"/>
                <w:szCs w:val="18"/>
              </w:rPr>
            </w:pPr>
            <w:r w:rsidRPr="001505AE">
              <w:rPr>
                <w:kern w:val="2"/>
                <w:sz w:val="18"/>
                <w:szCs w:val="18"/>
              </w:rPr>
              <w:t>169,389,611.97</w:t>
            </w:r>
          </w:p>
        </w:tc>
        <w:tc>
          <w:tcPr>
            <w:tcW w:w="3845" w:type="dxa"/>
            <w:tcBorders>
              <w:top w:val="nil"/>
              <w:left w:val="nil"/>
              <w:bottom w:val="single" w:sz="8" w:space="0" w:color="auto"/>
              <w:right w:val="single" w:sz="8" w:space="0" w:color="auto"/>
            </w:tcBorders>
            <w:tcMar>
              <w:top w:w="0" w:type="dxa"/>
              <w:left w:w="28" w:type="dxa"/>
              <w:bottom w:w="0" w:type="dxa"/>
              <w:right w:w="28" w:type="dxa"/>
            </w:tcMar>
            <w:hideMark/>
          </w:tcPr>
          <w:p w:rsidR="008D4B2E" w:rsidRPr="001505AE" w:rsidRDefault="008D4B2E" w:rsidP="001505AE">
            <w:pPr>
              <w:pStyle w:val="a3"/>
              <w:spacing w:before="0" w:beforeAutospacing="0" w:after="0" w:afterAutospacing="0" w:line="400" w:lineRule="atLeast"/>
              <w:jc w:val="right"/>
              <w:rPr>
                <w:rFonts w:cs="Arial"/>
                <w:sz w:val="18"/>
                <w:szCs w:val="18"/>
              </w:rPr>
            </w:pPr>
            <w:r w:rsidRPr="001505AE">
              <w:rPr>
                <w:rFonts w:cs="Arial"/>
                <w:sz w:val="18"/>
                <w:szCs w:val="18"/>
              </w:rPr>
              <w:t>抵押用于取得银行借款</w:t>
            </w:r>
          </w:p>
        </w:tc>
      </w:tr>
      <w:tr w:rsidR="008D4B2E" w:rsidTr="00832133">
        <w:trPr>
          <w:divId w:val="899748596"/>
          <w:trHeight w:val="360"/>
        </w:trPr>
        <w:tc>
          <w:tcPr>
            <w:tcW w:w="2888" w:type="dxa"/>
            <w:tcBorders>
              <w:top w:val="nil"/>
              <w:left w:val="single" w:sz="8" w:space="0" w:color="auto"/>
              <w:bottom w:val="single" w:sz="8" w:space="0" w:color="auto"/>
              <w:right w:val="single" w:sz="8" w:space="0" w:color="auto"/>
            </w:tcBorders>
            <w:shd w:val="clear" w:color="auto" w:fill="D3D3D3"/>
            <w:tcMar>
              <w:top w:w="0" w:type="dxa"/>
              <w:left w:w="28" w:type="dxa"/>
              <w:bottom w:w="0" w:type="dxa"/>
              <w:right w:w="28" w:type="dxa"/>
            </w:tcMar>
            <w:vAlign w:val="center"/>
            <w:hideMark/>
          </w:tcPr>
          <w:p w:rsidR="008D4B2E" w:rsidRPr="00832133" w:rsidRDefault="008D4B2E" w:rsidP="00832133">
            <w:pPr>
              <w:spacing w:before="40" w:after="40" w:line="240" w:lineRule="exact"/>
              <w:jc w:val="center"/>
              <w:rPr>
                <w:rFonts w:ascii="宋体" w:eastAsia="宋体" w:hAnsi="宋体" w:cs="宋体"/>
                <w:sz w:val="18"/>
                <w:szCs w:val="18"/>
              </w:rPr>
            </w:pPr>
            <w:r w:rsidRPr="00832133">
              <w:rPr>
                <w:rFonts w:ascii="宋体" w:eastAsia="宋体" w:hAnsi="宋体" w:cs="宋体" w:hint="eastAsia"/>
                <w:sz w:val="18"/>
                <w:szCs w:val="18"/>
              </w:rPr>
              <w:t>合计</w:t>
            </w:r>
          </w:p>
        </w:tc>
        <w:tc>
          <w:tcPr>
            <w:tcW w:w="279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8D4B2E" w:rsidRPr="001505AE" w:rsidRDefault="008D4B2E">
            <w:pPr>
              <w:pStyle w:val="a3"/>
              <w:spacing w:before="0" w:beforeAutospacing="0" w:after="0" w:afterAutospacing="0" w:line="400" w:lineRule="atLeast"/>
              <w:jc w:val="right"/>
              <w:rPr>
                <w:kern w:val="2"/>
                <w:sz w:val="18"/>
                <w:szCs w:val="18"/>
              </w:rPr>
            </w:pPr>
            <w:r w:rsidRPr="001505AE">
              <w:rPr>
                <w:kern w:val="2"/>
                <w:sz w:val="18"/>
                <w:szCs w:val="18"/>
              </w:rPr>
              <w:t>2,064,352,747.57</w:t>
            </w:r>
          </w:p>
        </w:tc>
        <w:tc>
          <w:tcPr>
            <w:tcW w:w="3845" w:type="dxa"/>
            <w:tcBorders>
              <w:top w:val="nil"/>
              <w:left w:val="nil"/>
              <w:bottom w:val="single" w:sz="8" w:space="0" w:color="auto"/>
              <w:right w:val="single" w:sz="8" w:space="0" w:color="auto"/>
            </w:tcBorders>
            <w:tcMar>
              <w:top w:w="0" w:type="dxa"/>
              <w:left w:w="28" w:type="dxa"/>
              <w:bottom w:w="0" w:type="dxa"/>
              <w:right w:w="28" w:type="dxa"/>
            </w:tcMar>
            <w:hideMark/>
          </w:tcPr>
          <w:p w:rsidR="008D4B2E" w:rsidRDefault="008D4B2E">
            <w:pPr>
              <w:pStyle w:val="a3"/>
              <w:spacing w:before="0" w:beforeAutospacing="0" w:after="0" w:afterAutospacing="0" w:line="400" w:lineRule="atLeast"/>
              <w:jc w:val="both"/>
              <w:rPr>
                <w:rFonts w:ascii="Arial" w:hAnsi="Arial" w:cs="Arial"/>
                <w:sz w:val="20"/>
                <w:szCs w:val="20"/>
              </w:rPr>
            </w:pPr>
            <w:r>
              <w:rPr>
                <w:rStyle w:val="a4"/>
                <w:rFonts w:ascii="Arial" w:hAnsi="Arial" w:cs="Arial"/>
                <w:sz w:val="20"/>
                <w:szCs w:val="20"/>
              </w:rPr>
              <w:t> </w:t>
            </w:r>
          </w:p>
        </w:tc>
      </w:tr>
    </w:tbl>
    <w:p w:rsidR="00BA0365" w:rsidRDefault="008D4B2E">
      <w:pPr>
        <w:pStyle w:val="2"/>
        <w:spacing w:before="300" w:after="300" w:line="320" w:lineRule="exact"/>
        <w:rPr>
          <w:rFonts w:ascii="宋体" w:eastAsia="宋体" w:hAnsi="宋体" w:cs="宋体"/>
          <w:b/>
          <w:bCs/>
          <w:sz w:val="24"/>
          <w:szCs w:val="24"/>
        </w:rPr>
      </w:pPr>
      <w:bookmarkStart w:id="36" w:name="_Toc988925"/>
      <w:r>
        <w:rPr>
          <w:rFonts w:ascii="宋体" w:eastAsia="宋体" w:hAnsi="宋体" w:cs="宋体"/>
          <w:b/>
          <w:bCs/>
          <w:sz w:val="24"/>
          <w:szCs w:val="24"/>
        </w:rPr>
        <w:t>七、投资状况分析</w:t>
      </w:r>
      <w:bookmarkEnd w:id="36"/>
    </w:p>
    <w:p w:rsidR="00BA0365" w:rsidRDefault="008D4B2E">
      <w:pPr>
        <w:pStyle w:val="3"/>
        <w:spacing w:line="280" w:lineRule="exact"/>
        <w:jc w:val="left"/>
        <w:rPr>
          <w:rFonts w:ascii="宋体" w:hAnsi="宋体" w:cs="宋体"/>
          <w:b/>
          <w:bCs/>
        </w:rPr>
      </w:pPr>
      <w:bookmarkStart w:id="37" w:name="_Toc988926"/>
      <w:r>
        <w:rPr>
          <w:rFonts w:ascii="宋体" w:hAnsi="宋体" w:cs="宋体"/>
          <w:b/>
          <w:bCs/>
        </w:rPr>
        <w:t>1、总体情况</w:t>
      </w:r>
      <w:bookmarkEnd w:id="37"/>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Layout w:type="fixed"/>
        <w:tblLook w:val="04A0" w:firstRow="1" w:lastRow="0" w:firstColumn="1" w:lastColumn="0" w:noHBand="0" w:noVBand="1"/>
      </w:tblPr>
      <w:tblGrid>
        <w:gridCol w:w="3213"/>
        <w:gridCol w:w="3213"/>
        <w:gridCol w:w="3213"/>
      </w:tblGrid>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报告期投资额（元）</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上年同期投资额（元）</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变动幅度</w:t>
            </w:r>
          </w:p>
        </w:tc>
      </w:tr>
      <w:tr w:rsidR="00157EA0" w:rsidTr="00832133">
        <w:trPr>
          <w:trHeight w:val="334"/>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363,891,235.78</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781,450,000.00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-53.43%</w:t>
            </w:r>
          </w:p>
        </w:tc>
      </w:tr>
    </w:tbl>
    <w:p w:rsidR="00BA0365" w:rsidRDefault="008D4B2E">
      <w:pPr>
        <w:pStyle w:val="3"/>
        <w:spacing w:line="280" w:lineRule="exact"/>
        <w:jc w:val="left"/>
        <w:rPr>
          <w:rFonts w:ascii="宋体" w:hAnsi="宋体" w:cs="宋体"/>
          <w:b/>
          <w:bCs/>
        </w:rPr>
      </w:pPr>
      <w:bookmarkStart w:id="38" w:name="_Toc988927"/>
      <w:r>
        <w:rPr>
          <w:rFonts w:ascii="宋体" w:hAnsi="宋体" w:cs="宋体"/>
          <w:b/>
          <w:bCs/>
        </w:rPr>
        <w:t>2、报告期内获取的重大的股权投资情况</w:t>
      </w:r>
      <w:bookmarkEnd w:id="38"/>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BA0365" w:rsidRDefault="008D4B2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817"/>
        <w:gridCol w:w="709"/>
        <w:gridCol w:w="425"/>
        <w:gridCol w:w="709"/>
        <w:gridCol w:w="850"/>
        <w:gridCol w:w="567"/>
        <w:gridCol w:w="567"/>
        <w:gridCol w:w="567"/>
        <w:gridCol w:w="426"/>
        <w:gridCol w:w="708"/>
        <w:gridCol w:w="426"/>
        <w:gridCol w:w="567"/>
        <w:gridCol w:w="425"/>
        <w:gridCol w:w="850"/>
        <w:gridCol w:w="1026"/>
      </w:tblGrid>
      <w:tr w:rsidR="00157EA0" w:rsidTr="00595F61">
        <w:trPr>
          <w:trHeight w:val="240"/>
        </w:trPr>
        <w:tc>
          <w:tcPr>
            <w:tcW w:w="81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被投资公司名称</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主要业务</w:t>
            </w:r>
          </w:p>
        </w:tc>
        <w:tc>
          <w:tcPr>
            <w:tcW w:w="42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投资方式</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投资金额</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持股比例</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资金来源</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合作方</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投资期限</w:t>
            </w:r>
          </w:p>
        </w:tc>
        <w:tc>
          <w:tcPr>
            <w:tcW w:w="42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产品类型</w:t>
            </w:r>
          </w:p>
        </w:tc>
        <w:tc>
          <w:tcPr>
            <w:tcW w:w="70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截至资产负债表日的进展情况</w:t>
            </w:r>
          </w:p>
        </w:tc>
        <w:tc>
          <w:tcPr>
            <w:tcW w:w="42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预计收益</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本期投资盈亏</w:t>
            </w:r>
          </w:p>
        </w:tc>
        <w:tc>
          <w:tcPr>
            <w:tcW w:w="42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是否涉诉</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披露日期（如有）</w:t>
            </w:r>
          </w:p>
        </w:tc>
        <w:tc>
          <w:tcPr>
            <w:tcW w:w="102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披露索引（如有）</w:t>
            </w:r>
          </w:p>
        </w:tc>
      </w:tr>
      <w:tr w:rsidR="00157EA0" w:rsidTr="00595F61">
        <w:trPr>
          <w:trHeight w:val="240"/>
        </w:trPr>
        <w:tc>
          <w:tcPr>
            <w:tcW w:w="81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软控（诸暨）智能装备有限公司</w:t>
            </w:r>
          </w:p>
        </w:tc>
        <w:tc>
          <w:tcPr>
            <w:tcW w:w="70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同营业执照的“营业范围”</w:t>
            </w:r>
          </w:p>
        </w:tc>
        <w:tc>
          <w:tcPr>
            <w:tcW w:w="42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收购</w:t>
            </w:r>
          </w:p>
        </w:tc>
        <w:tc>
          <w:tcPr>
            <w:tcW w:w="70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192,090,000.00</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56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自有资金</w:t>
            </w:r>
          </w:p>
        </w:tc>
        <w:tc>
          <w:tcPr>
            <w:tcW w:w="56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不适用</w:t>
            </w:r>
          </w:p>
        </w:tc>
        <w:tc>
          <w:tcPr>
            <w:tcW w:w="56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长期</w:t>
            </w:r>
          </w:p>
        </w:tc>
        <w:tc>
          <w:tcPr>
            <w:tcW w:w="42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股权</w:t>
            </w:r>
          </w:p>
        </w:tc>
        <w:tc>
          <w:tcPr>
            <w:tcW w:w="70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已完成</w:t>
            </w:r>
          </w:p>
        </w:tc>
        <w:tc>
          <w:tcPr>
            <w:tcW w:w="42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-846,176.81</w:t>
            </w:r>
          </w:p>
        </w:tc>
        <w:tc>
          <w:tcPr>
            <w:tcW w:w="42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2023年12月02日</w:t>
            </w:r>
          </w:p>
        </w:tc>
        <w:tc>
          <w:tcPr>
            <w:tcW w:w="102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2023-073《关于购买控股子公司股权的公告》</w:t>
            </w:r>
          </w:p>
        </w:tc>
      </w:tr>
      <w:tr w:rsidR="00157EA0" w:rsidTr="00595F61">
        <w:trPr>
          <w:trHeight w:val="240"/>
        </w:trPr>
        <w:tc>
          <w:tcPr>
            <w:tcW w:w="81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软控联合</w:t>
            </w:r>
            <w:proofErr w:type="gramEnd"/>
            <w:r>
              <w:rPr>
                <w:rFonts w:ascii="宋体" w:eastAsia="宋体" w:hAnsi="宋体" w:cs="宋体"/>
                <w:sz w:val="18"/>
                <w:szCs w:val="18"/>
              </w:rPr>
              <w:t>科技有限公司</w:t>
            </w:r>
          </w:p>
        </w:tc>
        <w:tc>
          <w:tcPr>
            <w:tcW w:w="70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同营业执照的“营业范围”</w:t>
            </w:r>
          </w:p>
        </w:tc>
        <w:tc>
          <w:tcPr>
            <w:tcW w:w="42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增资</w:t>
            </w:r>
          </w:p>
        </w:tc>
        <w:tc>
          <w:tcPr>
            <w:tcW w:w="70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100,000,000.00</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56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自有资金</w:t>
            </w:r>
          </w:p>
        </w:tc>
        <w:tc>
          <w:tcPr>
            <w:tcW w:w="56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不适用</w:t>
            </w:r>
          </w:p>
        </w:tc>
        <w:tc>
          <w:tcPr>
            <w:tcW w:w="56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长期</w:t>
            </w:r>
          </w:p>
        </w:tc>
        <w:tc>
          <w:tcPr>
            <w:tcW w:w="42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股权</w:t>
            </w:r>
          </w:p>
        </w:tc>
        <w:tc>
          <w:tcPr>
            <w:tcW w:w="70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已完成</w:t>
            </w:r>
          </w:p>
        </w:tc>
        <w:tc>
          <w:tcPr>
            <w:tcW w:w="42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32,979,570.59</w:t>
            </w:r>
          </w:p>
        </w:tc>
        <w:tc>
          <w:tcPr>
            <w:tcW w:w="42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2023年06月30日</w:t>
            </w:r>
          </w:p>
        </w:tc>
        <w:tc>
          <w:tcPr>
            <w:tcW w:w="102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2023-034《关于对全资子公司增资的公告》</w:t>
            </w:r>
          </w:p>
        </w:tc>
      </w:tr>
      <w:tr w:rsidR="00157EA0" w:rsidTr="00595F61">
        <w:trPr>
          <w:trHeight w:val="240"/>
        </w:trPr>
        <w:tc>
          <w:tcPr>
            <w:tcW w:w="81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42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70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292,090,00</w:t>
            </w:r>
            <w:r>
              <w:rPr>
                <w:rFonts w:ascii="宋体" w:eastAsia="宋体" w:hAnsi="宋体" w:cs="宋体"/>
                <w:sz w:val="18"/>
                <w:szCs w:val="18"/>
              </w:rPr>
              <w:lastRenderedPageBreak/>
              <w:t>0.00</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42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70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42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56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32,133</w:t>
            </w:r>
            <w:r>
              <w:rPr>
                <w:rFonts w:ascii="宋体" w:eastAsia="宋体" w:hAnsi="宋体" w:cs="宋体"/>
                <w:sz w:val="18"/>
                <w:szCs w:val="18"/>
              </w:rPr>
              <w:lastRenderedPageBreak/>
              <w:t>,393.78</w:t>
            </w:r>
          </w:p>
        </w:tc>
        <w:tc>
          <w:tcPr>
            <w:tcW w:w="42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02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bl>
    <w:p w:rsidR="00BA0365" w:rsidRDefault="008D4B2E">
      <w:pPr>
        <w:pStyle w:val="3"/>
        <w:spacing w:line="280" w:lineRule="exact"/>
        <w:jc w:val="left"/>
        <w:rPr>
          <w:rFonts w:ascii="宋体" w:hAnsi="宋体" w:cs="宋体"/>
          <w:b/>
          <w:bCs/>
        </w:rPr>
      </w:pPr>
      <w:bookmarkStart w:id="39" w:name="_Toc988928"/>
      <w:r>
        <w:rPr>
          <w:rFonts w:ascii="宋体" w:hAnsi="宋体" w:cs="宋体"/>
          <w:b/>
          <w:bCs/>
        </w:rPr>
        <w:lastRenderedPageBreak/>
        <w:t>3、报告期内正在进行的重大的非股权投资情况</w:t>
      </w:r>
      <w:bookmarkEnd w:id="39"/>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pStyle w:val="3"/>
        <w:spacing w:line="280" w:lineRule="exact"/>
        <w:jc w:val="left"/>
        <w:rPr>
          <w:rFonts w:ascii="宋体" w:hAnsi="宋体" w:cs="宋体"/>
          <w:b/>
          <w:bCs/>
        </w:rPr>
      </w:pPr>
      <w:bookmarkStart w:id="40" w:name="_Toc988929"/>
      <w:r>
        <w:rPr>
          <w:rFonts w:ascii="宋体" w:hAnsi="宋体" w:cs="宋体"/>
          <w:b/>
          <w:bCs/>
        </w:rPr>
        <w:t>4、金融资产投资</w:t>
      </w:r>
      <w:bookmarkEnd w:id="40"/>
    </w:p>
    <w:p w:rsidR="00BA0365" w:rsidRDefault="008D4B2E">
      <w:pPr>
        <w:keepNext/>
        <w:keepLines/>
        <w:spacing w:before="300" w:after="300" w:line="280" w:lineRule="exact"/>
        <w:outlineLvl w:val="3"/>
        <w:rPr>
          <w:rFonts w:ascii="宋体" w:eastAsia="宋体" w:hAnsi="宋体" w:cs="宋体"/>
          <w:b/>
          <w:bCs/>
          <w:sz w:val="18"/>
          <w:szCs w:val="18"/>
        </w:rPr>
      </w:pPr>
      <w:bookmarkStart w:id="41" w:name="_Toc988930"/>
      <w:r>
        <w:rPr>
          <w:rFonts w:ascii="宋体" w:eastAsia="宋体" w:hAnsi="宋体" w:cs="宋体"/>
          <w:b/>
          <w:bCs/>
          <w:sz w:val="18"/>
          <w:szCs w:val="18"/>
        </w:rPr>
        <w:t>（1） 证券投资情况</w:t>
      </w:r>
      <w:bookmarkEnd w:id="41"/>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公司报告期不存在证券投资。</w:t>
      </w:r>
    </w:p>
    <w:p w:rsidR="00BA0365" w:rsidRDefault="008D4B2E">
      <w:pPr>
        <w:keepNext/>
        <w:keepLines/>
        <w:spacing w:before="300" w:after="300" w:line="280" w:lineRule="exact"/>
        <w:outlineLvl w:val="3"/>
        <w:rPr>
          <w:rFonts w:ascii="宋体" w:eastAsia="宋体" w:hAnsi="宋体" w:cs="宋体"/>
          <w:b/>
          <w:bCs/>
          <w:sz w:val="18"/>
          <w:szCs w:val="18"/>
        </w:rPr>
      </w:pPr>
      <w:bookmarkStart w:id="42" w:name="_Toc988931"/>
      <w:r>
        <w:rPr>
          <w:rFonts w:ascii="宋体" w:eastAsia="宋体" w:hAnsi="宋体" w:cs="宋体"/>
          <w:b/>
          <w:bCs/>
          <w:sz w:val="18"/>
          <w:szCs w:val="18"/>
        </w:rPr>
        <w:t>（2） 衍生</w:t>
      </w:r>
      <w:proofErr w:type="gramStart"/>
      <w:r>
        <w:rPr>
          <w:rFonts w:ascii="宋体" w:eastAsia="宋体" w:hAnsi="宋体" w:cs="宋体"/>
          <w:b/>
          <w:bCs/>
          <w:sz w:val="18"/>
          <w:szCs w:val="18"/>
        </w:rPr>
        <w:t>品投资</w:t>
      </w:r>
      <w:proofErr w:type="gramEnd"/>
      <w:r>
        <w:rPr>
          <w:rFonts w:ascii="宋体" w:eastAsia="宋体" w:hAnsi="宋体" w:cs="宋体"/>
          <w:b/>
          <w:bCs/>
          <w:sz w:val="18"/>
          <w:szCs w:val="18"/>
        </w:rPr>
        <w:t>情况</w:t>
      </w:r>
      <w:bookmarkEnd w:id="42"/>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公司报告期不存在衍生品投资。</w:t>
      </w:r>
    </w:p>
    <w:p w:rsidR="00BA0365" w:rsidRDefault="008D4B2E">
      <w:pPr>
        <w:pStyle w:val="3"/>
        <w:spacing w:line="280" w:lineRule="exact"/>
        <w:jc w:val="left"/>
        <w:rPr>
          <w:rFonts w:ascii="宋体" w:hAnsi="宋体" w:cs="宋体"/>
          <w:b/>
          <w:bCs/>
        </w:rPr>
      </w:pPr>
      <w:bookmarkStart w:id="43" w:name="_Toc988932"/>
      <w:r>
        <w:rPr>
          <w:rFonts w:ascii="宋体" w:hAnsi="宋体" w:cs="宋体"/>
          <w:b/>
          <w:bCs/>
        </w:rPr>
        <w:t>5、募集资金使用情况</w:t>
      </w:r>
      <w:bookmarkEnd w:id="43"/>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BA0365" w:rsidRDefault="008D4B2E">
      <w:pPr>
        <w:keepNext/>
        <w:keepLines/>
        <w:spacing w:before="300" w:after="300" w:line="280" w:lineRule="exact"/>
        <w:outlineLvl w:val="3"/>
        <w:rPr>
          <w:rFonts w:ascii="宋体" w:eastAsia="宋体" w:hAnsi="宋体" w:cs="宋体"/>
          <w:b/>
          <w:bCs/>
          <w:sz w:val="18"/>
          <w:szCs w:val="18"/>
        </w:rPr>
      </w:pPr>
      <w:bookmarkStart w:id="44" w:name="_Toc988933"/>
      <w:r>
        <w:rPr>
          <w:rFonts w:ascii="宋体" w:eastAsia="宋体" w:hAnsi="宋体" w:cs="宋体"/>
          <w:b/>
          <w:bCs/>
          <w:sz w:val="18"/>
          <w:szCs w:val="18"/>
        </w:rPr>
        <w:t>（1） 募集资金总体使用情况</w:t>
      </w:r>
      <w:bookmarkEnd w:id="44"/>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BA0365" w:rsidRDefault="008D4B2E">
      <w:pPr>
        <w:spacing w:before="120" w:after="120" w:line="240" w:lineRule="exact"/>
        <w:jc w:val="right"/>
        <w:rPr>
          <w:rFonts w:ascii="宋体" w:eastAsia="宋体" w:hAnsi="宋体" w:cs="宋体"/>
          <w:sz w:val="18"/>
          <w:szCs w:val="18"/>
        </w:rPr>
      </w:pPr>
      <w:r>
        <w:rPr>
          <w:rFonts w:ascii="宋体" w:eastAsia="宋体" w:hAnsi="宋体" w:cs="宋体"/>
          <w:sz w:val="18"/>
          <w:szCs w:val="18"/>
        </w:rPr>
        <w:t>单位：万元</w:t>
      </w:r>
    </w:p>
    <w:tbl>
      <w:tblPr>
        <w:tblW w:w="9639" w:type="dxa"/>
        <w:tblLayout w:type="fixed"/>
        <w:tblLook w:val="04A0" w:firstRow="1" w:lastRow="0" w:firstColumn="1" w:lastColumn="0" w:noHBand="0" w:noVBand="1"/>
      </w:tblPr>
      <w:tblGrid>
        <w:gridCol w:w="803"/>
        <w:gridCol w:w="803"/>
        <w:gridCol w:w="803"/>
        <w:gridCol w:w="803"/>
        <w:gridCol w:w="803"/>
        <w:gridCol w:w="803"/>
        <w:gridCol w:w="803"/>
        <w:gridCol w:w="803"/>
        <w:gridCol w:w="803"/>
        <w:gridCol w:w="803"/>
        <w:gridCol w:w="803"/>
        <w:gridCol w:w="806"/>
      </w:tblGrid>
      <w:tr w:rsidR="00157EA0">
        <w:trPr>
          <w:trHeight w:val="240"/>
        </w:trPr>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募集年份</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募集方式</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募集资金总额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募集资金净额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本期已使用募集资金总额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已累计使用募集资金总额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报告期内变更用途的募集资金总额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累计变更用途的募集资金总额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累计变更用途的募集资金总额比例</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尚未使用募集资金总额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尚未使用募集资金用途及去向</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闲置两年以上募集资金金额</w:t>
            </w:r>
          </w:p>
        </w:tc>
      </w:tr>
      <w:tr w:rsidR="00157EA0">
        <w:trPr>
          <w:trHeight w:val="240"/>
        </w:trPr>
        <w:tc>
          <w:tcPr>
            <w:tcW w:w="80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2016年</w:t>
            </w:r>
          </w:p>
        </w:tc>
        <w:tc>
          <w:tcPr>
            <w:tcW w:w="80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非公开发行A股股票</w:t>
            </w:r>
          </w:p>
        </w:tc>
        <w:tc>
          <w:tcPr>
            <w:tcW w:w="80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126,894.37</w:t>
            </w:r>
          </w:p>
        </w:tc>
        <w:tc>
          <w:tcPr>
            <w:tcW w:w="80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124,582.05</w:t>
            </w:r>
          </w:p>
        </w:tc>
        <w:tc>
          <w:tcPr>
            <w:tcW w:w="80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29,091.45</w:t>
            </w:r>
          </w:p>
        </w:tc>
        <w:tc>
          <w:tcPr>
            <w:tcW w:w="80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127,809.33</w:t>
            </w:r>
          </w:p>
        </w:tc>
        <w:tc>
          <w:tcPr>
            <w:tcW w:w="80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0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122,154.94</w:t>
            </w:r>
          </w:p>
        </w:tc>
        <w:tc>
          <w:tcPr>
            <w:tcW w:w="80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96.27%</w:t>
            </w:r>
          </w:p>
        </w:tc>
        <w:tc>
          <w:tcPr>
            <w:tcW w:w="80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7,548.13</w:t>
            </w:r>
          </w:p>
        </w:tc>
        <w:tc>
          <w:tcPr>
            <w:tcW w:w="80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全部存放于募集资金专户中</w:t>
            </w:r>
          </w:p>
        </w:tc>
        <w:tc>
          <w:tcPr>
            <w:tcW w:w="80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7,548.13</w:t>
            </w:r>
          </w:p>
        </w:tc>
      </w:tr>
      <w:tr w:rsidR="00157EA0">
        <w:trPr>
          <w:trHeight w:val="240"/>
        </w:trPr>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80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126,894.37</w:t>
            </w:r>
          </w:p>
        </w:tc>
        <w:tc>
          <w:tcPr>
            <w:tcW w:w="80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124,582.05</w:t>
            </w:r>
          </w:p>
        </w:tc>
        <w:tc>
          <w:tcPr>
            <w:tcW w:w="80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29,091.45</w:t>
            </w:r>
          </w:p>
        </w:tc>
        <w:tc>
          <w:tcPr>
            <w:tcW w:w="80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127,809.33</w:t>
            </w:r>
          </w:p>
        </w:tc>
        <w:tc>
          <w:tcPr>
            <w:tcW w:w="80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0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122,154.94</w:t>
            </w:r>
          </w:p>
        </w:tc>
        <w:tc>
          <w:tcPr>
            <w:tcW w:w="80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96.27%</w:t>
            </w:r>
          </w:p>
        </w:tc>
        <w:tc>
          <w:tcPr>
            <w:tcW w:w="80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7,548.13</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80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7,548.13</w:t>
            </w:r>
          </w:p>
        </w:tc>
      </w:tr>
      <w:tr w:rsidR="00157EA0">
        <w:trPr>
          <w:trHeight w:val="240"/>
        </w:trPr>
        <w:tc>
          <w:tcPr>
            <w:tcW w:w="9639"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募集资金总体使用情况说明</w:t>
            </w:r>
          </w:p>
        </w:tc>
      </w:tr>
      <w:tr w:rsidR="00157EA0">
        <w:trPr>
          <w:trHeight w:val="240"/>
        </w:trPr>
        <w:tc>
          <w:tcPr>
            <w:tcW w:w="9639" w:type="dxa"/>
            <w:gridSpan w:val="12"/>
            <w:tcBorders>
              <w:top w:val="single" w:sz="2" w:space="0" w:color="auto"/>
              <w:left w:val="single" w:sz="2" w:space="0" w:color="auto"/>
              <w:bottom w:val="single" w:sz="2" w:space="0" w:color="auto"/>
              <w:right w:val="single" w:sz="2" w:space="0" w:color="auto"/>
            </w:tcBorders>
            <w:vAlign w:val="center"/>
          </w:tcPr>
          <w:p w:rsidR="00BA0365" w:rsidRDefault="008D4B2E" w:rsidP="007370FD">
            <w:pPr>
              <w:pStyle w:val="a3"/>
              <w:spacing w:before="40" w:beforeAutospacing="0" w:after="40" w:afterAutospacing="0"/>
              <w:ind w:firstLine="360"/>
              <w:rPr>
                <w:sz w:val="18"/>
                <w:szCs w:val="18"/>
              </w:rPr>
            </w:pPr>
            <w:r>
              <w:rPr>
                <w:sz w:val="18"/>
                <w:szCs w:val="18"/>
              </w:rPr>
              <w:t xml:space="preserve">    根据中国证券监督管理委员会2016年6月22日《关于核准软控股份有限公司非公开发行股票的批复》（证监许可[2016]1367号），公司获准非公开发行人民币普通股（A股）股票总数不超过127,000,000股。公司实际非公开发行人民币普通股（A股）股票123,198,417股，每股面值1元，发行价为每股10.30元，募集资金总额为人民币1,268,943,695.10元，扣除含税发行费用23,123,198.42元后，募集资金净额为人民币1,245,820,496.68元。其中，计入股本人民币123,198,417.00元，其他股本溢价计入资本公积人民币1,122,622,079.68元。上述募集资金已于2016年10月11日全部到位，已经中兴华会计师事务所(特殊普通合伙)验证，并由其出具“中兴华验字[2016]第SD03-0011号”验资报告，本公司对募集资金已采取了专项账户存储管理。</w:t>
            </w:r>
          </w:p>
          <w:p w:rsidR="007370FD" w:rsidRDefault="008D4B2E" w:rsidP="007370FD">
            <w:pPr>
              <w:pStyle w:val="a3"/>
              <w:spacing w:before="40" w:beforeAutospacing="0" w:after="40" w:afterAutospacing="0"/>
              <w:ind w:firstLine="360"/>
              <w:rPr>
                <w:sz w:val="18"/>
                <w:szCs w:val="18"/>
              </w:rPr>
            </w:pPr>
            <w:r>
              <w:rPr>
                <w:sz w:val="18"/>
                <w:szCs w:val="18"/>
              </w:rPr>
              <w:t xml:space="preserve">    公司于2023年8月28日召开第八届董事会第十一次会议和第八届监事会第十三次会议,分别审议通过了《关于使用部分暂时闲置募集资金进行现金管理及追认使用部分闲置募集资金进行现金管理的议案》,同意公司及子公司使用不超过15,000万元（含本数）暂时闲置募集资金进行现金管理，购买安全性高、流动性好、风险较低、能够提供保本承诺的具有合法经营资格的金融机构销售的理财类产品或存款类产品，投资期限为自公司董事会审议通过之日起不超</w:t>
            </w:r>
            <w:r>
              <w:rPr>
                <w:sz w:val="18"/>
                <w:szCs w:val="18"/>
              </w:rPr>
              <w:lastRenderedPageBreak/>
              <w:t>过12个月。在上述额度和期限内，资金可以滚动使用，并对前次超过授权期限使用暂时闲置募集资金现金管理的情况进行了追认。</w:t>
            </w:r>
          </w:p>
          <w:p w:rsidR="00BA0365" w:rsidRDefault="008D4B2E" w:rsidP="007370FD">
            <w:pPr>
              <w:pStyle w:val="a3"/>
              <w:spacing w:before="40" w:beforeAutospacing="0" w:after="40" w:afterAutospacing="0"/>
              <w:ind w:firstLine="360"/>
              <w:rPr>
                <w:sz w:val="18"/>
                <w:szCs w:val="18"/>
              </w:rPr>
            </w:pPr>
            <w:r>
              <w:rPr>
                <w:sz w:val="18"/>
                <w:szCs w:val="18"/>
              </w:rPr>
              <w:t>截至2023年12月31日，本年度已投入募集资金总额为29,091.45万元，已累计投入募集资金总额为127,809.33万元。</w:t>
            </w:r>
          </w:p>
        </w:tc>
      </w:tr>
    </w:tbl>
    <w:p w:rsidR="00BA0365" w:rsidRDefault="008D4B2E">
      <w:pPr>
        <w:keepNext/>
        <w:keepLines/>
        <w:spacing w:before="300" w:after="300" w:line="280" w:lineRule="exact"/>
        <w:outlineLvl w:val="3"/>
        <w:rPr>
          <w:rFonts w:ascii="宋体" w:eastAsia="宋体" w:hAnsi="宋体" w:cs="宋体"/>
          <w:b/>
          <w:bCs/>
          <w:sz w:val="18"/>
          <w:szCs w:val="18"/>
        </w:rPr>
      </w:pPr>
      <w:bookmarkStart w:id="45" w:name="_Toc988934"/>
      <w:r>
        <w:rPr>
          <w:rFonts w:ascii="宋体" w:eastAsia="宋体" w:hAnsi="宋体" w:cs="宋体"/>
          <w:b/>
          <w:bCs/>
          <w:sz w:val="18"/>
          <w:szCs w:val="18"/>
        </w:rPr>
        <w:lastRenderedPageBreak/>
        <w:t>（2） 募集资金承诺项目情况</w:t>
      </w:r>
      <w:bookmarkEnd w:id="45"/>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BA0365" w:rsidRDefault="008D4B2E">
      <w:pPr>
        <w:spacing w:before="120" w:after="120" w:line="240" w:lineRule="exact"/>
        <w:jc w:val="right"/>
        <w:rPr>
          <w:rFonts w:ascii="宋体" w:eastAsia="宋体" w:hAnsi="宋体" w:cs="宋体"/>
          <w:sz w:val="18"/>
          <w:szCs w:val="18"/>
        </w:rPr>
      </w:pPr>
      <w:r>
        <w:rPr>
          <w:rFonts w:ascii="宋体" w:eastAsia="宋体" w:hAnsi="宋体" w:cs="宋体"/>
          <w:sz w:val="18"/>
          <w:szCs w:val="18"/>
        </w:rPr>
        <w:t>单位：万元</w:t>
      </w:r>
    </w:p>
    <w:tbl>
      <w:tblPr>
        <w:tblW w:w="9639" w:type="dxa"/>
        <w:tblLayout w:type="fixed"/>
        <w:tblLook w:val="04A0" w:firstRow="1" w:lastRow="0" w:firstColumn="1" w:lastColumn="0" w:noHBand="0" w:noVBand="1"/>
      </w:tblPr>
      <w:tblGrid>
        <w:gridCol w:w="959"/>
        <w:gridCol w:w="793"/>
        <w:gridCol w:w="876"/>
        <w:gridCol w:w="876"/>
        <w:gridCol w:w="876"/>
        <w:gridCol w:w="876"/>
        <w:gridCol w:w="876"/>
        <w:gridCol w:w="876"/>
        <w:gridCol w:w="876"/>
        <w:gridCol w:w="876"/>
        <w:gridCol w:w="879"/>
      </w:tblGrid>
      <w:tr w:rsidR="00157EA0" w:rsidTr="00595F61">
        <w:trPr>
          <w:trHeight w:val="240"/>
        </w:trPr>
        <w:tc>
          <w:tcPr>
            <w:tcW w:w="95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承诺投资项目和超募资金投向</w:t>
            </w:r>
          </w:p>
        </w:tc>
        <w:tc>
          <w:tcPr>
            <w:tcW w:w="79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是否已变更项目（含部分变更）</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募集资金承诺投资总额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调整后投资总额（1）</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本报告期投入金额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截至期末累计投入金额（2）</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截至期末投资进度(3)＝(2)/(1)</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项目达到预定可使用状态日期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本报告</w:t>
            </w:r>
            <w:proofErr w:type="gramStart"/>
            <w:r>
              <w:rPr>
                <w:rFonts w:ascii="宋体" w:eastAsia="宋体" w:hAnsi="宋体" w:cs="宋体"/>
                <w:sz w:val="18"/>
                <w:szCs w:val="18"/>
              </w:rPr>
              <w:t>期实现</w:t>
            </w:r>
            <w:proofErr w:type="gramEnd"/>
            <w:r>
              <w:rPr>
                <w:rFonts w:ascii="宋体" w:eastAsia="宋体" w:hAnsi="宋体" w:cs="宋体"/>
                <w:sz w:val="18"/>
                <w:szCs w:val="18"/>
              </w:rPr>
              <w:t>的效益</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是否达到预计效益</w:t>
            </w:r>
          </w:p>
        </w:tc>
        <w:tc>
          <w:tcPr>
            <w:tcW w:w="87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项目可行性是否发生重大变化</w:t>
            </w:r>
          </w:p>
        </w:tc>
      </w:tr>
      <w:tr w:rsidR="00157EA0">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承诺投资项目</w:t>
            </w:r>
          </w:p>
        </w:tc>
      </w:tr>
      <w:tr w:rsidR="00157EA0" w:rsidTr="00595F61">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595F61" w:rsidRDefault="00595F61" w:rsidP="00595F61">
            <w:pPr>
              <w:spacing w:line="240" w:lineRule="exact"/>
              <w:rPr>
                <w:rFonts w:ascii="宋体" w:eastAsia="宋体" w:hAnsi="宋体" w:cs="宋体"/>
                <w:sz w:val="18"/>
                <w:szCs w:val="18"/>
              </w:rPr>
            </w:pPr>
            <w:r>
              <w:rPr>
                <w:rFonts w:ascii="宋体" w:eastAsia="宋体" w:hAnsi="宋体" w:cs="宋体"/>
                <w:sz w:val="18"/>
                <w:szCs w:val="18"/>
              </w:rPr>
              <w:t>轮胎装备智能制造基地</w:t>
            </w:r>
          </w:p>
        </w:tc>
        <w:tc>
          <w:tcPr>
            <w:tcW w:w="793" w:type="dxa"/>
            <w:tcBorders>
              <w:top w:val="single" w:sz="2" w:space="0" w:color="auto"/>
              <w:left w:val="single" w:sz="2" w:space="0" w:color="auto"/>
              <w:bottom w:val="single" w:sz="2" w:space="0" w:color="auto"/>
              <w:right w:val="single" w:sz="2" w:space="0" w:color="auto"/>
            </w:tcBorders>
            <w:vAlign w:val="center"/>
          </w:tcPr>
          <w:p w:rsidR="00595F61" w:rsidRDefault="00595F61" w:rsidP="00595F61">
            <w:pPr>
              <w:spacing w:line="240" w:lineRule="exact"/>
              <w:rPr>
                <w:rFonts w:ascii="宋体" w:eastAsia="宋体" w:hAnsi="宋体" w:cs="宋体"/>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rsidR="00595F61" w:rsidRDefault="00595F61" w:rsidP="00595F61">
            <w:pPr>
              <w:spacing w:line="240" w:lineRule="exact"/>
              <w:jc w:val="right"/>
              <w:rPr>
                <w:rFonts w:ascii="宋体" w:eastAsia="宋体" w:hAnsi="宋体" w:cs="宋体"/>
                <w:sz w:val="18"/>
                <w:szCs w:val="18"/>
              </w:rPr>
            </w:pPr>
            <w:r>
              <w:rPr>
                <w:rFonts w:ascii="宋体" w:eastAsia="宋体" w:hAnsi="宋体" w:cs="宋体"/>
                <w:sz w:val="18"/>
                <w:szCs w:val="18"/>
              </w:rPr>
              <w:t>48,956.62</w:t>
            </w:r>
          </w:p>
        </w:tc>
        <w:tc>
          <w:tcPr>
            <w:tcW w:w="876" w:type="dxa"/>
            <w:tcBorders>
              <w:top w:val="single" w:sz="2" w:space="0" w:color="auto"/>
              <w:left w:val="single" w:sz="2" w:space="0" w:color="auto"/>
              <w:bottom w:val="single" w:sz="2" w:space="0" w:color="auto"/>
              <w:right w:val="single" w:sz="2" w:space="0" w:color="auto"/>
            </w:tcBorders>
            <w:vAlign w:val="center"/>
          </w:tcPr>
          <w:p w:rsidR="00595F61" w:rsidRDefault="00595F61" w:rsidP="00595F61">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595F61" w:rsidRDefault="00595F61" w:rsidP="00595F61">
            <w:pPr>
              <w:spacing w:line="240" w:lineRule="exact"/>
              <w:jc w:val="right"/>
              <w:rPr>
                <w:rFonts w:ascii="宋体" w:eastAsia="宋体" w:hAnsi="宋体" w:cs="宋体"/>
                <w:sz w:val="18"/>
                <w:szCs w:val="18"/>
              </w:rPr>
            </w:pPr>
          </w:p>
        </w:tc>
        <w:tc>
          <w:tcPr>
            <w:tcW w:w="876" w:type="dxa"/>
            <w:vMerge w:val="restart"/>
            <w:tcBorders>
              <w:top w:val="single" w:sz="2" w:space="0" w:color="auto"/>
              <w:left w:val="single" w:sz="2" w:space="0" w:color="auto"/>
              <w:right w:val="single" w:sz="2" w:space="0" w:color="auto"/>
            </w:tcBorders>
            <w:vAlign w:val="center"/>
          </w:tcPr>
          <w:p w:rsidR="00595F61" w:rsidRDefault="00595F61" w:rsidP="00595F61">
            <w:pPr>
              <w:spacing w:line="240" w:lineRule="exact"/>
              <w:jc w:val="right"/>
              <w:rPr>
                <w:rFonts w:ascii="宋体" w:eastAsia="宋体" w:hAnsi="宋体" w:cs="宋体"/>
                <w:sz w:val="18"/>
                <w:szCs w:val="18"/>
              </w:rPr>
            </w:pPr>
            <w:r w:rsidRPr="00E47B53">
              <w:rPr>
                <w:rFonts w:ascii="宋体" w:eastAsia="宋体" w:hAnsi="宋体" w:cs="宋体" w:hint="eastAsia"/>
                <w:sz w:val="18"/>
                <w:szCs w:val="18"/>
              </w:rPr>
              <w:t>91,090.00（该金额为终止的两个</w:t>
            </w:r>
            <w:proofErr w:type="gramStart"/>
            <w:r w:rsidRPr="00E47B53">
              <w:rPr>
                <w:rFonts w:ascii="宋体" w:eastAsia="宋体" w:hAnsi="宋体" w:cs="宋体" w:hint="eastAsia"/>
                <w:sz w:val="18"/>
                <w:szCs w:val="18"/>
              </w:rPr>
              <w:t>募投项目</w:t>
            </w:r>
            <w:proofErr w:type="gramEnd"/>
            <w:r w:rsidRPr="00E47B53">
              <w:rPr>
                <w:rFonts w:ascii="宋体" w:eastAsia="宋体" w:hAnsi="宋体" w:cs="宋体" w:hint="eastAsia"/>
                <w:sz w:val="18"/>
                <w:szCs w:val="18"/>
              </w:rPr>
              <w:t>合计85,959.26万元及所形成的利息收入、理财收入）</w:t>
            </w:r>
          </w:p>
        </w:tc>
        <w:tc>
          <w:tcPr>
            <w:tcW w:w="876" w:type="dxa"/>
            <w:tcBorders>
              <w:top w:val="single" w:sz="2" w:space="0" w:color="auto"/>
              <w:left w:val="single" w:sz="2" w:space="0" w:color="auto"/>
              <w:bottom w:val="single" w:sz="2" w:space="0" w:color="auto"/>
              <w:right w:val="single" w:sz="2" w:space="0" w:color="auto"/>
            </w:tcBorders>
            <w:vAlign w:val="center"/>
          </w:tcPr>
          <w:p w:rsidR="00595F61" w:rsidRDefault="00595F61" w:rsidP="00595F61">
            <w:pPr>
              <w:spacing w:line="240" w:lineRule="exact"/>
              <w:jc w:val="right"/>
              <w:rPr>
                <w:rFonts w:ascii="宋体" w:eastAsia="宋体" w:hAnsi="宋体" w:cs="宋体"/>
                <w:sz w:val="18"/>
                <w:szCs w:val="18"/>
              </w:rPr>
            </w:pPr>
            <w:r>
              <w:rPr>
                <w:rFonts w:ascii="宋体" w:eastAsia="宋体" w:hAnsi="宋体" w:cs="宋体" w:hint="eastAsia"/>
                <w:sz w:val="18"/>
                <w:szCs w:val="18"/>
              </w:rPr>
              <w:t>不适用</w:t>
            </w:r>
          </w:p>
        </w:tc>
        <w:tc>
          <w:tcPr>
            <w:tcW w:w="876" w:type="dxa"/>
            <w:tcBorders>
              <w:top w:val="single" w:sz="2" w:space="0" w:color="auto"/>
              <w:left w:val="single" w:sz="2" w:space="0" w:color="auto"/>
              <w:bottom w:val="single" w:sz="2" w:space="0" w:color="auto"/>
              <w:right w:val="single" w:sz="2" w:space="0" w:color="auto"/>
            </w:tcBorders>
            <w:vAlign w:val="center"/>
          </w:tcPr>
          <w:p w:rsidR="00595F61" w:rsidRDefault="00595F61" w:rsidP="00595F61">
            <w:pPr>
              <w:spacing w:line="240" w:lineRule="exact"/>
              <w:rPr>
                <w:rFonts w:ascii="宋体" w:eastAsia="宋体" w:hAnsi="宋体" w:cs="宋体"/>
                <w:sz w:val="18"/>
                <w:szCs w:val="18"/>
              </w:rPr>
            </w:pPr>
            <w:r>
              <w:rPr>
                <w:rFonts w:ascii="宋体" w:eastAsia="宋体" w:hAnsi="宋体" w:cs="宋体" w:hint="eastAsia"/>
                <w:sz w:val="18"/>
                <w:szCs w:val="18"/>
              </w:rPr>
              <w:t>不适用</w:t>
            </w:r>
          </w:p>
        </w:tc>
        <w:tc>
          <w:tcPr>
            <w:tcW w:w="876" w:type="dxa"/>
            <w:tcBorders>
              <w:top w:val="single" w:sz="2" w:space="0" w:color="auto"/>
              <w:left w:val="single" w:sz="2" w:space="0" w:color="auto"/>
              <w:bottom w:val="single" w:sz="2" w:space="0" w:color="auto"/>
              <w:right w:val="single" w:sz="2" w:space="0" w:color="auto"/>
            </w:tcBorders>
            <w:vAlign w:val="center"/>
          </w:tcPr>
          <w:p w:rsidR="00595F61" w:rsidRDefault="00595F61" w:rsidP="00595F6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76" w:type="dxa"/>
            <w:tcBorders>
              <w:top w:val="single" w:sz="2" w:space="0" w:color="auto"/>
              <w:left w:val="single" w:sz="2" w:space="0" w:color="auto"/>
              <w:bottom w:val="single" w:sz="2" w:space="0" w:color="auto"/>
              <w:right w:val="single" w:sz="2" w:space="0" w:color="auto"/>
            </w:tcBorders>
            <w:vAlign w:val="center"/>
          </w:tcPr>
          <w:p w:rsidR="00595F61" w:rsidRDefault="00595F61" w:rsidP="00595F61">
            <w:pPr>
              <w:spacing w:line="240" w:lineRule="exact"/>
              <w:rPr>
                <w:rFonts w:ascii="宋体" w:eastAsia="宋体" w:hAnsi="宋体" w:cs="宋体"/>
                <w:sz w:val="18"/>
                <w:szCs w:val="18"/>
              </w:rPr>
            </w:pPr>
            <w:r>
              <w:rPr>
                <w:rFonts w:ascii="宋体" w:eastAsia="宋体" w:hAnsi="宋体" w:cs="宋体"/>
                <w:sz w:val="18"/>
                <w:szCs w:val="18"/>
              </w:rPr>
              <w:t>不适用</w:t>
            </w:r>
          </w:p>
        </w:tc>
        <w:tc>
          <w:tcPr>
            <w:tcW w:w="879" w:type="dxa"/>
            <w:tcBorders>
              <w:top w:val="single" w:sz="2" w:space="0" w:color="auto"/>
              <w:left w:val="single" w:sz="2" w:space="0" w:color="auto"/>
              <w:bottom w:val="single" w:sz="2" w:space="0" w:color="auto"/>
              <w:right w:val="single" w:sz="2" w:space="0" w:color="auto"/>
            </w:tcBorders>
            <w:vAlign w:val="center"/>
          </w:tcPr>
          <w:p w:rsidR="00595F61" w:rsidRDefault="00595F61" w:rsidP="00595F61">
            <w:pPr>
              <w:spacing w:line="240" w:lineRule="exact"/>
              <w:rPr>
                <w:rFonts w:ascii="宋体" w:eastAsia="宋体" w:hAnsi="宋体" w:cs="宋体"/>
                <w:sz w:val="18"/>
                <w:szCs w:val="18"/>
              </w:rPr>
            </w:pPr>
            <w:r>
              <w:rPr>
                <w:rFonts w:ascii="宋体" w:eastAsia="宋体" w:hAnsi="宋体" w:cs="宋体"/>
                <w:sz w:val="18"/>
                <w:szCs w:val="18"/>
              </w:rPr>
              <w:t>是</w:t>
            </w:r>
          </w:p>
        </w:tc>
      </w:tr>
      <w:tr w:rsidR="00157EA0" w:rsidTr="00595F61">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595F61" w:rsidRDefault="00595F61" w:rsidP="00595F61">
            <w:pPr>
              <w:spacing w:line="240" w:lineRule="exact"/>
              <w:rPr>
                <w:rFonts w:ascii="宋体" w:eastAsia="宋体" w:hAnsi="宋体" w:cs="宋体"/>
                <w:sz w:val="18"/>
                <w:szCs w:val="18"/>
              </w:rPr>
            </w:pPr>
            <w:r>
              <w:rPr>
                <w:rFonts w:ascii="宋体" w:eastAsia="宋体" w:hAnsi="宋体" w:cs="宋体"/>
                <w:sz w:val="18"/>
                <w:szCs w:val="18"/>
              </w:rPr>
              <w:t>工业及服务机器人、智能物流系统产业化基地二期</w:t>
            </w:r>
          </w:p>
        </w:tc>
        <w:tc>
          <w:tcPr>
            <w:tcW w:w="793" w:type="dxa"/>
            <w:tcBorders>
              <w:top w:val="single" w:sz="2" w:space="0" w:color="auto"/>
              <w:left w:val="single" w:sz="2" w:space="0" w:color="auto"/>
              <w:bottom w:val="single" w:sz="2" w:space="0" w:color="auto"/>
              <w:right w:val="single" w:sz="2" w:space="0" w:color="auto"/>
            </w:tcBorders>
            <w:vAlign w:val="center"/>
          </w:tcPr>
          <w:p w:rsidR="00595F61" w:rsidRDefault="00595F61" w:rsidP="00595F61">
            <w:pPr>
              <w:spacing w:line="240" w:lineRule="exact"/>
              <w:rPr>
                <w:rFonts w:ascii="宋体" w:eastAsia="宋体" w:hAnsi="宋体" w:cs="宋体"/>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rsidR="00595F61" w:rsidRDefault="00595F61" w:rsidP="00595F61">
            <w:pPr>
              <w:spacing w:line="240" w:lineRule="exact"/>
              <w:jc w:val="right"/>
              <w:rPr>
                <w:rFonts w:ascii="宋体" w:eastAsia="宋体" w:hAnsi="宋体" w:cs="宋体"/>
                <w:sz w:val="18"/>
                <w:szCs w:val="18"/>
              </w:rPr>
            </w:pPr>
            <w:r>
              <w:rPr>
                <w:rFonts w:ascii="宋体" w:eastAsia="宋体" w:hAnsi="宋体" w:cs="宋体"/>
                <w:sz w:val="18"/>
                <w:szCs w:val="18"/>
              </w:rPr>
              <w:t>37,002.64</w:t>
            </w:r>
          </w:p>
        </w:tc>
        <w:tc>
          <w:tcPr>
            <w:tcW w:w="876" w:type="dxa"/>
            <w:tcBorders>
              <w:top w:val="single" w:sz="2" w:space="0" w:color="auto"/>
              <w:left w:val="single" w:sz="2" w:space="0" w:color="auto"/>
              <w:bottom w:val="single" w:sz="2" w:space="0" w:color="auto"/>
              <w:right w:val="single" w:sz="2" w:space="0" w:color="auto"/>
            </w:tcBorders>
            <w:vAlign w:val="center"/>
          </w:tcPr>
          <w:p w:rsidR="00595F61" w:rsidRDefault="00595F61" w:rsidP="00595F61">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595F61" w:rsidRDefault="00595F61" w:rsidP="00595F61">
            <w:pPr>
              <w:spacing w:line="240" w:lineRule="exact"/>
              <w:jc w:val="right"/>
              <w:rPr>
                <w:rFonts w:ascii="宋体" w:eastAsia="宋体" w:hAnsi="宋体" w:cs="宋体"/>
                <w:sz w:val="18"/>
                <w:szCs w:val="18"/>
              </w:rPr>
            </w:pPr>
          </w:p>
        </w:tc>
        <w:tc>
          <w:tcPr>
            <w:tcW w:w="876" w:type="dxa"/>
            <w:vMerge/>
            <w:tcBorders>
              <w:left w:val="single" w:sz="2" w:space="0" w:color="auto"/>
              <w:bottom w:val="single" w:sz="2" w:space="0" w:color="auto"/>
              <w:right w:val="single" w:sz="2" w:space="0" w:color="auto"/>
            </w:tcBorders>
            <w:vAlign w:val="center"/>
          </w:tcPr>
          <w:p w:rsidR="00595F61" w:rsidRDefault="00595F61" w:rsidP="00595F61">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595F61" w:rsidRDefault="00595F61" w:rsidP="00595F61">
            <w:pPr>
              <w:spacing w:line="240" w:lineRule="exact"/>
              <w:jc w:val="right"/>
              <w:rPr>
                <w:rFonts w:ascii="宋体" w:eastAsia="宋体" w:hAnsi="宋体" w:cs="宋体"/>
                <w:sz w:val="18"/>
                <w:szCs w:val="18"/>
              </w:rPr>
            </w:pPr>
            <w:r>
              <w:rPr>
                <w:rFonts w:ascii="宋体" w:eastAsia="宋体" w:hAnsi="宋体" w:cs="宋体" w:hint="eastAsia"/>
                <w:sz w:val="18"/>
                <w:szCs w:val="18"/>
              </w:rPr>
              <w:t>不适用</w:t>
            </w:r>
          </w:p>
        </w:tc>
        <w:tc>
          <w:tcPr>
            <w:tcW w:w="876" w:type="dxa"/>
            <w:tcBorders>
              <w:top w:val="single" w:sz="2" w:space="0" w:color="auto"/>
              <w:left w:val="single" w:sz="2" w:space="0" w:color="auto"/>
              <w:bottom w:val="single" w:sz="2" w:space="0" w:color="auto"/>
              <w:right w:val="single" w:sz="2" w:space="0" w:color="auto"/>
            </w:tcBorders>
            <w:vAlign w:val="center"/>
          </w:tcPr>
          <w:p w:rsidR="00595F61" w:rsidRDefault="00595F61" w:rsidP="00595F61">
            <w:pPr>
              <w:spacing w:line="240" w:lineRule="exact"/>
              <w:rPr>
                <w:rFonts w:ascii="宋体" w:eastAsia="宋体" w:hAnsi="宋体" w:cs="宋体"/>
                <w:sz w:val="18"/>
                <w:szCs w:val="18"/>
              </w:rPr>
            </w:pPr>
            <w:r>
              <w:rPr>
                <w:rFonts w:ascii="宋体" w:eastAsia="宋体" w:hAnsi="宋体" w:cs="宋体" w:hint="eastAsia"/>
                <w:sz w:val="18"/>
                <w:szCs w:val="18"/>
              </w:rPr>
              <w:t>不适用</w:t>
            </w:r>
          </w:p>
        </w:tc>
        <w:tc>
          <w:tcPr>
            <w:tcW w:w="876" w:type="dxa"/>
            <w:tcBorders>
              <w:top w:val="single" w:sz="2" w:space="0" w:color="auto"/>
              <w:left w:val="single" w:sz="2" w:space="0" w:color="auto"/>
              <w:bottom w:val="single" w:sz="2" w:space="0" w:color="auto"/>
              <w:right w:val="single" w:sz="2" w:space="0" w:color="auto"/>
            </w:tcBorders>
            <w:vAlign w:val="center"/>
          </w:tcPr>
          <w:p w:rsidR="00595F61" w:rsidRDefault="00595F61" w:rsidP="00595F6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76" w:type="dxa"/>
            <w:tcBorders>
              <w:top w:val="single" w:sz="2" w:space="0" w:color="auto"/>
              <w:left w:val="single" w:sz="2" w:space="0" w:color="auto"/>
              <w:bottom w:val="single" w:sz="2" w:space="0" w:color="auto"/>
              <w:right w:val="single" w:sz="2" w:space="0" w:color="auto"/>
            </w:tcBorders>
            <w:vAlign w:val="center"/>
          </w:tcPr>
          <w:p w:rsidR="00595F61" w:rsidRDefault="00595F61" w:rsidP="00595F61">
            <w:pPr>
              <w:spacing w:line="240" w:lineRule="exact"/>
              <w:rPr>
                <w:rFonts w:ascii="宋体" w:eastAsia="宋体" w:hAnsi="宋体" w:cs="宋体"/>
                <w:sz w:val="18"/>
                <w:szCs w:val="18"/>
              </w:rPr>
            </w:pPr>
            <w:r>
              <w:rPr>
                <w:rFonts w:ascii="宋体" w:eastAsia="宋体" w:hAnsi="宋体" w:cs="宋体"/>
                <w:sz w:val="18"/>
                <w:szCs w:val="18"/>
              </w:rPr>
              <w:t>不适用</w:t>
            </w:r>
          </w:p>
        </w:tc>
        <w:tc>
          <w:tcPr>
            <w:tcW w:w="879" w:type="dxa"/>
            <w:tcBorders>
              <w:top w:val="single" w:sz="2" w:space="0" w:color="auto"/>
              <w:left w:val="single" w:sz="2" w:space="0" w:color="auto"/>
              <w:bottom w:val="single" w:sz="2" w:space="0" w:color="auto"/>
              <w:right w:val="single" w:sz="2" w:space="0" w:color="auto"/>
            </w:tcBorders>
            <w:vAlign w:val="center"/>
          </w:tcPr>
          <w:p w:rsidR="00595F61" w:rsidRDefault="00595F61" w:rsidP="00595F61">
            <w:pPr>
              <w:spacing w:line="240" w:lineRule="exact"/>
              <w:rPr>
                <w:rFonts w:ascii="宋体" w:eastAsia="宋体" w:hAnsi="宋体" w:cs="宋体"/>
                <w:sz w:val="18"/>
                <w:szCs w:val="18"/>
              </w:rPr>
            </w:pPr>
            <w:r>
              <w:rPr>
                <w:rFonts w:ascii="宋体" w:eastAsia="宋体" w:hAnsi="宋体" w:cs="宋体"/>
                <w:sz w:val="18"/>
                <w:szCs w:val="18"/>
              </w:rPr>
              <w:t>是</w:t>
            </w:r>
          </w:p>
        </w:tc>
      </w:tr>
      <w:tr w:rsidR="00157EA0" w:rsidTr="00595F61">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595F61" w:rsidRDefault="00595F61" w:rsidP="00595F61">
            <w:pPr>
              <w:spacing w:line="240" w:lineRule="exact"/>
              <w:rPr>
                <w:rFonts w:ascii="宋体" w:eastAsia="宋体" w:hAnsi="宋体" w:cs="宋体"/>
                <w:sz w:val="18"/>
                <w:szCs w:val="18"/>
              </w:rPr>
            </w:pPr>
            <w:r>
              <w:rPr>
                <w:rFonts w:ascii="宋体" w:eastAsia="宋体" w:hAnsi="宋体" w:cs="宋体"/>
                <w:sz w:val="18"/>
                <w:szCs w:val="18"/>
              </w:rPr>
              <w:t>轮胎智慧工厂研发中心</w:t>
            </w:r>
          </w:p>
        </w:tc>
        <w:tc>
          <w:tcPr>
            <w:tcW w:w="793" w:type="dxa"/>
            <w:tcBorders>
              <w:top w:val="single" w:sz="2" w:space="0" w:color="auto"/>
              <w:left w:val="single" w:sz="2" w:space="0" w:color="auto"/>
              <w:bottom w:val="single" w:sz="2" w:space="0" w:color="auto"/>
              <w:right w:val="single" w:sz="2" w:space="0" w:color="auto"/>
            </w:tcBorders>
            <w:vAlign w:val="center"/>
          </w:tcPr>
          <w:p w:rsidR="00595F61" w:rsidRDefault="00595F61" w:rsidP="00595F61">
            <w:pPr>
              <w:spacing w:line="240" w:lineRule="exact"/>
              <w:rPr>
                <w:rFonts w:ascii="宋体" w:eastAsia="宋体" w:hAnsi="宋体" w:cs="宋体"/>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rsidR="00595F61" w:rsidRDefault="00595F61" w:rsidP="00595F61">
            <w:pPr>
              <w:spacing w:line="240" w:lineRule="exact"/>
              <w:jc w:val="right"/>
              <w:rPr>
                <w:rFonts w:ascii="宋体" w:eastAsia="宋体" w:hAnsi="宋体" w:cs="宋体"/>
                <w:sz w:val="18"/>
                <w:szCs w:val="18"/>
              </w:rPr>
            </w:pPr>
            <w:r>
              <w:rPr>
                <w:rFonts w:ascii="宋体" w:eastAsia="宋体" w:hAnsi="宋体" w:cs="宋体"/>
                <w:sz w:val="18"/>
                <w:szCs w:val="18"/>
              </w:rPr>
              <w:t>24,306.09</w:t>
            </w:r>
          </w:p>
        </w:tc>
        <w:tc>
          <w:tcPr>
            <w:tcW w:w="876" w:type="dxa"/>
            <w:tcBorders>
              <w:top w:val="single" w:sz="2" w:space="0" w:color="auto"/>
              <w:left w:val="single" w:sz="2" w:space="0" w:color="auto"/>
              <w:bottom w:val="single" w:sz="2" w:space="0" w:color="auto"/>
              <w:right w:val="single" w:sz="2" w:space="0" w:color="auto"/>
            </w:tcBorders>
            <w:vAlign w:val="center"/>
          </w:tcPr>
          <w:p w:rsidR="00595F61" w:rsidRDefault="00595F61" w:rsidP="00595F61">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595F61" w:rsidRDefault="00595F61" w:rsidP="00595F61">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595F61" w:rsidRDefault="00595F61" w:rsidP="00595F61">
            <w:pPr>
              <w:spacing w:line="240" w:lineRule="exact"/>
              <w:jc w:val="right"/>
              <w:rPr>
                <w:rFonts w:ascii="宋体" w:eastAsia="宋体" w:hAnsi="宋体" w:cs="宋体"/>
                <w:sz w:val="18"/>
                <w:szCs w:val="18"/>
              </w:rPr>
            </w:pPr>
            <w:r>
              <w:rPr>
                <w:rFonts w:ascii="宋体" w:eastAsia="宋体" w:hAnsi="宋体" w:cs="宋体"/>
                <w:sz w:val="18"/>
                <w:szCs w:val="18"/>
              </w:rPr>
              <w:t>2,427.11</w:t>
            </w:r>
          </w:p>
        </w:tc>
        <w:tc>
          <w:tcPr>
            <w:tcW w:w="876" w:type="dxa"/>
            <w:tcBorders>
              <w:top w:val="single" w:sz="2" w:space="0" w:color="auto"/>
              <w:left w:val="single" w:sz="2" w:space="0" w:color="auto"/>
              <w:bottom w:val="single" w:sz="2" w:space="0" w:color="auto"/>
              <w:right w:val="single" w:sz="2" w:space="0" w:color="auto"/>
            </w:tcBorders>
            <w:vAlign w:val="center"/>
          </w:tcPr>
          <w:p w:rsidR="00595F61" w:rsidRDefault="00595F61" w:rsidP="00595F61">
            <w:pPr>
              <w:spacing w:line="240" w:lineRule="exact"/>
              <w:jc w:val="right"/>
              <w:rPr>
                <w:rFonts w:ascii="宋体" w:eastAsia="宋体" w:hAnsi="宋体" w:cs="宋体"/>
                <w:sz w:val="18"/>
                <w:szCs w:val="18"/>
              </w:rPr>
            </w:pPr>
            <w:r>
              <w:rPr>
                <w:rFonts w:ascii="宋体" w:eastAsia="宋体" w:hAnsi="宋体" w:cs="宋体" w:hint="eastAsia"/>
                <w:sz w:val="18"/>
                <w:szCs w:val="18"/>
              </w:rPr>
              <w:t>不适用</w:t>
            </w:r>
          </w:p>
        </w:tc>
        <w:tc>
          <w:tcPr>
            <w:tcW w:w="876" w:type="dxa"/>
            <w:tcBorders>
              <w:top w:val="single" w:sz="2" w:space="0" w:color="auto"/>
              <w:left w:val="single" w:sz="2" w:space="0" w:color="auto"/>
              <w:bottom w:val="single" w:sz="2" w:space="0" w:color="auto"/>
              <w:right w:val="single" w:sz="2" w:space="0" w:color="auto"/>
            </w:tcBorders>
            <w:vAlign w:val="center"/>
          </w:tcPr>
          <w:p w:rsidR="00595F61" w:rsidRDefault="00595F61" w:rsidP="00595F61">
            <w:pPr>
              <w:spacing w:line="240" w:lineRule="exact"/>
              <w:rPr>
                <w:rFonts w:ascii="宋体" w:eastAsia="宋体" w:hAnsi="宋体" w:cs="宋体"/>
                <w:sz w:val="18"/>
                <w:szCs w:val="18"/>
              </w:rPr>
            </w:pPr>
            <w:r>
              <w:rPr>
                <w:rFonts w:ascii="宋体" w:eastAsia="宋体" w:hAnsi="宋体" w:cs="宋体" w:hint="eastAsia"/>
                <w:sz w:val="18"/>
                <w:szCs w:val="18"/>
              </w:rPr>
              <w:t>不适用</w:t>
            </w:r>
          </w:p>
        </w:tc>
        <w:tc>
          <w:tcPr>
            <w:tcW w:w="876" w:type="dxa"/>
            <w:tcBorders>
              <w:top w:val="single" w:sz="2" w:space="0" w:color="auto"/>
              <w:left w:val="single" w:sz="2" w:space="0" w:color="auto"/>
              <w:bottom w:val="single" w:sz="2" w:space="0" w:color="auto"/>
              <w:right w:val="single" w:sz="2" w:space="0" w:color="auto"/>
            </w:tcBorders>
            <w:vAlign w:val="center"/>
          </w:tcPr>
          <w:p w:rsidR="00595F61" w:rsidRDefault="00595F61" w:rsidP="00595F6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76" w:type="dxa"/>
            <w:tcBorders>
              <w:top w:val="single" w:sz="2" w:space="0" w:color="auto"/>
              <w:left w:val="single" w:sz="2" w:space="0" w:color="auto"/>
              <w:bottom w:val="single" w:sz="2" w:space="0" w:color="auto"/>
              <w:right w:val="single" w:sz="2" w:space="0" w:color="auto"/>
            </w:tcBorders>
            <w:vAlign w:val="center"/>
          </w:tcPr>
          <w:p w:rsidR="00595F61" w:rsidRDefault="00595F61" w:rsidP="00595F61">
            <w:pPr>
              <w:spacing w:line="240" w:lineRule="exact"/>
              <w:rPr>
                <w:rFonts w:ascii="宋体" w:eastAsia="宋体" w:hAnsi="宋体" w:cs="宋体"/>
                <w:sz w:val="18"/>
                <w:szCs w:val="18"/>
              </w:rPr>
            </w:pPr>
            <w:r>
              <w:rPr>
                <w:rFonts w:ascii="宋体" w:eastAsia="宋体" w:hAnsi="宋体" w:cs="宋体"/>
                <w:sz w:val="18"/>
                <w:szCs w:val="18"/>
              </w:rPr>
              <w:t>不适用</w:t>
            </w:r>
          </w:p>
        </w:tc>
        <w:tc>
          <w:tcPr>
            <w:tcW w:w="879" w:type="dxa"/>
            <w:tcBorders>
              <w:top w:val="single" w:sz="2" w:space="0" w:color="auto"/>
              <w:left w:val="single" w:sz="2" w:space="0" w:color="auto"/>
              <w:bottom w:val="single" w:sz="2" w:space="0" w:color="auto"/>
              <w:right w:val="single" w:sz="2" w:space="0" w:color="auto"/>
            </w:tcBorders>
            <w:vAlign w:val="center"/>
          </w:tcPr>
          <w:p w:rsidR="00595F61" w:rsidRDefault="00595F61" w:rsidP="00595F61">
            <w:pPr>
              <w:spacing w:line="240" w:lineRule="exact"/>
              <w:rPr>
                <w:rFonts w:ascii="宋体" w:eastAsia="宋体" w:hAnsi="宋体" w:cs="宋体"/>
                <w:sz w:val="18"/>
                <w:szCs w:val="18"/>
              </w:rPr>
            </w:pPr>
            <w:r>
              <w:rPr>
                <w:rFonts w:ascii="宋体" w:eastAsia="宋体" w:hAnsi="宋体" w:cs="宋体"/>
                <w:sz w:val="18"/>
                <w:szCs w:val="18"/>
              </w:rPr>
              <w:t>是</w:t>
            </w:r>
          </w:p>
        </w:tc>
      </w:tr>
      <w:tr w:rsidR="00157EA0" w:rsidTr="00595F61">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595F61" w:rsidRDefault="00595F61" w:rsidP="00595F61">
            <w:pPr>
              <w:spacing w:line="240" w:lineRule="exact"/>
              <w:rPr>
                <w:rFonts w:ascii="宋体" w:eastAsia="宋体" w:hAnsi="宋体" w:cs="宋体"/>
                <w:sz w:val="18"/>
                <w:szCs w:val="18"/>
              </w:rPr>
            </w:pPr>
            <w:r>
              <w:rPr>
                <w:rFonts w:ascii="宋体" w:eastAsia="宋体" w:hAnsi="宋体" w:cs="宋体"/>
                <w:sz w:val="18"/>
                <w:szCs w:val="18"/>
              </w:rPr>
              <w:t>智能轮胎应用技术中心</w:t>
            </w:r>
          </w:p>
        </w:tc>
        <w:tc>
          <w:tcPr>
            <w:tcW w:w="793" w:type="dxa"/>
            <w:tcBorders>
              <w:top w:val="single" w:sz="2" w:space="0" w:color="auto"/>
              <w:left w:val="single" w:sz="2" w:space="0" w:color="auto"/>
              <w:bottom w:val="single" w:sz="2" w:space="0" w:color="auto"/>
              <w:right w:val="single" w:sz="2" w:space="0" w:color="auto"/>
            </w:tcBorders>
            <w:vAlign w:val="center"/>
          </w:tcPr>
          <w:p w:rsidR="00595F61" w:rsidRDefault="00595F61" w:rsidP="00595F61">
            <w:pPr>
              <w:spacing w:line="240" w:lineRule="exact"/>
              <w:rPr>
                <w:rFonts w:ascii="宋体" w:eastAsia="宋体" w:hAnsi="宋体" w:cs="宋体"/>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rsidR="00595F61" w:rsidRDefault="00595F61" w:rsidP="00595F61">
            <w:pPr>
              <w:spacing w:line="240" w:lineRule="exact"/>
              <w:jc w:val="right"/>
              <w:rPr>
                <w:rFonts w:ascii="宋体" w:eastAsia="宋体" w:hAnsi="宋体" w:cs="宋体"/>
                <w:sz w:val="18"/>
                <w:szCs w:val="18"/>
              </w:rPr>
            </w:pPr>
            <w:r>
              <w:rPr>
                <w:rFonts w:ascii="宋体" w:eastAsia="宋体" w:hAnsi="宋体" w:cs="宋体"/>
                <w:sz w:val="18"/>
                <w:szCs w:val="18"/>
              </w:rPr>
              <w:t>14,316.7</w:t>
            </w:r>
          </w:p>
        </w:tc>
        <w:tc>
          <w:tcPr>
            <w:tcW w:w="876" w:type="dxa"/>
            <w:tcBorders>
              <w:top w:val="single" w:sz="2" w:space="0" w:color="auto"/>
              <w:left w:val="single" w:sz="2" w:space="0" w:color="auto"/>
              <w:bottom w:val="single" w:sz="2" w:space="0" w:color="auto"/>
              <w:right w:val="single" w:sz="2" w:space="0" w:color="auto"/>
            </w:tcBorders>
            <w:vAlign w:val="center"/>
          </w:tcPr>
          <w:p w:rsidR="00595F61" w:rsidRDefault="00595F61" w:rsidP="00595F61">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595F61" w:rsidRDefault="00595F61" w:rsidP="00595F61">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595F61" w:rsidRDefault="00595F61" w:rsidP="00595F6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76" w:type="dxa"/>
            <w:tcBorders>
              <w:top w:val="single" w:sz="2" w:space="0" w:color="auto"/>
              <w:left w:val="single" w:sz="2" w:space="0" w:color="auto"/>
              <w:bottom w:val="single" w:sz="2" w:space="0" w:color="auto"/>
              <w:right w:val="single" w:sz="2" w:space="0" w:color="auto"/>
            </w:tcBorders>
            <w:vAlign w:val="center"/>
          </w:tcPr>
          <w:p w:rsidR="00595F61" w:rsidRDefault="00595F61" w:rsidP="00595F61">
            <w:pPr>
              <w:spacing w:line="240" w:lineRule="exact"/>
              <w:jc w:val="right"/>
              <w:rPr>
                <w:rFonts w:ascii="宋体" w:eastAsia="宋体" w:hAnsi="宋体" w:cs="宋体"/>
                <w:sz w:val="18"/>
                <w:szCs w:val="18"/>
              </w:rPr>
            </w:pPr>
            <w:r>
              <w:rPr>
                <w:rFonts w:ascii="宋体" w:eastAsia="宋体" w:hAnsi="宋体" w:cs="宋体" w:hint="eastAsia"/>
                <w:sz w:val="18"/>
                <w:szCs w:val="18"/>
              </w:rPr>
              <w:t>不适用</w:t>
            </w:r>
          </w:p>
        </w:tc>
        <w:tc>
          <w:tcPr>
            <w:tcW w:w="876" w:type="dxa"/>
            <w:tcBorders>
              <w:top w:val="single" w:sz="2" w:space="0" w:color="auto"/>
              <w:left w:val="single" w:sz="2" w:space="0" w:color="auto"/>
              <w:bottom w:val="single" w:sz="2" w:space="0" w:color="auto"/>
              <w:right w:val="single" w:sz="2" w:space="0" w:color="auto"/>
            </w:tcBorders>
            <w:vAlign w:val="center"/>
          </w:tcPr>
          <w:p w:rsidR="00595F61" w:rsidRDefault="00595F61" w:rsidP="00595F61">
            <w:pPr>
              <w:spacing w:line="240" w:lineRule="exact"/>
              <w:rPr>
                <w:rFonts w:ascii="宋体" w:eastAsia="宋体" w:hAnsi="宋体" w:cs="宋体"/>
                <w:sz w:val="18"/>
                <w:szCs w:val="18"/>
              </w:rPr>
            </w:pPr>
            <w:r>
              <w:rPr>
                <w:rFonts w:ascii="宋体" w:eastAsia="宋体" w:hAnsi="宋体" w:cs="宋体" w:hint="eastAsia"/>
                <w:sz w:val="18"/>
                <w:szCs w:val="18"/>
              </w:rPr>
              <w:t>不适用</w:t>
            </w:r>
          </w:p>
        </w:tc>
        <w:tc>
          <w:tcPr>
            <w:tcW w:w="876" w:type="dxa"/>
            <w:tcBorders>
              <w:top w:val="single" w:sz="2" w:space="0" w:color="auto"/>
              <w:left w:val="single" w:sz="2" w:space="0" w:color="auto"/>
              <w:bottom w:val="single" w:sz="2" w:space="0" w:color="auto"/>
              <w:right w:val="single" w:sz="2" w:space="0" w:color="auto"/>
            </w:tcBorders>
            <w:vAlign w:val="center"/>
          </w:tcPr>
          <w:p w:rsidR="00595F61" w:rsidRDefault="00595F61" w:rsidP="00595F61">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76" w:type="dxa"/>
            <w:tcBorders>
              <w:top w:val="single" w:sz="2" w:space="0" w:color="auto"/>
              <w:left w:val="single" w:sz="2" w:space="0" w:color="auto"/>
              <w:bottom w:val="single" w:sz="2" w:space="0" w:color="auto"/>
              <w:right w:val="single" w:sz="2" w:space="0" w:color="auto"/>
            </w:tcBorders>
            <w:vAlign w:val="center"/>
          </w:tcPr>
          <w:p w:rsidR="00595F61" w:rsidRDefault="00595F61" w:rsidP="00595F61">
            <w:pPr>
              <w:spacing w:line="240" w:lineRule="exact"/>
              <w:rPr>
                <w:rFonts w:ascii="宋体" w:eastAsia="宋体" w:hAnsi="宋体" w:cs="宋体"/>
                <w:sz w:val="18"/>
                <w:szCs w:val="18"/>
              </w:rPr>
            </w:pPr>
            <w:r>
              <w:rPr>
                <w:rFonts w:ascii="宋体" w:eastAsia="宋体" w:hAnsi="宋体" w:cs="宋体"/>
                <w:sz w:val="18"/>
                <w:szCs w:val="18"/>
              </w:rPr>
              <w:t>不适用</w:t>
            </w:r>
          </w:p>
        </w:tc>
        <w:tc>
          <w:tcPr>
            <w:tcW w:w="879" w:type="dxa"/>
            <w:tcBorders>
              <w:top w:val="single" w:sz="2" w:space="0" w:color="auto"/>
              <w:left w:val="single" w:sz="2" w:space="0" w:color="auto"/>
              <w:bottom w:val="single" w:sz="2" w:space="0" w:color="auto"/>
              <w:right w:val="single" w:sz="2" w:space="0" w:color="auto"/>
            </w:tcBorders>
            <w:vAlign w:val="center"/>
          </w:tcPr>
          <w:p w:rsidR="00595F61" w:rsidRDefault="00595F61" w:rsidP="00595F61">
            <w:pPr>
              <w:spacing w:line="240" w:lineRule="exact"/>
              <w:rPr>
                <w:rFonts w:ascii="宋体" w:eastAsia="宋体" w:hAnsi="宋体" w:cs="宋体"/>
                <w:sz w:val="18"/>
                <w:szCs w:val="18"/>
              </w:rPr>
            </w:pPr>
            <w:r>
              <w:rPr>
                <w:rFonts w:ascii="宋体" w:eastAsia="宋体" w:hAnsi="宋体" w:cs="宋体"/>
                <w:sz w:val="18"/>
                <w:szCs w:val="18"/>
              </w:rPr>
              <w:t>是</w:t>
            </w:r>
          </w:p>
        </w:tc>
      </w:tr>
      <w:tr w:rsidR="00157EA0" w:rsidTr="00595F61">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碳五低碳综合利用绿色新材料项目</w:t>
            </w:r>
          </w:p>
        </w:tc>
        <w:tc>
          <w:tcPr>
            <w:tcW w:w="79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40,888.77</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29,091.45</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34,292.21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83.87%</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595F61">
            <w:pPr>
              <w:spacing w:line="240" w:lineRule="exact"/>
              <w:rPr>
                <w:rFonts w:ascii="宋体" w:eastAsia="宋体" w:hAnsi="宋体" w:cs="宋体"/>
                <w:sz w:val="18"/>
                <w:szCs w:val="18"/>
              </w:rPr>
            </w:pPr>
            <w:r>
              <w:rPr>
                <w:rFonts w:ascii="宋体" w:eastAsia="宋体" w:hAnsi="宋体" w:cs="宋体"/>
                <w:sz w:val="18"/>
                <w:szCs w:val="18"/>
              </w:rPr>
              <w:t>无</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87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rsidTr="00595F61">
        <w:trPr>
          <w:trHeight w:val="240"/>
        </w:trPr>
        <w:tc>
          <w:tcPr>
            <w:tcW w:w="95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承诺投资项目小计</w:t>
            </w:r>
          </w:p>
        </w:tc>
        <w:tc>
          <w:tcPr>
            <w:tcW w:w="79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124,582.05</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40,888.77</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29,091.45</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127,809.32</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87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r w:rsidR="00157EA0">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超募资金投向</w:t>
            </w:r>
          </w:p>
        </w:tc>
      </w:tr>
      <w:tr w:rsidR="00157EA0" w:rsidTr="00595F61">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无</w:t>
            </w:r>
          </w:p>
        </w:tc>
        <w:tc>
          <w:tcPr>
            <w:tcW w:w="79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9"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r>
      <w:tr w:rsidR="00157EA0" w:rsidTr="00595F61">
        <w:trPr>
          <w:trHeight w:val="240"/>
        </w:trPr>
        <w:tc>
          <w:tcPr>
            <w:tcW w:w="95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超募资金投向小计</w:t>
            </w:r>
          </w:p>
        </w:tc>
        <w:tc>
          <w:tcPr>
            <w:tcW w:w="79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87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r w:rsidR="00157EA0" w:rsidTr="00595F61">
        <w:trPr>
          <w:trHeight w:val="240"/>
        </w:trPr>
        <w:tc>
          <w:tcPr>
            <w:tcW w:w="95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79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124,582.05</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40,888.77</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29,091.45</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127,809.32</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87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r w:rsidR="00157EA0" w:rsidTr="00595F61">
        <w:trPr>
          <w:trHeight w:val="240"/>
        </w:trPr>
        <w:tc>
          <w:tcPr>
            <w:tcW w:w="95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分项目说明未达到计划进度、预计收益的情况和原因</w:t>
            </w:r>
            <w:r>
              <w:rPr>
                <w:rFonts w:ascii="宋体" w:eastAsia="宋体" w:hAnsi="宋体" w:cs="宋体"/>
                <w:sz w:val="18"/>
                <w:szCs w:val="18"/>
              </w:rPr>
              <w:lastRenderedPageBreak/>
              <w:t>（含“是否达到预计效益”选择“不适用”的原因）</w:t>
            </w:r>
          </w:p>
        </w:tc>
        <w:tc>
          <w:tcPr>
            <w:tcW w:w="8680" w:type="dxa"/>
            <w:gridSpan w:val="10"/>
            <w:tcBorders>
              <w:top w:val="single" w:sz="2" w:space="0" w:color="auto"/>
              <w:left w:val="single" w:sz="2" w:space="0" w:color="auto"/>
              <w:bottom w:val="single" w:sz="2" w:space="0" w:color="auto"/>
              <w:right w:val="single" w:sz="2" w:space="0" w:color="auto"/>
            </w:tcBorders>
            <w:vAlign w:val="center"/>
          </w:tcPr>
          <w:p w:rsidR="00BA0365" w:rsidRDefault="008D4B2E" w:rsidP="007370FD">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1、公司取消了 “工业及服务机器人、智能物流系统产业化基地二期”、“轮胎装备智能制造基地”</w:t>
            </w:r>
            <w:proofErr w:type="gramStart"/>
            <w:r>
              <w:rPr>
                <w:rFonts w:ascii="宋体" w:eastAsia="宋体" w:hAnsi="宋体" w:cs="宋体"/>
                <w:sz w:val="18"/>
                <w:szCs w:val="18"/>
              </w:rPr>
              <w:t>两个募投项目</w:t>
            </w:r>
            <w:proofErr w:type="gramEnd"/>
            <w:r>
              <w:rPr>
                <w:rFonts w:ascii="宋体" w:eastAsia="宋体" w:hAnsi="宋体" w:cs="宋体"/>
                <w:sz w:val="18"/>
                <w:szCs w:val="18"/>
              </w:rPr>
              <w:t>，并将其募集资金及利息收入、理财收入变更用途，用于偿还公司债券及银行贷款。</w:t>
            </w:r>
          </w:p>
          <w:p w:rsidR="00BA0365" w:rsidRDefault="008D4B2E" w:rsidP="007370FD">
            <w:pPr>
              <w:spacing w:before="100" w:after="100" w:line="240" w:lineRule="exact"/>
              <w:rPr>
                <w:rFonts w:ascii="宋体" w:eastAsia="宋体" w:hAnsi="宋体" w:cs="宋体"/>
                <w:sz w:val="18"/>
                <w:szCs w:val="18"/>
              </w:rPr>
            </w:pPr>
            <w:r>
              <w:rPr>
                <w:rFonts w:ascii="宋体" w:eastAsia="宋体" w:hAnsi="宋体" w:cs="宋体"/>
                <w:sz w:val="18"/>
                <w:szCs w:val="18"/>
              </w:rPr>
              <w:t>2、公司取消了“轮胎智慧工厂研发中心”、“智能轮胎应用技术中心”</w:t>
            </w:r>
            <w:proofErr w:type="gramStart"/>
            <w:r>
              <w:rPr>
                <w:rFonts w:ascii="宋体" w:eastAsia="宋体" w:hAnsi="宋体" w:cs="宋体"/>
                <w:sz w:val="18"/>
                <w:szCs w:val="18"/>
              </w:rPr>
              <w:t>两个募投项目</w:t>
            </w:r>
            <w:proofErr w:type="gramEnd"/>
            <w:r>
              <w:rPr>
                <w:rFonts w:ascii="宋体" w:eastAsia="宋体" w:hAnsi="宋体" w:cs="宋体"/>
                <w:sz w:val="18"/>
                <w:szCs w:val="18"/>
              </w:rPr>
              <w:t>，并将其募集资金及利息收入、理财收入变更用途，用于碳五低碳综合利用绿色新材料项目。</w:t>
            </w:r>
          </w:p>
          <w:p w:rsidR="00BA0365" w:rsidRDefault="008D4B2E" w:rsidP="007370FD">
            <w:pPr>
              <w:spacing w:before="100" w:after="100" w:line="240" w:lineRule="exact"/>
              <w:rPr>
                <w:rFonts w:ascii="宋体" w:eastAsia="宋体" w:hAnsi="宋体" w:cs="宋体"/>
                <w:sz w:val="18"/>
                <w:szCs w:val="18"/>
              </w:rPr>
            </w:pPr>
            <w:r>
              <w:rPr>
                <w:rFonts w:ascii="宋体" w:eastAsia="宋体" w:hAnsi="宋体" w:cs="宋体"/>
                <w:sz w:val="18"/>
                <w:szCs w:val="18"/>
              </w:rPr>
              <w:t>3、公司</w:t>
            </w:r>
            <w:proofErr w:type="gramStart"/>
            <w:r>
              <w:rPr>
                <w:rFonts w:ascii="宋体" w:eastAsia="宋体" w:hAnsi="宋体" w:cs="宋体"/>
                <w:sz w:val="18"/>
                <w:szCs w:val="18"/>
              </w:rPr>
              <w:t>目前募投项目</w:t>
            </w:r>
            <w:proofErr w:type="gramEnd"/>
            <w:r>
              <w:rPr>
                <w:rFonts w:ascii="宋体" w:eastAsia="宋体" w:hAnsi="宋体" w:cs="宋体"/>
                <w:sz w:val="18"/>
                <w:szCs w:val="18"/>
              </w:rPr>
              <w:t>“碳五低碳综合利用绿色新材料项目”，由于政府前置手续制约，及地处盘锦冬季低</w:t>
            </w:r>
            <w:r>
              <w:rPr>
                <w:rFonts w:ascii="宋体" w:eastAsia="宋体" w:hAnsi="宋体" w:cs="宋体"/>
                <w:sz w:val="18"/>
                <w:szCs w:val="18"/>
              </w:rPr>
              <w:lastRenderedPageBreak/>
              <w:t>温无法施工的原因，原本计划于2023年完成施工，现预计于2024年下半年完工并开始投产。</w:t>
            </w:r>
          </w:p>
        </w:tc>
      </w:tr>
      <w:tr w:rsidR="00157EA0" w:rsidTr="00595F61">
        <w:trPr>
          <w:trHeight w:val="240"/>
        </w:trPr>
        <w:tc>
          <w:tcPr>
            <w:tcW w:w="95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lastRenderedPageBreak/>
              <w:t>项目可行性发生重大变化的情况说明</w:t>
            </w:r>
          </w:p>
        </w:tc>
        <w:tc>
          <w:tcPr>
            <w:tcW w:w="8680" w:type="dxa"/>
            <w:gridSpan w:val="10"/>
            <w:tcBorders>
              <w:top w:val="single" w:sz="2" w:space="0" w:color="auto"/>
              <w:left w:val="single" w:sz="2" w:space="0" w:color="auto"/>
              <w:bottom w:val="single" w:sz="2" w:space="0" w:color="auto"/>
              <w:right w:val="single" w:sz="2" w:space="0" w:color="auto"/>
            </w:tcBorders>
            <w:vAlign w:val="center"/>
          </w:tcPr>
          <w:p w:rsidR="00BA0365" w:rsidRDefault="008D4B2E" w:rsidP="007370FD">
            <w:pPr>
              <w:spacing w:before="100" w:after="100" w:line="240" w:lineRule="exact"/>
              <w:rPr>
                <w:rFonts w:ascii="宋体" w:eastAsia="宋体" w:hAnsi="宋体" w:cs="宋体"/>
                <w:sz w:val="18"/>
                <w:szCs w:val="18"/>
              </w:rPr>
            </w:pPr>
            <w:r>
              <w:rPr>
                <w:rFonts w:ascii="宋体" w:eastAsia="宋体" w:hAnsi="宋体" w:cs="宋体"/>
                <w:sz w:val="18"/>
                <w:szCs w:val="18"/>
              </w:rPr>
              <w:t>1、因公司及全资子公司转让科捷机器人86.34%的股权，科捷机器人系“工业机器人及智能物流系统产业化基地二期”项目实施主体，因此公司于2017年11月22日召开第六届董事会第十二次会议，以7票同意，0 票反对，0 票弃权审议通过了《关于签署股权转让协议暨取消“工业机器人及智能物流系统产业化基地二期”募投项目的议案》，该项议案已经2017年第四次临时股东大会审议通过，独立董事也发表了同意的独立意见。“工业机器人及智能物流系统产业化基地二期”</w:t>
            </w:r>
            <w:proofErr w:type="gramStart"/>
            <w:r>
              <w:rPr>
                <w:rFonts w:ascii="宋体" w:eastAsia="宋体" w:hAnsi="宋体" w:cs="宋体"/>
                <w:sz w:val="18"/>
                <w:szCs w:val="18"/>
              </w:rPr>
              <w:t>募投项目</w:t>
            </w:r>
            <w:proofErr w:type="gramEnd"/>
            <w:r>
              <w:rPr>
                <w:rFonts w:ascii="宋体" w:eastAsia="宋体" w:hAnsi="宋体" w:cs="宋体"/>
                <w:sz w:val="18"/>
                <w:szCs w:val="18"/>
              </w:rPr>
              <w:t>取消。</w:t>
            </w:r>
          </w:p>
          <w:p w:rsidR="00BA0365" w:rsidRDefault="008D4B2E" w:rsidP="007370FD">
            <w:pPr>
              <w:spacing w:before="100" w:after="100" w:line="240" w:lineRule="exact"/>
              <w:rPr>
                <w:rFonts w:ascii="宋体" w:eastAsia="宋体" w:hAnsi="宋体" w:cs="宋体"/>
                <w:sz w:val="18"/>
                <w:szCs w:val="18"/>
              </w:rPr>
            </w:pPr>
            <w:r>
              <w:rPr>
                <w:rFonts w:ascii="宋体" w:eastAsia="宋体" w:hAnsi="宋体" w:cs="宋体"/>
                <w:sz w:val="18"/>
                <w:szCs w:val="18"/>
              </w:rPr>
              <w:t>2、经过多年的较快增长，我国橡胶机械行业的增长速度近几年放缓。2018年以来经济全球化遭遇波折、中美贸易摩擦不断、国内经济增速持续放缓、国内汽车产销量较上年出现下滑，橡胶机械行业面临了诸多压力。在当前行业发展趋势和客观环境下，若盲目加大投入，资产加重，将导致公司折旧摊销费用等大幅增加，较大影响公司经营业绩。因此公司于2019年2月22日召开第六届董事会第二十次会议，以7票同意，0 票反对，0 票弃权审议通过了《关于终止部分募投项目并变更部分募集资金用于偿还公司债券及银行贷款的议案》，该项议案已经2019年第一次临时股东大会审议通过，独立董事也发表了同意的独立意见。“轮胎装备智能制造基地”</w:t>
            </w:r>
            <w:proofErr w:type="gramStart"/>
            <w:r>
              <w:rPr>
                <w:rFonts w:ascii="宋体" w:eastAsia="宋体" w:hAnsi="宋体" w:cs="宋体"/>
                <w:sz w:val="18"/>
                <w:szCs w:val="18"/>
              </w:rPr>
              <w:t>募投项目</w:t>
            </w:r>
            <w:proofErr w:type="gramEnd"/>
            <w:r>
              <w:rPr>
                <w:rFonts w:ascii="宋体" w:eastAsia="宋体" w:hAnsi="宋体" w:cs="宋体"/>
                <w:sz w:val="18"/>
                <w:szCs w:val="18"/>
              </w:rPr>
              <w:t>取消，同时将“工业及服务机器人、智能物流系统产业化基地二期”、“轮胎装备智能制造基地”</w:t>
            </w:r>
            <w:proofErr w:type="gramStart"/>
            <w:r>
              <w:rPr>
                <w:rFonts w:ascii="宋体" w:eastAsia="宋体" w:hAnsi="宋体" w:cs="宋体"/>
                <w:sz w:val="18"/>
                <w:szCs w:val="18"/>
              </w:rPr>
              <w:t>募投项目</w:t>
            </w:r>
            <w:proofErr w:type="gramEnd"/>
            <w:r>
              <w:rPr>
                <w:rFonts w:ascii="宋体" w:eastAsia="宋体" w:hAnsi="宋体" w:cs="宋体"/>
                <w:sz w:val="18"/>
                <w:szCs w:val="18"/>
              </w:rPr>
              <w:t>的募集资金及利息收入、理财收入所形成的全部金额（以资金转出当日银行结息后实际金额为准）用于偿还公司债券及银行贷款。其中公司将变更后募集资金中的59,959.26 万元及利息收入、理财收入所形成的全部金额偿还“16软控01”公司债；变更后募集资金中的26,000.00万元及利息收入、理财收入所形成的全部金额用于偿还公司部分银行贷款。</w:t>
            </w:r>
          </w:p>
          <w:p w:rsidR="00BA0365" w:rsidRDefault="008D4B2E" w:rsidP="007370FD">
            <w:pPr>
              <w:spacing w:before="100" w:after="100" w:line="240" w:lineRule="exact"/>
              <w:rPr>
                <w:rFonts w:ascii="宋体" w:eastAsia="宋体" w:hAnsi="宋体" w:cs="宋体"/>
                <w:sz w:val="18"/>
                <w:szCs w:val="18"/>
              </w:rPr>
            </w:pPr>
            <w:r>
              <w:rPr>
                <w:rFonts w:ascii="宋体" w:eastAsia="宋体" w:hAnsi="宋体" w:cs="宋体"/>
                <w:sz w:val="18"/>
                <w:szCs w:val="18"/>
              </w:rPr>
              <w:t>3、经济全球化遭遇波折、中美贸易摩擦不断、国内经济增速持续放缓、国内汽车产销量较往年出现下滑，橡胶机械行业面临了诸多压力。在当前行业发展趋势和客观环境下，若盲目加大投入，资产加重，将导致公司折旧摊销费用等大幅增加，较大影响公司经营业绩。因此公司于2022年4月22日召开第七届董事会第十九次会议及第七届监事会第十七次会议，审议通过《关于变更募集资金用途的议案》，终止使用募集资金投入“轮胎智慧工厂研发中心”项目及“智能轮胎应用技术中心”项目。原项目剩余未使用的募集资金将用于投入开展“碳五低碳综合利用绿色新材料项目”。</w:t>
            </w:r>
          </w:p>
        </w:tc>
      </w:tr>
      <w:tr w:rsidR="00157EA0" w:rsidTr="00595F61">
        <w:trPr>
          <w:trHeight w:val="240"/>
        </w:trPr>
        <w:tc>
          <w:tcPr>
            <w:tcW w:w="95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超募资金的金额、用途及使用进展情况</w:t>
            </w:r>
          </w:p>
        </w:tc>
        <w:tc>
          <w:tcPr>
            <w:tcW w:w="8680" w:type="dxa"/>
            <w:gridSpan w:val="10"/>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不适用</w:t>
            </w:r>
          </w:p>
        </w:tc>
      </w:tr>
      <w:tr w:rsidR="00157EA0" w:rsidTr="00595F61">
        <w:trPr>
          <w:trHeight w:val="240"/>
        </w:trPr>
        <w:tc>
          <w:tcPr>
            <w:tcW w:w="95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募集资金投资项目实施地点变更情况</w:t>
            </w:r>
          </w:p>
        </w:tc>
        <w:tc>
          <w:tcPr>
            <w:tcW w:w="8680" w:type="dxa"/>
            <w:gridSpan w:val="10"/>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适用</w:t>
            </w:r>
          </w:p>
        </w:tc>
      </w:tr>
      <w:tr w:rsidR="00157EA0" w:rsidTr="00595F61">
        <w:trPr>
          <w:trHeight w:val="240"/>
        </w:trPr>
        <w:tc>
          <w:tcPr>
            <w:tcW w:w="959"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8680" w:type="dxa"/>
            <w:gridSpan w:val="10"/>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以前年度发生</w:t>
            </w:r>
          </w:p>
        </w:tc>
      </w:tr>
      <w:tr w:rsidR="00157EA0" w:rsidTr="00595F61">
        <w:trPr>
          <w:trHeight w:val="240"/>
        </w:trPr>
        <w:tc>
          <w:tcPr>
            <w:tcW w:w="959"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8680" w:type="dxa"/>
            <w:gridSpan w:val="10"/>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原</w:t>
            </w:r>
            <w:proofErr w:type="gramStart"/>
            <w:r>
              <w:rPr>
                <w:rFonts w:ascii="宋体" w:eastAsia="宋体" w:hAnsi="宋体" w:cs="宋体"/>
                <w:sz w:val="18"/>
                <w:szCs w:val="18"/>
              </w:rPr>
              <w:t>募投项目</w:t>
            </w:r>
            <w:proofErr w:type="gramEnd"/>
            <w:r>
              <w:rPr>
                <w:rFonts w:ascii="宋体" w:eastAsia="宋体" w:hAnsi="宋体" w:cs="宋体"/>
                <w:sz w:val="18"/>
                <w:szCs w:val="18"/>
              </w:rPr>
              <w:t>的实施地点为山东青岛，变更后的</w:t>
            </w:r>
            <w:proofErr w:type="gramStart"/>
            <w:r>
              <w:rPr>
                <w:rFonts w:ascii="宋体" w:eastAsia="宋体" w:hAnsi="宋体" w:cs="宋体"/>
                <w:sz w:val="18"/>
                <w:szCs w:val="18"/>
              </w:rPr>
              <w:t>募投项目</w:t>
            </w:r>
            <w:proofErr w:type="gramEnd"/>
            <w:r>
              <w:rPr>
                <w:rFonts w:ascii="宋体" w:eastAsia="宋体" w:hAnsi="宋体" w:cs="宋体"/>
                <w:sz w:val="18"/>
                <w:szCs w:val="18"/>
              </w:rPr>
              <w:t>实施地点为辽宁</w:t>
            </w:r>
            <w:proofErr w:type="gramStart"/>
            <w:r>
              <w:rPr>
                <w:rFonts w:ascii="宋体" w:eastAsia="宋体" w:hAnsi="宋体" w:cs="宋体"/>
                <w:sz w:val="18"/>
                <w:szCs w:val="18"/>
              </w:rPr>
              <w:t>盘锦辽滨沿海</w:t>
            </w:r>
            <w:proofErr w:type="gramEnd"/>
            <w:r>
              <w:rPr>
                <w:rFonts w:ascii="宋体" w:eastAsia="宋体" w:hAnsi="宋体" w:cs="宋体"/>
                <w:sz w:val="18"/>
                <w:szCs w:val="18"/>
              </w:rPr>
              <w:t>经济技术开发区。</w:t>
            </w:r>
          </w:p>
        </w:tc>
      </w:tr>
      <w:tr w:rsidR="00157EA0" w:rsidTr="00595F61">
        <w:trPr>
          <w:trHeight w:val="240"/>
        </w:trPr>
        <w:tc>
          <w:tcPr>
            <w:tcW w:w="95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募集资金投资项目实施方式调整情况</w:t>
            </w:r>
          </w:p>
        </w:tc>
        <w:tc>
          <w:tcPr>
            <w:tcW w:w="8680" w:type="dxa"/>
            <w:gridSpan w:val="10"/>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适用</w:t>
            </w:r>
          </w:p>
        </w:tc>
      </w:tr>
      <w:tr w:rsidR="00157EA0" w:rsidTr="00595F61">
        <w:trPr>
          <w:trHeight w:val="240"/>
        </w:trPr>
        <w:tc>
          <w:tcPr>
            <w:tcW w:w="959"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8680" w:type="dxa"/>
            <w:gridSpan w:val="10"/>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以前年度发生</w:t>
            </w:r>
          </w:p>
        </w:tc>
      </w:tr>
      <w:tr w:rsidR="00157EA0" w:rsidTr="00595F61">
        <w:trPr>
          <w:trHeight w:val="240"/>
        </w:trPr>
        <w:tc>
          <w:tcPr>
            <w:tcW w:w="959"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8680" w:type="dxa"/>
            <w:gridSpan w:val="10"/>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公司于2022年4月22日召开第七届董事会第十九次会议及第七届监事会第十七次会议，审议通过《关于变更募集资金用途的议案》，终止使用募集资金投入“轮胎智慧工厂研发中心”项目及“智能轮胎应用技术中心”项目。原项目剩余未使用的募集资金将用于投入开展“碳五低碳综合利用绿色新材料项目”。</w:t>
            </w:r>
          </w:p>
        </w:tc>
      </w:tr>
      <w:tr w:rsidR="00157EA0" w:rsidTr="00595F61">
        <w:trPr>
          <w:trHeight w:val="240"/>
        </w:trPr>
        <w:tc>
          <w:tcPr>
            <w:tcW w:w="95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募集资金投资项目先期投入及置换情况</w:t>
            </w:r>
          </w:p>
        </w:tc>
        <w:tc>
          <w:tcPr>
            <w:tcW w:w="8680" w:type="dxa"/>
            <w:gridSpan w:val="10"/>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不适用</w:t>
            </w:r>
          </w:p>
        </w:tc>
      </w:tr>
      <w:tr w:rsidR="00157EA0" w:rsidTr="00595F61">
        <w:trPr>
          <w:trHeight w:val="240"/>
        </w:trPr>
        <w:tc>
          <w:tcPr>
            <w:tcW w:w="95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用闲置募集资金暂时补充流动资金情况</w:t>
            </w:r>
          </w:p>
        </w:tc>
        <w:tc>
          <w:tcPr>
            <w:tcW w:w="8680" w:type="dxa"/>
            <w:gridSpan w:val="10"/>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不适用</w:t>
            </w:r>
          </w:p>
        </w:tc>
      </w:tr>
      <w:tr w:rsidR="00157EA0" w:rsidTr="00595F61">
        <w:trPr>
          <w:trHeight w:val="240"/>
        </w:trPr>
        <w:tc>
          <w:tcPr>
            <w:tcW w:w="95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项目实施出现募集</w:t>
            </w:r>
            <w:r>
              <w:rPr>
                <w:rFonts w:ascii="宋体" w:eastAsia="宋体" w:hAnsi="宋体" w:cs="宋体"/>
                <w:sz w:val="18"/>
                <w:szCs w:val="18"/>
              </w:rPr>
              <w:lastRenderedPageBreak/>
              <w:t>资金结余的金额及原因</w:t>
            </w:r>
          </w:p>
        </w:tc>
        <w:tc>
          <w:tcPr>
            <w:tcW w:w="8680" w:type="dxa"/>
            <w:gridSpan w:val="10"/>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lastRenderedPageBreak/>
              <w:t>不适用</w:t>
            </w:r>
          </w:p>
        </w:tc>
      </w:tr>
      <w:tr w:rsidR="00157EA0" w:rsidTr="00595F61">
        <w:trPr>
          <w:trHeight w:val="240"/>
        </w:trPr>
        <w:tc>
          <w:tcPr>
            <w:tcW w:w="95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尚未使用的募集资金用途及去向</w:t>
            </w:r>
          </w:p>
        </w:tc>
        <w:tc>
          <w:tcPr>
            <w:tcW w:w="8680" w:type="dxa"/>
            <w:gridSpan w:val="10"/>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截至2023年12月31日，公司募集资金全部放于募集资金专户中。</w:t>
            </w:r>
          </w:p>
        </w:tc>
      </w:tr>
      <w:tr w:rsidR="00157EA0" w:rsidTr="00595F61">
        <w:trPr>
          <w:trHeight w:val="240"/>
        </w:trPr>
        <w:tc>
          <w:tcPr>
            <w:tcW w:w="95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募集资金使用及披露中存在的问题或其他情况</w:t>
            </w:r>
          </w:p>
        </w:tc>
        <w:tc>
          <w:tcPr>
            <w:tcW w:w="8680" w:type="dxa"/>
            <w:gridSpan w:val="10"/>
            <w:tcBorders>
              <w:top w:val="single" w:sz="2" w:space="0" w:color="auto"/>
              <w:left w:val="single" w:sz="2" w:space="0" w:color="auto"/>
              <w:bottom w:val="single" w:sz="2" w:space="0" w:color="auto"/>
              <w:right w:val="single" w:sz="2" w:space="0" w:color="auto"/>
            </w:tcBorders>
            <w:vAlign w:val="center"/>
          </w:tcPr>
          <w:p w:rsidR="00BA0365" w:rsidRDefault="008D4B2E" w:rsidP="007370FD">
            <w:pPr>
              <w:pStyle w:val="a3"/>
              <w:spacing w:before="0" w:beforeAutospacing="0" w:after="0" w:afterAutospacing="0"/>
              <w:ind w:firstLine="420"/>
              <w:rPr>
                <w:sz w:val="18"/>
                <w:szCs w:val="18"/>
              </w:rPr>
            </w:pPr>
            <w:r>
              <w:rPr>
                <w:sz w:val="18"/>
                <w:szCs w:val="18"/>
              </w:rPr>
              <w:t>公司于2022年5月27日召开第八届董事会第一次会议和第八届监事会第一次会议,分别审议通过了《关于使用部分暂时闲置募集资金进行现金管理的议案》，该次使用募集资金进行现金管理的授权有效期为第八届董事会第一次会议授权之日起12个月内有效。在上述有效期之外，在未经董事会授权情况下，公司使用部分暂时闲置募集资金15,000万元进行现金管理，公司于2023年8月28日召开第八届董事会第十一次会议、第八届监事会第十三次会议审议《关于使用部分暂时闲置募集资金进行现金管理及追认使用部分闲置募集资金进行现金管理的议案》，董事会对超过授权期限使用暂时闲置募集资金现金管理的情况进行了追认，《关于使用部分暂时闲置募集资金进行现金管理及追认使用部分闲置募集资金进行现金管理的公告》详见巨潮资讯网（http://www.cninfo.com.cn）及《证券时报》《中国证券报》《上海证券报》《证券日报》。</w:t>
            </w:r>
          </w:p>
        </w:tc>
      </w:tr>
    </w:tbl>
    <w:p w:rsidR="00BA0365" w:rsidRDefault="008D4B2E">
      <w:pPr>
        <w:keepNext/>
        <w:keepLines/>
        <w:spacing w:before="300" w:after="300" w:line="280" w:lineRule="exact"/>
        <w:outlineLvl w:val="3"/>
        <w:rPr>
          <w:rFonts w:ascii="宋体" w:eastAsia="宋体" w:hAnsi="宋体" w:cs="宋体"/>
          <w:b/>
          <w:bCs/>
          <w:sz w:val="18"/>
          <w:szCs w:val="18"/>
        </w:rPr>
      </w:pPr>
      <w:bookmarkStart w:id="46" w:name="_Toc988935"/>
      <w:r>
        <w:rPr>
          <w:rFonts w:ascii="宋体" w:eastAsia="宋体" w:hAnsi="宋体" w:cs="宋体"/>
          <w:b/>
          <w:bCs/>
          <w:sz w:val="18"/>
          <w:szCs w:val="18"/>
        </w:rPr>
        <w:t>（3） 募集资金变更项目情况</w:t>
      </w:r>
      <w:bookmarkEnd w:id="46"/>
    </w:p>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公司报告期不存在募集资金变更项目情况。</w:t>
      </w:r>
    </w:p>
    <w:p w:rsidR="00BA0365" w:rsidRDefault="008D4B2E">
      <w:pPr>
        <w:pStyle w:val="2"/>
        <w:spacing w:before="300" w:after="300" w:line="320" w:lineRule="exact"/>
        <w:rPr>
          <w:rFonts w:ascii="宋体" w:eastAsia="宋体" w:hAnsi="宋体" w:cs="宋体"/>
          <w:b/>
          <w:bCs/>
          <w:sz w:val="24"/>
          <w:szCs w:val="24"/>
        </w:rPr>
      </w:pPr>
      <w:bookmarkStart w:id="47" w:name="_Toc988936"/>
      <w:r>
        <w:rPr>
          <w:rFonts w:ascii="宋体" w:eastAsia="宋体" w:hAnsi="宋体" w:cs="宋体"/>
          <w:b/>
          <w:bCs/>
          <w:sz w:val="24"/>
          <w:szCs w:val="24"/>
        </w:rPr>
        <w:t>八、重大资产和股权出售</w:t>
      </w:r>
      <w:bookmarkEnd w:id="47"/>
    </w:p>
    <w:p w:rsidR="00BA0365" w:rsidRDefault="008D4B2E">
      <w:pPr>
        <w:pStyle w:val="3"/>
        <w:spacing w:line="280" w:lineRule="exact"/>
        <w:jc w:val="left"/>
        <w:rPr>
          <w:rFonts w:ascii="宋体" w:hAnsi="宋体" w:cs="宋体"/>
          <w:b/>
          <w:bCs/>
        </w:rPr>
      </w:pPr>
      <w:bookmarkStart w:id="48" w:name="_Toc988937"/>
      <w:r>
        <w:rPr>
          <w:rFonts w:ascii="宋体" w:hAnsi="宋体" w:cs="宋体"/>
          <w:b/>
          <w:bCs/>
        </w:rPr>
        <w:t>1、出售重大资产情况</w:t>
      </w:r>
      <w:bookmarkEnd w:id="48"/>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公司报告期未出售重大资产。</w:t>
      </w:r>
    </w:p>
    <w:p w:rsidR="00BA0365" w:rsidRDefault="008D4B2E">
      <w:pPr>
        <w:pStyle w:val="3"/>
        <w:spacing w:line="280" w:lineRule="exact"/>
        <w:jc w:val="left"/>
        <w:rPr>
          <w:rFonts w:ascii="宋体" w:hAnsi="宋体" w:cs="宋体"/>
          <w:b/>
          <w:bCs/>
        </w:rPr>
      </w:pPr>
      <w:bookmarkStart w:id="49" w:name="_Toc988938"/>
      <w:r>
        <w:rPr>
          <w:rFonts w:ascii="宋体" w:hAnsi="宋体" w:cs="宋体"/>
          <w:b/>
          <w:bCs/>
        </w:rPr>
        <w:t>2、出售重大股权情况</w:t>
      </w:r>
      <w:bookmarkEnd w:id="49"/>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Layout w:type="fixed"/>
        <w:tblLook w:val="04A0" w:firstRow="1" w:lastRow="0" w:firstColumn="1" w:lastColumn="0" w:noHBand="0" w:noVBand="1"/>
      </w:tblPr>
      <w:tblGrid>
        <w:gridCol w:w="689"/>
        <w:gridCol w:w="689"/>
        <w:gridCol w:w="689"/>
        <w:gridCol w:w="689"/>
        <w:gridCol w:w="689"/>
        <w:gridCol w:w="689"/>
        <w:gridCol w:w="689"/>
        <w:gridCol w:w="688"/>
        <w:gridCol w:w="688"/>
        <w:gridCol w:w="688"/>
        <w:gridCol w:w="688"/>
        <w:gridCol w:w="688"/>
        <w:gridCol w:w="688"/>
        <w:gridCol w:w="688"/>
      </w:tblGrid>
      <w:tr w:rsidR="00157EA0">
        <w:trPr>
          <w:trHeight w:val="240"/>
        </w:trPr>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交易对方</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被出售股权</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出售日</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交易价格（万元）</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本期初起至出售日该股权为上市公司贡献的净利润（万元）</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出售对公司的影响</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股权出售为上市公司贡献的净利润占净利润总额的比例</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股权出售定价原则</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是否为关联交易</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与交易对方的关联关系</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所涉及的股权是否已全部过户</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是否按计划如期实施，如未按计划实施，应当说明原因及公司已采取的措施</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披露日期</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披露索引</w:t>
            </w:r>
          </w:p>
        </w:tc>
      </w:tr>
      <w:tr w:rsidR="00157EA0">
        <w:trPr>
          <w:trHeight w:val="240"/>
        </w:trPr>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科捷智能科技股份</w:t>
            </w:r>
            <w:r>
              <w:rPr>
                <w:rFonts w:ascii="宋体" w:eastAsia="宋体" w:hAnsi="宋体" w:cs="宋体"/>
                <w:sz w:val="18"/>
                <w:szCs w:val="18"/>
              </w:rPr>
              <w:lastRenderedPageBreak/>
              <w:t>有限公司</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lastRenderedPageBreak/>
              <w:t>青岛软控智能装备</w:t>
            </w:r>
            <w:r>
              <w:rPr>
                <w:rFonts w:ascii="宋体" w:eastAsia="宋体" w:hAnsi="宋体" w:cs="宋体"/>
                <w:sz w:val="18"/>
                <w:szCs w:val="18"/>
              </w:rPr>
              <w:lastRenderedPageBreak/>
              <w:t>有限公司</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lastRenderedPageBreak/>
              <w:t>2023年05月31日</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5,100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-23.83</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2,149.52万元</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5.44%</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协商确定</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是</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是</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2023年04月26日</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《关于转让全资子</w:t>
            </w:r>
            <w:r>
              <w:rPr>
                <w:rFonts w:ascii="宋体" w:eastAsia="宋体" w:hAnsi="宋体" w:cs="宋体"/>
                <w:sz w:val="18"/>
                <w:szCs w:val="18"/>
              </w:rPr>
              <w:lastRenderedPageBreak/>
              <w:t>公司股权的公告》（公告编号：2023-026）</w:t>
            </w:r>
          </w:p>
        </w:tc>
      </w:tr>
    </w:tbl>
    <w:p w:rsidR="00BA0365" w:rsidRDefault="008D4B2E">
      <w:pPr>
        <w:pStyle w:val="2"/>
        <w:spacing w:before="300" w:after="300" w:line="320" w:lineRule="exact"/>
        <w:rPr>
          <w:rFonts w:ascii="宋体" w:eastAsia="宋体" w:hAnsi="宋体" w:cs="宋体"/>
          <w:b/>
          <w:bCs/>
          <w:sz w:val="24"/>
          <w:szCs w:val="24"/>
        </w:rPr>
      </w:pPr>
      <w:bookmarkStart w:id="50" w:name="_Toc988939"/>
      <w:r>
        <w:rPr>
          <w:rFonts w:ascii="宋体" w:eastAsia="宋体" w:hAnsi="宋体" w:cs="宋体"/>
          <w:b/>
          <w:bCs/>
          <w:sz w:val="24"/>
          <w:szCs w:val="24"/>
        </w:rPr>
        <w:lastRenderedPageBreak/>
        <w:t>九、主要控股参股公司分析</w:t>
      </w:r>
      <w:bookmarkEnd w:id="50"/>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主要子公司及对公司净利润</w:t>
      </w:r>
      <w:proofErr w:type="gramStart"/>
      <w:r>
        <w:rPr>
          <w:rFonts w:ascii="宋体" w:eastAsia="宋体" w:hAnsi="宋体" w:cs="宋体"/>
          <w:sz w:val="18"/>
          <w:szCs w:val="18"/>
        </w:rPr>
        <w:t>影响达</w:t>
      </w:r>
      <w:proofErr w:type="gramEnd"/>
      <w:r>
        <w:rPr>
          <w:rFonts w:ascii="宋体" w:eastAsia="宋体" w:hAnsi="宋体" w:cs="宋体"/>
          <w:sz w:val="18"/>
          <w:szCs w:val="18"/>
        </w:rPr>
        <w:t>10%以上的参股公司情况</w:t>
      </w:r>
    </w:p>
    <w:p w:rsidR="00BA0365" w:rsidRDefault="008D4B2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1071"/>
        <w:gridCol w:w="1071"/>
        <w:gridCol w:w="1071"/>
        <w:gridCol w:w="1071"/>
        <w:gridCol w:w="1071"/>
        <w:gridCol w:w="1071"/>
        <w:gridCol w:w="1071"/>
        <w:gridCol w:w="1071"/>
        <w:gridCol w:w="1071"/>
      </w:tblGrid>
      <w:tr w:rsidR="00157EA0">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公司名称</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公司类型</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主要业务</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注册资本</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总资产</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净资产</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营业利润</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净利润</w:t>
            </w:r>
          </w:p>
        </w:tc>
      </w:tr>
      <w:tr w:rsidR="00157EA0">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青岛软控机电工程</w:t>
            </w:r>
            <w:proofErr w:type="gramEnd"/>
            <w:r>
              <w:rPr>
                <w:rFonts w:ascii="宋体" w:eastAsia="宋体" w:hAnsi="宋体" w:cs="宋体"/>
                <w:sz w:val="18"/>
                <w:szCs w:val="18"/>
              </w:rPr>
              <w:t>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子公司</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同营业执照的“营业范围”</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1,200,000,000.00</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9,077,928,543.43</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2,555,280,745.03</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2,987,817,556.92</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171,429,599.09</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169,097,446.26</w:t>
            </w:r>
          </w:p>
        </w:tc>
      </w:tr>
      <w:tr w:rsidR="00157EA0">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浙江软控智能科技股份有限公司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子公司</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同营业执照的“营业范围”</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50,000,000.00</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1,725,106,178.77</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122,180,156.58</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555,463,047.90</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83,499,818.70</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74,004,125.62</w:t>
            </w:r>
          </w:p>
        </w:tc>
      </w:tr>
    </w:tbl>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报告期内取得和处置子公司的情况</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Layout w:type="fixed"/>
        <w:tblLook w:val="04A0" w:firstRow="1" w:lastRow="0" w:firstColumn="1" w:lastColumn="0" w:noHBand="0" w:noVBand="1"/>
      </w:tblPr>
      <w:tblGrid>
        <w:gridCol w:w="3652"/>
        <w:gridCol w:w="2774"/>
        <w:gridCol w:w="3213"/>
      </w:tblGrid>
      <w:tr w:rsidR="00157EA0" w:rsidTr="00832133">
        <w:trPr>
          <w:trHeight w:val="240"/>
        </w:trPr>
        <w:tc>
          <w:tcPr>
            <w:tcW w:w="365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公司名称</w:t>
            </w:r>
          </w:p>
        </w:tc>
        <w:tc>
          <w:tcPr>
            <w:tcW w:w="2774"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报告期内取得和处置子公司方式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对整体生产经营和业绩的影响</w:t>
            </w:r>
          </w:p>
        </w:tc>
      </w:tr>
      <w:tr w:rsidR="00157EA0" w:rsidTr="00832133">
        <w:trPr>
          <w:trHeight w:val="240"/>
        </w:trPr>
        <w:tc>
          <w:tcPr>
            <w:tcW w:w="365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青岛软控智能装备有限公司</w:t>
            </w:r>
          </w:p>
        </w:tc>
        <w:tc>
          <w:tcPr>
            <w:tcW w:w="277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出售</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无重大影响</w:t>
            </w:r>
          </w:p>
        </w:tc>
      </w:tr>
      <w:tr w:rsidR="00157EA0" w:rsidTr="00832133">
        <w:trPr>
          <w:trHeight w:val="240"/>
        </w:trPr>
        <w:tc>
          <w:tcPr>
            <w:tcW w:w="365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HKZQ ENERGY AND TECHNOLOGY CO., LTD.</w:t>
            </w:r>
          </w:p>
        </w:tc>
        <w:tc>
          <w:tcPr>
            <w:tcW w:w="277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新设成立</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无重大影响</w:t>
            </w:r>
          </w:p>
        </w:tc>
      </w:tr>
      <w:tr w:rsidR="00157EA0" w:rsidTr="00832133">
        <w:trPr>
          <w:trHeight w:val="240"/>
        </w:trPr>
        <w:tc>
          <w:tcPr>
            <w:tcW w:w="365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德州智控新能源</w:t>
            </w:r>
            <w:proofErr w:type="gramEnd"/>
            <w:r>
              <w:rPr>
                <w:rFonts w:ascii="宋体" w:eastAsia="宋体" w:hAnsi="宋体" w:cs="宋体"/>
                <w:sz w:val="18"/>
                <w:szCs w:val="18"/>
              </w:rPr>
              <w:t>发展有限公司</w:t>
            </w:r>
          </w:p>
        </w:tc>
        <w:tc>
          <w:tcPr>
            <w:tcW w:w="277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新设成立</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无重大影响</w:t>
            </w:r>
          </w:p>
        </w:tc>
      </w:tr>
      <w:tr w:rsidR="00157EA0" w:rsidTr="00832133">
        <w:trPr>
          <w:trHeight w:val="240"/>
        </w:trPr>
        <w:tc>
          <w:tcPr>
            <w:tcW w:w="365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菏泽智控能源</w:t>
            </w:r>
            <w:proofErr w:type="gramEnd"/>
            <w:r>
              <w:rPr>
                <w:rFonts w:ascii="宋体" w:eastAsia="宋体" w:hAnsi="宋体" w:cs="宋体"/>
                <w:sz w:val="18"/>
                <w:szCs w:val="18"/>
              </w:rPr>
              <w:t>发展有限公司</w:t>
            </w:r>
          </w:p>
        </w:tc>
        <w:tc>
          <w:tcPr>
            <w:tcW w:w="277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新设成立</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无重大影响</w:t>
            </w:r>
          </w:p>
        </w:tc>
      </w:tr>
    </w:tbl>
    <w:p w:rsidR="00BA0365" w:rsidRDefault="008D4B2E">
      <w:pPr>
        <w:pStyle w:val="2"/>
        <w:spacing w:before="300" w:after="300" w:line="320" w:lineRule="exact"/>
        <w:rPr>
          <w:rFonts w:ascii="宋体" w:eastAsia="宋体" w:hAnsi="宋体" w:cs="宋体"/>
          <w:b/>
          <w:bCs/>
          <w:sz w:val="24"/>
          <w:szCs w:val="24"/>
        </w:rPr>
      </w:pPr>
      <w:bookmarkStart w:id="51" w:name="_Toc988940"/>
      <w:r>
        <w:rPr>
          <w:rFonts w:ascii="宋体" w:eastAsia="宋体" w:hAnsi="宋体" w:cs="宋体"/>
          <w:b/>
          <w:bCs/>
          <w:sz w:val="24"/>
          <w:szCs w:val="24"/>
        </w:rPr>
        <w:t>十、公司控制的结构化主体情况</w:t>
      </w:r>
      <w:bookmarkEnd w:id="51"/>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pStyle w:val="2"/>
        <w:spacing w:before="300" w:after="300" w:line="320" w:lineRule="exact"/>
        <w:rPr>
          <w:rFonts w:ascii="宋体" w:eastAsia="宋体" w:hAnsi="宋体" w:cs="宋体"/>
          <w:b/>
          <w:bCs/>
          <w:sz w:val="24"/>
          <w:szCs w:val="24"/>
        </w:rPr>
      </w:pPr>
      <w:bookmarkStart w:id="52" w:name="_Toc988941"/>
      <w:r>
        <w:rPr>
          <w:rFonts w:ascii="宋体" w:eastAsia="宋体" w:hAnsi="宋体" w:cs="宋体"/>
          <w:b/>
          <w:bCs/>
          <w:sz w:val="24"/>
          <w:szCs w:val="24"/>
        </w:rPr>
        <w:t>十一、公司未来发展的展望</w:t>
      </w:r>
      <w:bookmarkEnd w:id="52"/>
    </w:p>
    <w:p w:rsidR="008D4B2E" w:rsidRDefault="008D4B2E">
      <w:pPr>
        <w:pStyle w:val="a3"/>
        <w:spacing w:before="0" w:beforeAutospacing="0" w:after="0" w:afterAutospacing="0"/>
        <w:ind w:firstLine="420"/>
        <w:divId w:val="481583381"/>
      </w:pPr>
      <w:r>
        <w:rPr>
          <w:rFonts w:hint="eastAsia"/>
          <w:sz w:val="18"/>
          <w:szCs w:val="18"/>
        </w:rPr>
        <w:t>公司2024发展战略及重点工作</w:t>
      </w:r>
    </w:p>
    <w:p w:rsidR="008D4B2E" w:rsidRDefault="008D4B2E">
      <w:pPr>
        <w:pStyle w:val="a3"/>
        <w:spacing w:before="0" w:beforeAutospacing="0" w:after="0" w:afterAutospacing="0"/>
        <w:ind w:firstLine="420"/>
        <w:divId w:val="481583381"/>
      </w:pPr>
      <w:r>
        <w:rPr>
          <w:rFonts w:hint="eastAsia"/>
          <w:sz w:val="18"/>
          <w:szCs w:val="18"/>
        </w:rPr>
        <w:t>2024年发展战略：公司在橡胶机械业务上整体保持稳步增长，确保领先的市场占有率，持续攻关海外高端市场，加大对新兴业务的投入，提升全球品牌能力。</w:t>
      </w:r>
    </w:p>
    <w:p w:rsidR="008D4B2E" w:rsidRDefault="008D4B2E">
      <w:pPr>
        <w:pStyle w:val="a3"/>
        <w:spacing w:before="0" w:beforeAutospacing="0" w:after="0" w:afterAutospacing="0"/>
        <w:ind w:firstLine="420"/>
        <w:divId w:val="481583381"/>
      </w:pPr>
      <w:r>
        <w:rPr>
          <w:rFonts w:hint="eastAsia"/>
          <w:sz w:val="18"/>
          <w:szCs w:val="18"/>
        </w:rPr>
        <w:t>1、市场方面</w:t>
      </w:r>
    </w:p>
    <w:p w:rsidR="008D4B2E" w:rsidRDefault="008D4B2E">
      <w:pPr>
        <w:pStyle w:val="a3"/>
        <w:spacing w:before="0" w:beforeAutospacing="0" w:after="0" w:afterAutospacing="0"/>
        <w:ind w:firstLine="420"/>
        <w:divId w:val="481583381"/>
      </w:pPr>
      <w:r>
        <w:rPr>
          <w:rFonts w:hint="eastAsia"/>
          <w:sz w:val="18"/>
          <w:szCs w:val="18"/>
        </w:rPr>
        <w:t>确保国内市场占有率，强化高端市场开拓，扩大订单份额，聚</w:t>
      </w:r>
      <w:proofErr w:type="gramStart"/>
      <w:r>
        <w:rPr>
          <w:rFonts w:hint="eastAsia"/>
          <w:sz w:val="18"/>
          <w:szCs w:val="18"/>
        </w:rPr>
        <w:t>力战略</w:t>
      </w:r>
      <w:proofErr w:type="gramEnd"/>
      <w:r>
        <w:rPr>
          <w:rFonts w:hint="eastAsia"/>
          <w:sz w:val="18"/>
          <w:szCs w:val="18"/>
        </w:rPr>
        <w:t>产品，形成能够支撑公司国际化的新战略支点，加强海外服务中心的管理和督导能力，以战略客户和重大项目客户为重点，增进客户粘性，提升客户满意度。</w:t>
      </w:r>
    </w:p>
    <w:p w:rsidR="008D4B2E" w:rsidRDefault="008D4B2E">
      <w:pPr>
        <w:pStyle w:val="a3"/>
        <w:spacing w:before="0" w:beforeAutospacing="0" w:after="0" w:afterAutospacing="0"/>
        <w:ind w:firstLine="420"/>
        <w:divId w:val="481583381"/>
      </w:pPr>
      <w:r>
        <w:rPr>
          <w:rFonts w:hint="eastAsia"/>
          <w:sz w:val="18"/>
          <w:szCs w:val="18"/>
        </w:rPr>
        <w:t>2、产品方面</w:t>
      </w:r>
    </w:p>
    <w:p w:rsidR="008D4B2E" w:rsidRDefault="008D4B2E">
      <w:pPr>
        <w:pStyle w:val="a3"/>
        <w:spacing w:before="0" w:beforeAutospacing="0" w:after="0" w:afterAutospacing="0"/>
        <w:ind w:firstLine="420"/>
        <w:divId w:val="481583381"/>
      </w:pPr>
      <w:r>
        <w:rPr>
          <w:rFonts w:hint="eastAsia"/>
          <w:sz w:val="18"/>
          <w:szCs w:val="18"/>
        </w:rPr>
        <w:t>持续加速具有可持续内生动力的产品研发战略，持续精进具有自主性、引领性的技术攻关战略，持续迭代具有系统支撑和引领的研发平台战略，联合推广自主化技术，提升市场竞争壁垒，夯实模块化与可靠性两个根基，实现产品发展再跨越。</w:t>
      </w:r>
    </w:p>
    <w:p w:rsidR="008D4B2E" w:rsidRDefault="008D4B2E">
      <w:pPr>
        <w:pStyle w:val="a3"/>
        <w:spacing w:before="0" w:beforeAutospacing="0" w:after="0" w:afterAutospacing="0"/>
        <w:ind w:firstLine="420"/>
        <w:divId w:val="481583381"/>
      </w:pPr>
      <w:r>
        <w:rPr>
          <w:rFonts w:hint="eastAsia"/>
          <w:sz w:val="18"/>
          <w:szCs w:val="18"/>
        </w:rPr>
        <w:t>3、质量方面</w:t>
      </w:r>
    </w:p>
    <w:p w:rsidR="008D4B2E" w:rsidRDefault="008D4B2E">
      <w:pPr>
        <w:pStyle w:val="a3"/>
        <w:spacing w:before="0" w:beforeAutospacing="0" w:after="0" w:afterAutospacing="0"/>
        <w:ind w:firstLine="420"/>
        <w:divId w:val="481583381"/>
      </w:pPr>
      <w:r>
        <w:rPr>
          <w:rFonts w:hint="eastAsia"/>
          <w:sz w:val="18"/>
          <w:szCs w:val="18"/>
        </w:rPr>
        <w:lastRenderedPageBreak/>
        <w:t>以质量问题为抓手，全面收集问题并闭环迭代；聚焦</w:t>
      </w:r>
      <w:proofErr w:type="gramStart"/>
      <w:r>
        <w:rPr>
          <w:rFonts w:hint="eastAsia"/>
          <w:sz w:val="18"/>
          <w:szCs w:val="18"/>
        </w:rPr>
        <w:t>制程质量管</w:t>
      </w:r>
      <w:proofErr w:type="gramEnd"/>
      <w:r>
        <w:rPr>
          <w:rFonts w:hint="eastAsia"/>
          <w:sz w:val="18"/>
          <w:szCs w:val="18"/>
        </w:rPr>
        <w:t>控，推进核心标准落地，提升供应质量管理能力，实现核心零部件质量可控，以提升客户质量体验为核心，有效解决售后质量问题，筑牢公司的质量工作地基。</w:t>
      </w:r>
    </w:p>
    <w:p w:rsidR="008D4B2E" w:rsidRDefault="008D4B2E">
      <w:pPr>
        <w:pStyle w:val="a3"/>
        <w:spacing w:before="0" w:beforeAutospacing="0" w:after="0" w:afterAutospacing="0"/>
        <w:ind w:firstLine="420"/>
        <w:divId w:val="481583381"/>
      </w:pPr>
      <w:r>
        <w:rPr>
          <w:rFonts w:hint="eastAsia"/>
          <w:sz w:val="18"/>
          <w:szCs w:val="18"/>
        </w:rPr>
        <w:t>4、生产与运营方面</w:t>
      </w:r>
    </w:p>
    <w:p w:rsidR="008D4B2E" w:rsidRDefault="008D4B2E">
      <w:pPr>
        <w:pStyle w:val="a3"/>
        <w:spacing w:before="0" w:beforeAutospacing="0" w:after="0" w:afterAutospacing="0"/>
        <w:ind w:firstLine="420"/>
        <w:divId w:val="481583381"/>
      </w:pPr>
      <w:r>
        <w:rPr>
          <w:rFonts w:hint="eastAsia"/>
          <w:sz w:val="18"/>
          <w:szCs w:val="18"/>
        </w:rPr>
        <w:t>升级供应链平台能力，丰富专业化加工业</w:t>
      </w:r>
      <w:proofErr w:type="gramStart"/>
      <w:r>
        <w:rPr>
          <w:rFonts w:hint="eastAsia"/>
          <w:sz w:val="18"/>
          <w:szCs w:val="18"/>
        </w:rPr>
        <w:t>务</w:t>
      </w:r>
      <w:proofErr w:type="gramEnd"/>
      <w:r>
        <w:rPr>
          <w:rFonts w:hint="eastAsia"/>
          <w:sz w:val="18"/>
          <w:szCs w:val="18"/>
        </w:rPr>
        <w:t>实践和落地场景，强化销产供协同，打通全链条计划流信息流，进一步理顺生产运营体系。以重点项目交付为核心抓手，规范项目管理标准，提升项目管理能力；持续发力各运营专项，完善运营规划和执行能力。</w:t>
      </w:r>
    </w:p>
    <w:p w:rsidR="008D4B2E" w:rsidRDefault="008D4B2E">
      <w:pPr>
        <w:pStyle w:val="a3"/>
        <w:spacing w:before="0" w:beforeAutospacing="0" w:after="0" w:afterAutospacing="0"/>
        <w:ind w:firstLine="420"/>
        <w:divId w:val="481583381"/>
      </w:pPr>
      <w:r>
        <w:rPr>
          <w:rFonts w:hint="eastAsia"/>
          <w:sz w:val="18"/>
          <w:szCs w:val="18"/>
        </w:rPr>
        <w:t>2024年，公司将守住初心，砥砺前行，在橡胶机械业务稳扎稳打，加大产品研发，改善客户结构，提升产品质量。未来公司将精耕橡胶行业智能制造，积极培育相关行业智能制造业务；同时围绕橡胶行业，以新材料为重点探索多元业务布局。</w:t>
      </w:r>
    </w:p>
    <w:p w:rsidR="008D4B2E" w:rsidRDefault="008D4B2E">
      <w:pPr>
        <w:pStyle w:val="a3"/>
        <w:spacing w:before="0" w:beforeAutospacing="0" w:after="0" w:afterAutospacing="0"/>
        <w:ind w:firstLine="420"/>
        <w:divId w:val="481583381"/>
      </w:pPr>
      <w:r>
        <w:rPr>
          <w:rFonts w:hint="eastAsia"/>
          <w:sz w:val="18"/>
          <w:szCs w:val="18"/>
        </w:rPr>
        <w:t>2024公司经营目标实现的主要风险因素以及应对措施</w:t>
      </w:r>
    </w:p>
    <w:p w:rsidR="008D4B2E" w:rsidRDefault="008D4B2E">
      <w:pPr>
        <w:pStyle w:val="a3"/>
        <w:spacing w:before="0" w:beforeAutospacing="0" w:after="0" w:afterAutospacing="0"/>
        <w:ind w:firstLine="420"/>
        <w:divId w:val="481583381"/>
      </w:pPr>
      <w:r>
        <w:rPr>
          <w:rFonts w:hint="eastAsia"/>
          <w:sz w:val="18"/>
          <w:szCs w:val="18"/>
        </w:rPr>
        <w:t>1、宏观市场经济环境风险及应对措施</w:t>
      </w:r>
    </w:p>
    <w:p w:rsidR="008D4B2E" w:rsidRDefault="008D4B2E">
      <w:pPr>
        <w:pStyle w:val="a3"/>
        <w:spacing w:before="0" w:beforeAutospacing="0" w:after="0" w:afterAutospacing="0"/>
        <w:ind w:firstLine="420"/>
        <w:divId w:val="481583381"/>
      </w:pPr>
      <w:r>
        <w:rPr>
          <w:rFonts w:hint="eastAsia"/>
          <w:sz w:val="18"/>
          <w:szCs w:val="18"/>
        </w:rPr>
        <w:t>面对近几年整体较为严峻的国内外宏观环境，国内外经济形势及政策不断变化，可能会影响到公司产品的销售和收入的增长。公司会及时制定应对国内外经济环境变化的有效防范机制，同时依托各项优势勤练内功，争取创造新的业绩增长点，并且密切关注宏观经营环境和政策的变化，积极快速的处理与应对其带来的风险和挑战。</w:t>
      </w:r>
    </w:p>
    <w:p w:rsidR="008D4B2E" w:rsidRDefault="008D4B2E">
      <w:pPr>
        <w:pStyle w:val="a3"/>
        <w:spacing w:before="0" w:beforeAutospacing="0" w:after="0" w:afterAutospacing="0"/>
        <w:ind w:firstLine="420"/>
        <w:divId w:val="481583381"/>
      </w:pPr>
      <w:r>
        <w:rPr>
          <w:rFonts w:hint="eastAsia"/>
          <w:sz w:val="18"/>
          <w:szCs w:val="18"/>
        </w:rPr>
        <w:t>2、市场竞争风险及应对措施</w:t>
      </w:r>
    </w:p>
    <w:p w:rsidR="008D4B2E" w:rsidRDefault="008D4B2E">
      <w:pPr>
        <w:pStyle w:val="a3"/>
        <w:spacing w:before="0" w:beforeAutospacing="0" w:after="0" w:afterAutospacing="0"/>
        <w:ind w:firstLine="420"/>
        <w:divId w:val="481583381"/>
      </w:pPr>
      <w:r>
        <w:rPr>
          <w:rFonts w:hint="eastAsia"/>
          <w:sz w:val="18"/>
          <w:szCs w:val="18"/>
        </w:rPr>
        <w:t>随着轮胎行业步入新的发展周期，市场竞争日趋激烈，会对公司带来一定风险。作为轮胎橡胶装备与系统的研发与制造的优势企业，公司在技术水平、市场份额、产销规模等方面与国内竞争对手相比具有比较强的竞争优势，抓住智能制造机遇，积极为构建智慧工厂提供解决方案，稳步推进橡胶机械装备板块“中高端”、“国际化”的发展战略。</w:t>
      </w:r>
    </w:p>
    <w:p w:rsidR="008D4B2E" w:rsidRDefault="008D4B2E">
      <w:pPr>
        <w:pStyle w:val="a3"/>
        <w:spacing w:before="0" w:beforeAutospacing="0" w:after="0" w:afterAutospacing="0"/>
        <w:ind w:firstLine="420"/>
        <w:divId w:val="481583381"/>
      </w:pPr>
      <w:r>
        <w:rPr>
          <w:rFonts w:hint="eastAsia"/>
          <w:sz w:val="18"/>
          <w:szCs w:val="18"/>
        </w:rPr>
        <w:t>3、应收账款回收的风险及应对措施</w:t>
      </w:r>
    </w:p>
    <w:p w:rsidR="00595F61" w:rsidRDefault="008D4B2E" w:rsidP="00595F61">
      <w:pPr>
        <w:pStyle w:val="a3"/>
        <w:spacing w:before="0" w:beforeAutospacing="0" w:after="0" w:afterAutospacing="0"/>
        <w:ind w:firstLine="420"/>
        <w:divId w:val="481583381"/>
      </w:pPr>
      <w:r>
        <w:rPr>
          <w:rFonts w:hint="eastAsia"/>
          <w:sz w:val="18"/>
          <w:szCs w:val="18"/>
        </w:rPr>
        <w:t>公司按相关会计准则规定，对应收账款足额计提坏账准备，符合历年经营规律，受市场竞争日趋激烈及环保政策等宏观环境影响，可能存在个别客户因资金周转等原因拖欠公司的货款。对此，公司将进一步依法完善应收账款管理办法，降低应收账款回收风险，持续优化公司资产质量。</w:t>
      </w:r>
    </w:p>
    <w:p w:rsidR="00595F61" w:rsidRDefault="008D4B2E" w:rsidP="00595F61">
      <w:pPr>
        <w:pStyle w:val="a3"/>
        <w:spacing w:before="0" w:beforeAutospacing="0" w:after="0" w:afterAutospacing="0"/>
        <w:ind w:firstLine="420"/>
        <w:divId w:val="481583381"/>
      </w:pPr>
      <w:r>
        <w:rPr>
          <w:rFonts w:ascii="Calibri" w:hAnsi="Calibri" w:cs="Calibri"/>
          <w:sz w:val="18"/>
          <w:szCs w:val="18"/>
        </w:rPr>
        <w:t> 4</w:t>
      </w:r>
      <w:r>
        <w:rPr>
          <w:rFonts w:hint="eastAsia"/>
          <w:sz w:val="18"/>
          <w:szCs w:val="18"/>
        </w:rPr>
        <w:t>、汇率波动风险及应对措施</w:t>
      </w:r>
    </w:p>
    <w:p w:rsidR="008D4B2E" w:rsidRPr="00595F61" w:rsidRDefault="008D4B2E" w:rsidP="00595F61">
      <w:pPr>
        <w:pStyle w:val="a3"/>
        <w:spacing w:before="0" w:beforeAutospacing="0" w:after="0" w:afterAutospacing="0"/>
        <w:ind w:firstLine="420"/>
        <w:divId w:val="481583381"/>
      </w:pPr>
      <w:r>
        <w:rPr>
          <w:rFonts w:hint="eastAsia"/>
          <w:sz w:val="18"/>
          <w:szCs w:val="18"/>
        </w:rPr>
        <w:t>近几年，伴随海外业务的不断拓展，公司产品出口量呈逐年上升趋势，故人民币对国际主要货币的汇率大幅或持续性波动给公司带来的汇兑损益，可能对公司利润产生一定影响，公司将运用金融市场工具来降低汇率波动产生的汇兑损失风险。</w:t>
      </w:r>
    </w:p>
    <w:p w:rsidR="00BA0365" w:rsidRDefault="008D4B2E">
      <w:pPr>
        <w:pStyle w:val="2"/>
        <w:spacing w:before="300" w:after="300" w:line="320" w:lineRule="exact"/>
        <w:rPr>
          <w:rFonts w:ascii="宋体" w:eastAsia="宋体" w:hAnsi="宋体" w:cs="宋体"/>
          <w:b/>
          <w:bCs/>
          <w:sz w:val="24"/>
          <w:szCs w:val="24"/>
        </w:rPr>
      </w:pPr>
      <w:bookmarkStart w:id="53" w:name="_Toc988942"/>
      <w:r>
        <w:rPr>
          <w:rFonts w:ascii="宋体" w:eastAsia="宋体" w:hAnsi="宋体" w:cs="宋体"/>
          <w:b/>
          <w:bCs/>
          <w:sz w:val="24"/>
          <w:szCs w:val="24"/>
        </w:rPr>
        <w:t>十二、报告期内接待调研、沟通、采访等活动</w:t>
      </w:r>
      <w:bookmarkEnd w:id="53"/>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Layout w:type="fixed"/>
        <w:tblLook w:val="04A0" w:firstRow="1" w:lastRow="0" w:firstColumn="1" w:lastColumn="0" w:noHBand="0" w:noVBand="1"/>
      </w:tblPr>
      <w:tblGrid>
        <w:gridCol w:w="990"/>
        <w:gridCol w:w="2662"/>
        <w:gridCol w:w="1134"/>
        <w:gridCol w:w="1023"/>
        <w:gridCol w:w="709"/>
        <w:gridCol w:w="1559"/>
        <w:gridCol w:w="1562"/>
      </w:tblGrid>
      <w:tr w:rsidR="00157EA0" w:rsidTr="007370FD">
        <w:trPr>
          <w:trHeight w:val="240"/>
        </w:trPr>
        <w:tc>
          <w:tcPr>
            <w:tcW w:w="99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接待时间</w:t>
            </w:r>
          </w:p>
        </w:tc>
        <w:tc>
          <w:tcPr>
            <w:tcW w:w="266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接待地点</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接待方式</w:t>
            </w:r>
          </w:p>
        </w:tc>
        <w:tc>
          <w:tcPr>
            <w:tcW w:w="102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接待对象类型</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接待对象</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谈论的主要内容及提供的资料</w:t>
            </w:r>
          </w:p>
        </w:tc>
        <w:tc>
          <w:tcPr>
            <w:tcW w:w="156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调研的基本情况索引</w:t>
            </w:r>
          </w:p>
        </w:tc>
      </w:tr>
      <w:tr w:rsidR="00157EA0" w:rsidTr="007370FD">
        <w:trPr>
          <w:trHeight w:val="240"/>
        </w:trPr>
        <w:tc>
          <w:tcPr>
            <w:tcW w:w="99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2023年04月27日</w:t>
            </w:r>
          </w:p>
        </w:tc>
        <w:tc>
          <w:tcPr>
            <w:tcW w:w="266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深圳证券交易所“互动易平台”http://irm.cninfo.com.cn“云访谈”栏目</w:t>
            </w:r>
          </w:p>
        </w:tc>
        <w:tc>
          <w:tcPr>
            <w:tcW w:w="11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网络平台线上交流</w:t>
            </w:r>
          </w:p>
        </w:tc>
        <w:tc>
          <w:tcPr>
            <w:tcW w:w="102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个人</w:t>
            </w:r>
          </w:p>
        </w:tc>
        <w:tc>
          <w:tcPr>
            <w:tcW w:w="70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公司战略、内部管理及运营情况</w:t>
            </w:r>
          </w:p>
        </w:tc>
        <w:tc>
          <w:tcPr>
            <w:tcW w:w="156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2023年度业绩说明会</w:t>
            </w:r>
          </w:p>
        </w:tc>
      </w:tr>
      <w:tr w:rsidR="00157EA0" w:rsidTr="007370FD">
        <w:trPr>
          <w:trHeight w:val="240"/>
        </w:trPr>
        <w:tc>
          <w:tcPr>
            <w:tcW w:w="99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2023年11月08日</w:t>
            </w:r>
          </w:p>
        </w:tc>
        <w:tc>
          <w:tcPr>
            <w:tcW w:w="266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深圳市全景网络有限公司提供的“全景路演”（http://rs.p5w.net/）平台</w:t>
            </w:r>
          </w:p>
        </w:tc>
        <w:tc>
          <w:tcPr>
            <w:tcW w:w="11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网络平台线上交流</w:t>
            </w:r>
          </w:p>
        </w:tc>
        <w:tc>
          <w:tcPr>
            <w:tcW w:w="102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个人</w:t>
            </w:r>
          </w:p>
        </w:tc>
        <w:tc>
          <w:tcPr>
            <w:tcW w:w="70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公司战略、内部管理及运营情况</w:t>
            </w:r>
          </w:p>
        </w:tc>
        <w:tc>
          <w:tcPr>
            <w:tcW w:w="156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2023年青岛辖区上市公司投资者集体接待日</w:t>
            </w:r>
          </w:p>
        </w:tc>
      </w:tr>
    </w:tbl>
    <w:p w:rsidR="00BA0365" w:rsidRDefault="008D4B2E">
      <w:pPr>
        <w:pStyle w:val="2"/>
        <w:spacing w:before="300" w:after="300" w:line="320" w:lineRule="exact"/>
        <w:rPr>
          <w:rFonts w:ascii="宋体" w:eastAsia="宋体" w:hAnsi="宋体" w:cs="宋体"/>
          <w:b/>
          <w:bCs/>
          <w:sz w:val="24"/>
          <w:szCs w:val="24"/>
        </w:rPr>
      </w:pPr>
      <w:bookmarkStart w:id="54" w:name="_Toc988943"/>
      <w:r>
        <w:rPr>
          <w:rFonts w:ascii="宋体" w:eastAsia="宋体" w:hAnsi="宋体" w:cs="宋体"/>
          <w:b/>
          <w:bCs/>
          <w:sz w:val="24"/>
          <w:szCs w:val="24"/>
        </w:rPr>
        <w:t>十三、“质量回报双提升”行动方案贯彻落实情况</w:t>
      </w:r>
      <w:bookmarkEnd w:id="54"/>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公司是否披露了“质量回报双提升”行动方案。</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BA0365" w:rsidRDefault="008D4B2E">
      <w:r>
        <w:br w:type="page"/>
      </w:r>
    </w:p>
    <w:p w:rsidR="00BA0365" w:rsidRDefault="008D4B2E">
      <w:pPr>
        <w:pStyle w:val="headingh1"/>
        <w:spacing w:before="340" w:after="330" w:line="773" w:lineRule="exact"/>
        <w:jc w:val="center"/>
        <w:rPr>
          <w:rFonts w:ascii="宋体" w:eastAsia="宋体" w:hAnsi="宋体" w:cs="宋体"/>
          <w:b/>
          <w:bCs/>
          <w:sz w:val="32"/>
          <w:szCs w:val="32"/>
        </w:rPr>
      </w:pPr>
      <w:bookmarkStart w:id="55" w:name="_Toc988944"/>
      <w:r>
        <w:rPr>
          <w:rFonts w:ascii="宋体" w:eastAsia="宋体" w:hAnsi="宋体" w:cs="宋体"/>
          <w:b/>
          <w:bCs/>
          <w:sz w:val="32"/>
          <w:szCs w:val="32"/>
        </w:rPr>
        <w:lastRenderedPageBreak/>
        <w:t>第四节 公司治理</w:t>
      </w:r>
      <w:bookmarkEnd w:id="55"/>
    </w:p>
    <w:p w:rsidR="00BA0365" w:rsidRDefault="008D4B2E">
      <w:pPr>
        <w:pStyle w:val="2"/>
        <w:spacing w:before="300" w:after="300" w:line="320" w:lineRule="exact"/>
        <w:rPr>
          <w:rFonts w:ascii="宋体" w:eastAsia="宋体" w:hAnsi="宋体" w:cs="宋体"/>
          <w:b/>
          <w:bCs/>
          <w:sz w:val="24"/>
          <w:szCs w:val="24"/>
        </w:rPr>
      </w:pPr>
      <w:bookmarkStart w:id="56" w:name="_Toc988945"/>
      <w:r>
        <w:rPr>
          <w:rFonts w:ascii="宋体" w:eastAsia="宋体" w:hAnsi="宋体" w:cs="宋体"/>
          <w:b/>
          <w:bCs/>
          <w:sz w:val="24"/>
          <w:szCs w:val="24"/>
        </w:rPr>
        <w:t>一、公司治理的基本状况</w:t>
      </w:r>
      <w:bookmarkEnd w:id="56"/>
    </w:p>
    <w:p w:rsidR="00595F61" w:rsidRDefault="008D4B2E" w:rsidP="00595F61">
      <w:pPr>
        <w:pStyle w:val="a3"/>
        <w:spacing w:before="0" w:beforeAutospacing="0" w:after="0" w:afterAutospacing="0"/>
        <w:ind w:firstLine="420"/>
        <w:divId w:val="177543784"/>
        <w:rPr>
          <w:kern w:val="2"/>
          <w:sz w:val="18"/>
          <w:szCs w:val="18"/>
        </w:rPr>
      </w:pPr>
      <w:r w:rsidRPr="00595F61">
        <w:rPr>
          <w:rFonts w:hint="eastAsia"/>
          <w:kern w:val="2"/>
          <w:sz w:val="18"/>
          <w:szCs w:val="18"/>
        </w:rPr>
        <w:t>报告期内，公司严格按照《公司法》《证券法》《上市公司治理准则》《深圳证券交易所股票上市规则》及中国证监会、深交所发布的有关上市公司治理的规范性文件要求，不断完善公司治理结构，建立健全内部控制体系，稳步提升信息披露和投资者关系管理工作，并进一步规范公司运作，努力提高公司治理水平。</w:t>
      </w:r>
    </w:p>
    <w:p w:rsidR="00595F61" w:rsidRDefault="008D4B2E" w:rsidP="00595F61">
      <w:pPr>
        <w:pStyle w:val="a3"/>
        <w:spacing w:before="0" w:beforeAutospacing="0" w:after="0" w:afterAutospacing="0"/>
        <w:ind w:firstLine="420"/>
        <w:divId w:val="177543784"/>
        <w:rPr>
          <w:kern w:val="2"/>
          <w:sz w:val="18"/>
          <w:szCs w:val="18"/>
        </w:rPr>
      </w:pPr>
      <w:r w:rsidRPr="00595F61">
        <w:rPr>
          <w:kern w:val="2"/>
          <w:sz w:val="18"/>
          <w:szCs w:val="18"/>
        </w:rPr>
        <w:t>1</w:t>
      </w:r>
      <w:r w:rsidRPr="00595F61">
        <w:rPr>
          <w:rFonts w:hint="eastAsia"/>
          <w:kern w:val="2"/>
          <w:sz w:val="18"/>
          <w:szCs w:val="18"/>
        </w:rPr>
        <w:t>、关于股东与股东大会：股东大会是公司最高权力机构。报告期内公司共召开4次股东大会，会议均采取现场投票和网络投票相结合的方式进行。各次股东大会均按照《公司法》《公司章程》及《股东大会议事规则》的相关规定规范运行，并聘请律师现场全程见证。股东大会对公司聘请会计师事务所、年度利润分配预案、对外担保、股权激励等事项</w:t>
      </w:r>
      <w:proofErr w:type="gramStart"/>
      <w:r w:rsidRPr="00595F61">
        <w:rPr>
          <w:rFonts w:hint="eastAsia"/>
          <w:kern w:val="2"/>
          <w:sz w:val="18"/>
          <w:szCs w:val="18"/>
        </w:rPr>
        <w:t>作出</w:t>
      </w:r>
      <w:proofErr w:type="gramEnd"/>
      <w:r w:rsidRPr="00595F61">
        <w:rPr>
          <w:rFonts w:hint="eastAsia"/>
          <w:kern w:val="2"/>
          <w:sz w:val="18"/>
          <w:szCs w:val="18"/>
        </w:rPr>
        <w:t>有效决议。公司能够确保所有股东享有平等地位并充分行使股东权利。</w:t>
      </w:r>
    </w:p>
    <w:p w:rsidR="00595F61" w:rsidRDefault="008D4B2E" w:rsidP="00595F61">
      <w:pPr>
        <w:pStyle w:val="a3"/>
        <w:spacing w:before="0" w:beforeAutospacing="0" w:after="0" w:afterAutospacing="0"/>
        <w:ind w:firstLine="420"/>
        <w:divId w:val="177543784"/>
        <w:rPr>
          <w:kern w:val="2"/>
          <w:sz w:val="18"/>
          <w:szCs w:val="18"/>
        </w:rPr>
      </w:pPr>
      <w:r w:rsidRPr="00595F61">
        <w:rPr>
          <w:kern w:val="2"/>
          <w:sz w:val="18"/>
          <w:szCs w:val="18"/>
        </w:rPr>
        <w:t>2</w:t>
      </w:r>
      <w:r w:rsidRPr="00595F61">
        <w:rPr>
          <w:rFonts w:hint="eastAsia"/>
          <w:kern w:val="2"/>
          <w:sz w:val="18"/>
          <w:szCs w:val="18"/>
        </w:rPr>
        <w:t>、关于公司与控股股东：公司控股股东严格根据《上市公司治理准则》《深圳证券交易所股票上市规则》《公司章程》规范股东行为，通过股东大会行使股东权利，未发生超越股东大会及董事会而直接或间接干预公司经营与决策的行为。公司与控股股东、实际控制人及其关联人的人员、资产、财务分开，机构、业务独立，各自独立核算、独立承担责任和风险。公司董事会、监事会和内部机构均独立运作。</w:t>
      </w:r>
    </w:p>
    <w:p w:rsidR="00595F61" w:rsidRDefault="008D4B2E" w:rsidP="00595F61">
      <w:pPr>
        <w:pStyle w:val="a3"/>
        <w:spacing w:before="0" w:beforeAutospacing="0" w:after="0" w:afterAutospacing="0"/>
        <w:ind w:firstLine="420"/>
        <w:divId w:val="177543784"/>
        <w:rPr>
          <w:kern w:val="2"/>
          <w:sz w:val="18"/>
          <w:szCs w:val="18"/>
        </w:rPr>
      </w:pPr>
      <w:r w:rsidRPr="00595F61">
        <w:rPr>
          <w:kern w:val="2"/>
          <w:sz w:val="18"/>
          <w:szCs w:val="18"/>
        </w:rPr>
        <w:t>3</w:t>
      </w:r>
      <w:r w:rsidRPr="00595F61">
        <w:rPr>
          <w:rFonts w:hint="eastAsia"/>
          <w:kern w:val="2"/>
          <w:sz w:val="18"/>
          <w:szCs w:val="18"/>
        </w:rPr>
        <w:t>、关于董事和董事会：公司董事会设董事</w:t>
      </w:r>
      <w:r w:rsidRPr="00595F61">
        <w:rPr>
          <w:kern w:val="2"/>
          <w:sz w:val="18"/>
          <w:szCs w:val="18"/>
        </w:rPr>
        <w:t>7</w:t>
      </w:r>
      <w:r w:rsidRPr="00595F61">
        <w:rPr>
          <w:rFonts w:hint="eastAsia"/>
          <w:kern w:val="2"/>
          <w:sz w:val="18"/>
          <w:szCs w:val="18"/>
        </w:rPr>
        <w:t>名，其中独立董事</w:t>
      </w:r>
      <w:r w:rsidRPr="00595F61">
        <w:rPr>
          <w:kern w:val="2"/>
          <w:sz w:val="18"/>
          <w:szCs w:val="18"/>
        </w:rPr>
        <w:t>3</w:t>
      </w:r>
      <w:r w:rsidRPr="00595F61">
        <w:rPr>
          <w:rFonts w:hint="eastAsia"/>
          <w:kern w:val="2"/>
          <w:sz w:val="18"/>
          <w:szCs w:val="18"/>
        </w:rPr>
        <w:t>名（包括一名会计专业人士），董事会的人数和构成符合有关法律、法规的要求。报告期内公司共召开10次董事会，均能按照《公司章程》《公司董事会议事规则》《公司独立董事工作制度》《公司独立董事专门会议工作制度》的相关规定规范运行。各位董事均按要求出席董事会，关注董事会审议事项的决策程序，特别关注相关事项的提议程序、决策权限、表决程序和回避事宜，认真审议各项议案，勤勉尽责。独立董事独立公正地履行职责，不受上市公司主要股东、实际控制人或其他与公司存在利害关系的单位和个人的影响，切实维护上市公司和全体股东的利益。董事会下设薪酬与考核委员会、战略委员会、提名委员会和审计委员会作为董事会常设机构，一方面提高了董事会的工作效率，有效发挥其功能，另一方面也提高了董事会的专业化程度，保障了董事会决策的科学性和程序性，维护了公司整体利益和中小股东利益。</w:t>
      </w:r>
    </w:p>
    <w:p w:rsidR="00595F61" w:rsidRDefault="008D4B2E" w:rsidP="00595F61">
      <w:pPr>
        <w:pStyle w:val="a3"/>
        <w:spacing w:before="0" w:beforeAutospacing="0" w:after="0" w:afterAutospacing="0"/>
        <w:ind w:firstLine="420"/>
        <w:divId w:val="177543784"/>
        <w:rPr>
          <w:kern w:val="2"/>
          <w:sz w:val="18"/>
          <w:szCs w:val="18"/>
        </w:rPr>
      </w:pPr>
      <w:r w:rsidRPr="00595F61">
        <w:rPr>
          <w:kern w:val="2"/>
          <w:sz w:val="18"/>
          <w:szCs w:val="18"/>
        </w:rPr>
        <w:t>4</w:t>
      </w:r>
      <w:r w:rsidRPr="00595F61">
        <w:rPr>
          <w:rFonts w:hint="eastAsia"/>
          <w:kern w:val="2"/>
          <w:sz w:val="18"/>
          <w:szCs w:val="18"/>
        </w:rPr>
        <w:t>、关于监事和监事会：公司监事会设监事</w:t>
      </w:r>
      <w:r w:rsidRPr="00595F61">
        <w:rPr>
          <w:kern w:val="2"/>
          <w:sz w:val="18"/>
          <w:szCs w:val="18"/>
        </w:rPr>
        <w:t>3</w:t>
      </w:r>
      <w:r w:rsidRPr="00595F61">
        <w:rPr>
          <w:rFonts w:hint="eastAsia"/>
          <w:kern w:val="2"/>
          <w:sz w:val="18"/>
          <w:szCs w:val="18"/>
        </w:rPr>
        <w:t>名，其中职工监事</w:t>
      </w:r>
      <w:r w:rsidRPr="00595F61">
        <w:rPr>
          <w:kern w:val="2"/>
          <w:sz w:val="18"/>
          <w:szCs w:val="18"/>
        </w:rPr>
        <w:t>1</w:t>
      </w:r>
      <w:r w:rsidRPr="00595F61">
        <w:rPr>
          <w:rFonts w:hint="eastAsia"/>
          <w:kern w:val="2"/>
          <w:sz w:val="18"/>
          <w:szCs w:val="18"/>
        </w:rPr>
        <w:t>名，监事会的人数和构成符合有关法律、法规的要求。公司监事会应当向全体股东负责，对公司财务以及公司董事、总裁及其他高级管理人员履行职责的合法合</w:t>
      </w:r>
      <w:proofErr w:type="gramStart"/>
      <w:r w:rsidRPr="00595F61">
        <w:rPr>
          <w:rFonts w:hint="eastAsia"/>
          <w:kern w:val="2"/>
          <w:sz w:val="18"/>
          <w:szCs w:val="18"/>
        </w:rPr>
        <w:t>规</w:t>
      </w:r>
      <w:proofErr w:type="gramEnd"/>
      <w:r w:rsidRPr="00595F61">
        <w:rPr>
          <w:rFonts w:hint="eastAsia"/>
          <w:kern w:val="2"/>
          <w:sz w:val="18"/>
          <w:szCs w:val="18"/>
        </w:rPr>
        <w:t>性进行监督，维护公司及股东的合法权益。报告期内公司共召开10次监事会，均能按照《公司章程》《公司监事会议事规则》的相关规定规范运行。公司监事能够本着对股东负责的态度，认真履行监事职责。</w:t>
      </w:r>
    </w:p>
    <w:p w:rsidR="00595F61" w:rsidRDefault="008D4B2E" w:rsidP="00595F61">
      <w:pPr>
        <w:pStyle w:val="a3"/>
        <w:spacing w:before="0" w:beforeAutospacing="0" w:after="0" w:afterAutospacing="0"/>
        <w:ind w:firstLine="420"/>
        <w:divId w:val="177543784"/>
        <w:rPr>
          <w:kern w:val="2"/>
          <w:sz w:val="18"/>
          <w:szCs w:val="18"/>
        </w:rPr>
      </w:pPr>
      <w:r w:rsidRPr="00595F61">
        <w:rPr>
          <w:kern w:val="2"/>
          <w:sz w:val="18"/>
          <w:szCs w:val="18"/>
        </w:rPr>
        <w:t>5</w:t>
      </w:r>
      <w:r w:rsidRPr="00595F61">
        <w:rPr>
          <w:rFonts w:hint="eastAsia"/>
          <w:kern w:val="2"/>
          <w:sz w:val="18"/>
          <w:szCs w:val="18"/>
        </w:rPr>
        <w:t>、关于信息披露及透明度：公司根据《公司章程》《深圳证券交易所股票上市规则》和中国证监会及深交所的相关法律法规的要求，认真履行信息披露义务，真实、准确、及时、完整地披露有关信息。公司制定《信息披露制度》《投资者关系管理制度》《外部信息报送和使用管理制度》和《年报披露重大差错责任追究制度》等一系列信息披露相关的制度，并指定董事会秘书负责信息披露工作、接待股东来访和咨询，确保真实、准确、完整、及时地披露信息。协调公司与投资者的关系，接待股东来访，并根据制度要求披露《投资者关系活动纪录表》。通过业绩说明会、上市公司投资者网上集体接待日、及时回复投资者关系互动平台的问题，确保所有投资者可以平等地获取同一信息。</w:t>
      </w:r>
    </w:p>
    <w:p w:rsidR="00595F61" w:rsidRPr="00595F61" w:rsidRDefault="008D4B2E" w:rsidP="00595F61">
      <w:pPr>
        <w:pStyle w:val="a3"/>
        <w:spacing w:before="0" w:beforeAutospacing="0" w:after="0" w:afterAutospacing="0"/>
        <w:ind w:firstLine="420"/>
        <w:divId w:val="177543784"/>
        <w:rPr>
          <w:kern w:val="2"/>
          <w:sz w:val="18"/>
          <w:szCs w:val="18"/>
        </w:rPr>
      </w:pPr>
      <w:r w:rsidRPr="00595F61">
        <w:rPr>
          <w:kern w:val="2"/>
          <w:sz w:val="18"/>
          <w:szCs w:val="18"/>
        </w:rPr>
        <w:t>6</w:t>
      </w:r>
      <w:r w:rsidRPr="00595F61">
        <w:rPr>
          <w:rFonts w:hint="eastAsia"/>
          <w:kern w:val="2"/>
          <w:sz w:val="18"/>
          <w:szCs w:val="18"/>
        </w:rPr>
        <w:t>、关于相关利益者：公司具有较强的社会责任感，充分尊重和维护相关利益者的合法权益，协调平衡公司、股东、员工、社会等各方利益，积极与利益相关者合作，共同推动公司持续、健康的发展。</w:t>
      </w:r>
    </w:p>
    <w:p w:rsidR="008D4B2E" w:rsidRPr="00595F61" w:rsidRDefault="00595F61" w:rsidP="00595F61">
      <w:pPr>
        <w:pStyle w:val="a3"/>
        <w:spacing w:before="0" w:beforeAutospacing="0" w:after="0" w:afterAutospacing="0"/>
        <w:ind w:firstLine="420"/>
        <w:divId w:val="177543784"/>
        <w:rPr>
          <w:kern w:val="2"/>
          <w:sz w:val="18"/>
          <w:szCs w:val="18"/>
        </w:rPr>
      </w:pPr>
      <w:r w:rsidRPr="00595F61">
        <w:rPr>
          <w:kern w:val="2"/>
          <w:sz w:val="18"/>
          <w:szCs w:val="18"/>
        </w:rPr>
        <w:t>7</w:t>
      </w:r>
      <w:r w:rsidRPr="00595F61">
        <w:rPr>
          <w:rFonts w:hint="eastAsia"/>
          <w:kern w:val="2"/>
          <w:sz w:val="18"/>
          <w:szCs w:val="18"/>
        </w:rPr>
        <w:t>、</w:t>
      </w:r>
      <w:r w:rsidR="008D4B2E" w:rsidRPr="00595F61">
        <w:rPr>
          <w:rFonts w:hint="eastAsia"/>
          <w:kern w:val="2"/>
          <w:sz w:val="18"/>
          <w:szCs w:val="18"/>
        </w:rPr>
        <w:t>关于党建工作：公司党委成立于</w:t>
      </w:r>
      <w:r w:rsidR="008D4B2E" w:rsidRPr="00595F61">
        <w:rPr>
          <w:kern w:val="2"/>
          <w:sz w:val="18"/>
          <w:szCs w:val="18"/>
        </w:rPr>
        <w:t>2008</w:t>
      </w:r>
      <w:r w:rsidR="008D4B2E" w:rsidRPr="00595F61">
        <w:rPr>
          <w:rFonts w:hint="eastAsia"/>
          <w:kern w:val="2"/>
          <w:sz w:val="18"/>
          <w:szCs w:val="18"/>
        </w:rPr>
        <w:t>年，公司各部门、事业部、子公司现设</w:t>
      </w:r>
      <w:r w:rsidR="008D4B2E" w:rsidRPr="00595F61">
        <w:rPr>
          <w:kern w:val="2"/>
          <w:sz w:val="18"/>
          <w:szCs w:val="18"/>
        </w:rPr>
        <w:t>20</w:t>
      </w:r>
      <w:r w:rsidR="008D4B2E" w:rsidRPr="00595F61">
        <w:rPr>
          <w:rFonts w:hint="eastAsia"/>
          <w:kern w:val="2"/>
          <w:sz w:val="18"/>
          <w:szCs w:val="18"/>
        </w:rPr>
        <w:t>个支部。2023年，公司党建工作在上级党组织的领导下，强化理论学习、优化工作机制、深化队伍建设，健全工作体系，扎实推进公司高质量发展。2023年，公司党委持续强化党建引领，夯实理论学习基础，认真开展学习贯彻新时代中国特色社会主义思想主题教育，组织理论学习、检视整改，积极参与市、区两</w:t>
      </w:r>
      <w:proofErr w:type="gramStart"/>
      <w:r w:rsidR="008D4B2E" w:rsidRPr="00595F61">
        <w:rPr>
          <w:rFonts w:hint="eastAsia"/>
          <w:kern w:val="2"/>
          <w:sz w:val="18"/>
          <w:szCs w:val="18"/>
        </w:rPr>
        <w:t>级集中</w:t>
      </w:r>
      <w:proofErr w:type="gramEnd"/>
      <w:r w:rsidR="008D4B2E" w:rsidRPr="00595F61">
        <w:rPr>
          <w:rFonts w:hint="eastAsia"/>
          <w:kern w:val="2"/>
          <w:sz w:val="18"/>
          <w:szCs w:val="18"/>
        </w:rPr>
        <w:t>轮训，公司全体党员集中学习和个人自学相结合，完成指定必修课程的学习。开展书记讲党课、党群面对面等特色主题党日，把开展主题教育的着力点放在推动企业经营业绩提升、党员队伍模范作用发挥、为民服务落实保障等工作上，</w:t>
      </w:r>
      <w:proofErr w:type="gramStart"/>
      <w:r w:rsidR="008D4B2E" w:rsidRPr="00595F61">
        <w:rPr>
          <w:rFonts w:hint="eastAsia"/>
          <w:kern w:val="2"/>
          <w:sz w:val="18"/>
          <w:szCs w:val="18"/>
        </w:rPr>
        <w:t>践行</w:t>
      </w:r>
      <w:proofErr w:type="gramEnd"/>
      <w:r w:rsidR="008D4B2E" w:rsidRPr="00595F61">
        <w:rPr>
          <w:rFonts w:hint="eastAsia"/>
          <w:kern w:val="2"/>
          <w:sz w:val="18"/>
          <w:szCs w:val="18"/>
        </w:rPr>
        <w:t>“四下基层”工作方法，建立了党组织与企业、党员与群众的和谐互动关系。2023年通过“志愿服务月”、“廉洁文化月”、“青年文化节”、“党建文化节”的举办，开展学雷锋树新风、党建海报创作、特色主题党日活、</w:t>
      </w:r>
      <w:proofErr w:type="gramStart"/>
      <w:r w:rsidR="008D4B2E" w:rsidRPr="00595F61">
        <w:rPr>
          <w:rFonts w:hint="eastAsia"/>
          <w:kern w:val="2"/>
          <w:sz w:val="18"/>
          <w:szCs w:val="18"/>
        </w:rPr>
        <w:t>廉洁文化</w:t>
      </w:r>
      <w:proofErr w:type="gramEnd"/>
      <w:r w:rsidR="008D4B2E" w:rsidRPr="00595F61">
        <w:rPr>
          <w:rFonts w:hint="eastAsia"/>
          <w:kern w:val="2"/>
          <w:sz w:val="18"/>
          <w:szCs w:val="18"/>
        </w:rPr>
        <w:t>作品展览、清明学英烈事迹、党史知识竞赛、诗歌颂祖国朗诵比赛、前往沂蒙地区开展</w:t>
      </w:r>
      <w:r w:rsidR="008D4B2E" w:rsidRPr="00595F61">
        <w:rPr>
          <w:rFonts w:hint="eastAsia"/>
          <w:kern w:val="2"/>
          <w:sz w:val="18"/>
          <w:szCs w:val="18"/>
        </w:rPr>
        <w:lastRenderedPageBreak/>
        <w:t>“强党性、忆初心”红色学习教育等活动，持续固化企业党建系统工作体系，深入挖掘基层党建工作潜力，认真贯彻落实上级党组织工作部署，稳定推进党政融合工作模式，较好的发挥了党组织在企业中的政治引领和先锋带动作用。</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公司治理的实际状况与法律、行政法规和中国证监会发布的关于上市公司治理的规定是否存在重大差异</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公司治理的实际状况与法律、行政法规和中国证监会发布的关于上市公司治理的规定不存在重大差异。</w:t>
      </w:r>
    </w:p>
    <w:p w:rsidR="00BA0365" w:rsidRDefault="008D4B2E">
      <w:pPr>
        <w:pStyle w:val="2"/>
        <w:spacing w:before="300" w:after="300" w:line="320" w:lineRule="exact"/>
        <w:rPr>
          <w:rFonts w:ascii="宋体" w:eastAsia="宋体" w:hAnsi="宋体" w:cs="宋体"/>
          <w:b/>
          <w:bCs/>
          <w:sz w:val="24"/>
          <w:szCs w:val="24"/>
        </w:rPr>
      </w:pPr>
      <w:bookmarkStart w:id="57" w:name="_Toc988946"/>
      <w:r>
        <w:rPr>
          <w:rFonts w:ascii="宋体" w:eastAsia="宋体" w:hAnsi="宋体" w:cs="宋体"/>
          <w:b/>
          <w:bCs/>
          <w:sz w:val="24"/>
          <w:szCs w:val="24"/>
        </w:rPr>
        <w:t>二、公司相对于控股股东、实际控制人在保证公司资产、人员、财务、机构、业务等方面的独立情况</w:t>
      </w:r>
      <w:bookmarkEnd w:id="57"/>
    </w:p>
    <w:p w:rsidR="00595F61" w:rsidRPr="00595F61" w:rsidRDefault="008D4B2E" w:rsidP="00595F61">
      <w:pPr>
        <w:pStyle w:val="a3"/>
        <w:spacing w:before="0" w:beforeAutospacing="0" w:after="0" w:afterAutospacing="0"/>
        <w:ind w:firstLine="420"/>
        <w:divId w:val="574828007"/>
        <w:rPr>
          <w:kern w:val="2"/>
          <w:sz w:val="18"/>
          <w:szCs w:val="18"/>
        </w:rPr>
      </w:pPr>
      <w:r w:rsidRPr="00595F61">
        <w:rPr>
          <w:rFonts w:hint="eastAsia"/>
          <w:kern w:val="2"/>
          <w:sz w:val="18"/>
          <w:szCs w:val="18"/>
        </w:rPr>
        <w:t>公司自成立以来，严格按照《公司法》《公司章程》和其他规范文件的规定，在业务、人员、资产、机构、财务等方面与控股股东相互独立，公司具有独立完整的业务运作及自主经营能力。</w:t>
      </w:r>
    </w:p>
    <w:p w:rsidR="00595F61" w:rsidRPr="00595F61" w:rsidRDefault="008D4B2E" w:rsidP="00595F61">
      <w:pPr>
        <w:pStyle w:val="a3"/>
        <w:spacing w:before="0" w:beforeAutospacing="0" w:after="0" w:afterAutospacing="0"/>
        <w:ind w:firstLine="420"/>
        <w:divId w:val="574828007"/>
        <w:rPr>
          <w:kern w:val="2"/>
          <w:sz w:val="18"/>
          <w:szCs w:val="18"/>
        </w:rPr>
      </w:pPr>
      <w:r w:rsidRPr="00595F61">
        <w:rPr>
          <w:kern w:val="2"/>
          <w:sz w:val="18"/>
          <w:szCs w:val="18"/>
        </w:rPr>
        <w:t>1</w:t>
      </w:r>
      <w:r w:rsidRPr="00595F61">
        <w:rPr>
          <w:rFonts w:hint="eastAsia"/>
          <w:kern w:val="2"/>
          <w:sz w:val="18"/>
          <w:szCs w:val="18"/>
        </w:rPr>
        <w:t>、业务独立情况：公司业务独立于控股股东及其下属企业，拥有独立完整的供应、生产和销售体系，独立开展业务，不依赖于控股股东或其它任何关联方。</w:t>
      </w:r>
    </w:p>
    <w:p w:rsidR="00595F61" w:rsidRPr="00595F61" w:rsidRDefault="008D4B2E" w:rsidP="00595F61">
      <w:pPr>
        <w:pStyle w:val="a3"/>
        <w:spacing w:before="0" w:beforeAutospacing="0" w:after="0" w:afterAutospacing="0"/>
        <w:ind w:firstLine="420"/>
        <w:divId w:val="574828007"/>
        <w:rPr>
          <w:kern w:val="2"/>
          <w:sz w:val="18"/>
          <w:szCs w:val="18"/>
        </w:rPr>
      </w:pPr>
      <w:r w:rsidRPr="00595F61">
        <w:rPr>
          <w:kern w:val="2"/>
          <w:sz w:val="18"/>
          <w:szCs w:val="18"/>
        </w:rPr>
        <w:t>2</w:t>
      </w:r>
      <w:r w:rsidRPr="00595F61">
        <w:rPr>
          <w:rFonts w:hint="eastAsia"/>
          <w:kern w:val="2"/>
          <w:sz w:val="18"/>
          <w:szCs w:val="18"/>
        </w:rPr>
        <w:t>、人员独立情况：公司人员、劳动、人事及工资完全独立。公司高级管理人员均在公司工作并领取薪酬，未在控股股东及其下属企业担任除董事、监事以外的任何职务和领取报酬。</w:t>
      </w:r>
    </w:p>
    <w:p w:rsidR="00595F61" w:rsidRPr="00595F61" w:rsidRDefault="008D4B2E" w:rsidP="00595F61">
      <w:pPr>
        <w:pStyle w:val="a3"/>
        <w:spacing w:before="0" w:beforeAutospacing="0" w:after="0" w:afterAutospacing="0"/>
        <w:ind w:firstLine="420"/>
        <w:divId w:val="574828007"/>
        <w:rPr>
          <w:kern w:val="2"/>
          <w:sz w:val="18"/>
          <w:szCs w:val="18"/>
        </w:rPr>
      </w:pPr>
      <w:r w:rsidRPr="00595F61">
        <w:rPr>
          <w:kern w:val="2"/>
          <w:sz w:val="18"/>
          <w:szCs w:val="18"/>
        </w:rPr>
        <w:t>3</w:t>
      </w:r>
      <w:r w:rsidRPr="00595F61">
        <w:rPr>
          <w:rFonts w:hint="eastAsia"/>
          <w:kern w:val="2"/>
          <w:sz w:val="18"/>
          <w:szCs w:val="18"/>
        </w:rPr>
        <w:t>、资产独立情况：公司拥有独立于控股股东的生产经营场所，拥有独立的生产系统、辅助生产系统和配套设施、土地使用权、房屋所有权等资产，资产结构独立完整。</w:t>
      </w:r>
    </w:p>
    <w:p w:rsidR="00595F61" w:rsidRPr="00595F61" w:rsidRDefault="00595F61" w:rsidP="00595F61">
      <w:pPr>
        <w:pStyle w:val="a3"/>
        <w:spacing w:before="0" w:beforeAutospacing="0" w:after="0" w:afterAutospacing="0"/>
        <w:ind w:firstLine="420"/>
        <w:divId w:val="574828007"/>
        <w:rPr>
          <w:kern w:val="2"/>
          <w:sz w:val="18"/>
          <w:szCs w:val="18"/>
        </w:rPr>
      </w:pPr>
      <w:r w:rsidRPr="00595F61">
        <w:rPr>
          <w:kern w:val="2"/>
          <w:sz w:val="18"/>
          <w:szCs w:val="18"/>
        </w:rPr>
        <w:t>4</w:t>
      </w:r>
      <w:r w:rsidR="008D4B2E" w:rsidRPr="00595F61">
        <w:rPr>
          <w:rFonts w:hint="eastAsia"/>
          <w:kern w:val="2"/>
          <w:sz w:val="18"/>
          <w:szCs w:val="18"/>
        </w:rPr>
        <w:t>、机构独立情况：公司设立了健全的组织机构体系，内部机构</w:t>
      </w:r>
      <w:r w:rsidRPr="00595F61">
        <w:rPr>
          <w:rFonts w:hint="eastAsia"/>
          <w:kern w:val="2"/>
          <w:sz w:val="18"/>
          <w:szCs w:val="18"/>
        </w:rPr>
        <w:t>完整独立并有效运作，不存在与控股股东或其职能部门之间的从属关系。</w:t>
      </w:r>
    </w:p>
    <w:p w:rsidR="008D4B2E" w:rsidRPr="00595F61" w:rsidRDefault="00595F61" w:rsidP="00595F61">
      <w:pPr>
        <w:pStyle w:val="a3"/>
        <w:spacing w:before="0" w:beforeAutospacing="0" w:after="0" w:afterAutospacing="0"/>
        <w:ind w:firstLine="420"/>
        <w:divId w:val="574828007"/>
      </w:pPr>
      <w:r w:rsidRPr="00595F61">
        <w:rPr>
          <w:rFonts w:hint="eastAsia"/>
          <w:kern w:val="2"/>
          <w:sz w:val="18"/>
          <w:szCs w:val="18"/>
        </w:rPr>
        <w:t>5、</w:t>
      </w:r>
      <w:r w:rsidR="008D4B2E" w:rsidRPr="00595F61">
        <w:rPr>
          <w:rFonts w:hint="eastAsia"/>
          <w:kern w:val="2"/>
          <w:sz w:val="18"/>
          <w:szCs w:val="18"/>
        </w:rPr>
        <w:t>财务独立情况：公司有独立的财务会计部门，独立开设银行账户，独立纳税。按照相关法律法规建立健全了独立的会计核算体系和财务管理制度。</w:t>
      </w:r>
    </w:p>
    <w:p w:rsidR="00BA0365" w:rsidRDefault="008D4B2E">
      <w:pPr>
        <w:pStyle w:val="2"/>
        <w:spacing w:before="300" w:after="300" w:line="320" w:lineRule="exact"/>
        <w:rPr>
          <w:rFonts w:ascii="宋体" w:eastAsia="宋体" w:hAnsi="宋体" w:cs="宋体"/>
          <w:b/>
          <w:bCs/>
          <w:sz w:val="24"/>
          <w:szCs w:val="24"/>
        </w:rPr>
      </w:pPr>
      <w:bookmarkStart w:id="58" w:name="_Toc988947"/>
      <w:r>
        <w:rPr>
          <w:rFonts w:ascii="宋体" w:eastAsia="宋体" w:hAnsi="宋体" w:cs="宋体"/>
          <w:b/>
          <w:bCs/>
          <w:sz w:val="24"/>
          <w:szCs w:val="24"/>
        </w:rPr>
        <w:t>三、同业竞争情况</w:t>
      </w:r>
      <w:bookmarkEnd w:id="58"/>
    </w:p>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pStyle w:val="2"/>
        <w:spacing w:before="300" w:after="300" w:line="320" w:lineRule="exact"/>
        <w:rPr>
          <w:rFonts w:ascii="宋体" w:eastAsia="宋体" w:hAnsi="宋体" w:cs="宋体"/>
          <w:b/>
          <w:bCs/>
          <w:sz w:val="24"/>
          <w:szCs w:val="24"/>
        </w:rPr>
      </w:pPr>
      <w:bookmarkStart w:id="59" w:name="_Toc988948"/>
      <w:r>
        <w:rPr>
          <w:rFonts w:ascii="宋体" w:eastAsia="宋体" w:hAnsi="宋体" w:cs="宋体"/>
          <w:b/>
          <w:bCs/>
          <w:sz w:val="24"/>
          <w:szCs w:val="24"/>
        </w:rPr>
        <w:t>四、报告期内召开的年度股东大会和临时股东大会的有关情况</w:t>
      </w:r>
      <w:bookmarkEnd w:id="59"/>
    </w:p>
    <w:p w:rsidR="00BA0365" w:rsidRDefault="008D4B2E">
      <w:pPr>
        <w:pStyle w:val="3"/>
        <w:spacing w:line="280" w:lineRule="exact"/>
        <w:jc w:val="left"/>
        <w:rPr>
          <w:rFonts w:ascii="宋体" w:hAnsi="宋体" w:cs="宋体"/>
          <w:b/>
          <w:bCs/>
        </w:rPr>
      </w:pPr>
      <w:bookmarkStart w:id="60" w:name="_Toc988949"/>
      <w:r>
        <w:rPr>
          <w:rFonts w:ascii="宋体" w:hAnsi="宋体" w:cs="宋体"/>
          <w:b/>
          <w:bCs/>
        </w:rPr>
        <w:t>1、本报告期股东大会情况</w:t>
      </w:r>
      <w:bookmarkEnd w:id="60"/>
    </w:p>
    <w:tbl>
      <w:tblPr>
        <w:tblW w:w="9639" w:type="dxa"/>
        <w:tblLayout w:type="fixed"/>
        <w:tblLook w:val="04A0" w:firstRow="1" w:lastRow="0" w:firstColumn="1" w:lastColumn="0" w:noHBand="0" w:noVBand="1"/>
      </w:tblPr>
      <w:tblGrid>
        <w:gridCol w:w="1384"/>
        <w:gridCol w:w="1418"/>
        <w:gridCol w:w="992"/>
        <w:gridCol w:w="1276"/>
        <w:gridCol w:w="1275"/>
        <w:gridCol w:w="3294"/>
      </w:tblGrid>
      <w:tr w:rsidR="00157EA0" w:rsidTr="00832133">
        <w:trPr>
          <w:trHeight w:val="240"/>
        </w:trPr>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会议届次</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会议类型</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投资者参与比例</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召开日期</w:t>
            </w:r>
          </w:p>
        </w:tc>
        <w:tc>
          <w:tcPr>
            <w:tcW w:w="127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披露日期</w:t>
            </w:r>
          </w:p>
        </w:tc>
        <w:tc>
          <w:tcPr>
            <w:tcW w:w="3294"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会议决议</w:t>
            </w:r>
          </w:p>
        </w:tc>
      </w:tr>
      <w:tr w:rsidR="00157EA0" w:rsidTr="00832133">
        <w:trPr>
          <w:trHeight w:val="240"/>
        </w:trPr>
        <w:tc>
          <w:tcPr>
            <w:tcW w:w="138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2022年度股东大会</w:t>
            </w:r>
          </w:p>
        </w:tc>
        <w:tc>
          <w:tcPr>
            <w:tcW w:w="14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年度股东大会</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18.57%</w:t>
            </w:r>
          </w:p>
        </w:tc>
        <w:tc>
          <w:tcPr>
            <w:tcW w:w="12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2023年05月08日</w:t>
            </w:r>
          </w:p>
        </w:tc>
        <w:tc>
          <w:tcPr>
            <w:tcW w:w="127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2023年05月09日</w:t>
            </w:r>
          </w:p>
        </w:tc>
        <w:tc>
          <w:tcPr>
            <w:tcW w:w="329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《2022年度股东大会决议公告》（公告编号：2023-028）详见巨潮资讯网及公司指定的信息披露媒体</w:t>
            </w:r>
          </w:p>
        </w:tc>
      </w:tr>
      <w:tr w:rsidR="00157EA0" w:rsidTr="00832133">
        <w:trPr>
          <w:trHeight w:val="240"/>
        </w:trPr>
        <w:tc>
          <w:tcPr>
            <w:tcW w:w="138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2023年第一次临时股东大会</w:t>
            </w:r>
          </w:p>
        </w:tc>
        <w:tc>
          <w:tcPr>
            <w:tcW w:w="14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临时股东大会</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19.80%</w:t>
            </w:r>
          </w:p>
        </w:tc>
        <w:tc>
          <w:tcPr>
            <w:tcW w:w="12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2023年08月15日</w:t>
            </w:r>
          </w:p>
        </w:tc>
        <w:tc>
          <w:tcPr>
            <w:tcW w:w="127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2023年08月16日</w:t>
            </w:r>
          </w:p>
        </w:tc>
        <w:tc>
          <w:tcPr>
            <w:tcW w:w="329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《2023年第一次临时股东大会决议公告》（公告编号：2023-045）详见巨潮资讯网及公司指定的信息披露媒体</w:t>
            </w:r>
          </w:p>
        </w:tc>
      </w:tr>
      <w:tr w:rsidR="00157EA0" w:rsidTr="00832133">
        <w:trPr>
          <w:trHeight w:val="240"/>
        </w:trPr>
        <w:tc>
          <w:tcPr>
            <w:tcW w:w="138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2023年第二次临时股东大会</w:t>
            </w:r>
          </w:p>
        </w:tc>
        <w:tc>
          <w:tcPr>
            <w:tcW w:w="14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临时股东大会</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19.37%</w:t>
            </w:r>
          </w:p>
        </w:tc>
        <w:tc>
          <w:tcPr>
            <w:tcW w:w="12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2023年10月18日</w:t>
            </w:r>
          </w:p>
        </w:tc>
        <w:tc>
          <w:tcPr>
            <w:tcW w:w="127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2023年10月19日</w:t>
            </w:r>
          </w:p>
        </w:tc>
        <w:tc>
          <w:tcPr>
            <w:tcW w:w="329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《2023年第二次临时股东大会决议公告》（公告编号：2023-065）详见巨潮资讯网及公司指定的信息披露媒体</w:t>
            </w:r>
          </w:p>
        </w:tc>
      </w:tr>
      <w:tr w:rsidR="00157EA0" w:rsidTr="00832133">
        <w:trPr>
          <w:trHeight w:val="240"/>
        </w:trPr>
        <w:tc>
          <w:tcPr>
            <w:tcW w:w="138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2023年第三次临时股东大会</w:t>
            </w:r>
          </w:p>
        </w:tc>
        <w:tc>
          <w:tcPr>
            <w:tcW w:w="14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临时股东大会</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20.40%</w:t>
            </w:r>
          </w:p>
        </w:tc>
        <w:tc>
          <w:tcPr>
            <w:tcW w:w="12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2023年12月29日</w:t>
            </w:r>
          </w:p>
        </w:tc>
        <w:tc>
          <w:tcPr>
            <w:tcW w:w="127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2023年12月30日</w:t>
            </w:r>
          </w:p>
        </w:tc>
        <w:tc>
          <w:tcPr>
            <w:tcW w:w="329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《2023年第三次临时股东大会决议公告》（公告编号：2023-083）详见巨潮资讯网及公司指定的信息披露媒体</w:t>
            </w:r>
          </w:p>
        </w:tc>
      </w:tr>
    </w:tbl>
    <w:p w:rsidR="00BA0365" w:rsidRDefault="008D4B2E">
      <w:pPr>
        <w:pStyle w:val="3"/>
        <w:spacing w:line="280" w:lineRule="exact"/>
        <w:jc w:val="left"/>
        <w:rPr>
          <w:rFonts w:ascii="宋体" w:hAnsi="宋体" w:cs="宋体"/>
          <w:b/>
          <w:bCs/>
        </w:rPr>
      </w:pPr>
      <w:bookmarkStart w:id="61" w:name="_Toc988950"/>
      <w:r>
        <w:rPr>
          <w:rFonts w:ascii="宋体" w:hAnsi="宋体" w:cs="宋体"/>
          <w:b/>
          <w:bCs/>
        </w:rPr>
        <w:t>2、表决权恢复的优先股股东请求召开临时股东大会</w:t>
      </w:r>
      <w:bookmarkEnd w:id="61"/>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pStyle w:val="2"/>
        <w:spacing w:before="300" w:after="300" w:line="320" w:lineRule="exact"/>
        <w:rPr>
          <w:rFonts w:ascii="宋体" w:eastAsia="宋体" w:hAnsi="宋体" w:cs="宋体"/>
          <w:b/>
          <w:bCs/>
          <w:sz w:val="24"/>
          <w:szCs w:val="24"/>
        </w:rPr>
      </w:pPr>
      <w:bookmarkStart w:id="62" w:name="_Toc988951"/>
      <w:r>
        <w:rPr>
          <w:rFonts w:ascii="宋体" w:eastAsia="宋体" w:hAnsi="宋体" w:cs="宋体"/>
          <w:b/>
          <w:bCs/>
          <w:sz w:val="24"/>
          <w:szCs w:val="24"/>
        </w:rPr>
        <w:lastRenderedPageBreak/>
        <w:t>五、董事、监事和高级管理人员情况</w:t>
      </w:r>
      <w:bookmarkEnd w:id="62"/>
    </w:p>
    <w:p w:rsidR="00BA0365" w:rsidRDefault="008D4B2E">
      <w:pPr>
        <w:pStyle w:val="3"/>
        <w:spacing w:line="280" w:lineRule="exact"/>
        <w:jc w:val="left"/>
        <w:rPr>
          <w:rFonts w:ascii="宋体" w:hAnsi="宋体" w:cs="宋体"/>
          <w:b/>
          <w:bCs/>
        </w:rPr>
      </w:pPr>
      <w:bookmarkStart w:id="63" w:name="_Toc988952"/>
      <w:r>
        <w:rPr>
          <w:rFonts w:ascii="宋体" w:hAnsi="宋体" w:cs="宋体"/>
          <w:b/>
          <w:bCs/>
        </w:rPr>
        <w:t>1、基本情况</w:t>
      </w:r>
      <w:bookmarkEnd w:id="63"/>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742"/>
        <w:gridCol w:w="742"/>
        <w:gridCol w:w="742"/>
        <w:gridCol w:w="742"/>
        <w:gridCol w:w="742"/>
        <w:gridCol w:w="741"/>
        <w:gridCol w:w="741"/>
        <w:gridCol w:w="741"/>
        <w:gridCol w:w="741"/>
        <w:gridCol w:w="741"/>
        <w:gridCol w:w="741"/>
        <w:gridCol w:w="741"/>
      </w:tblGrid>
      <w:tr w:rsidR="00BA0365" w:rsidTr="00832133">
        <w:trPr>
          <w:trHeight w:val="240"/>
        </w:trPr>
        <w:tc>
          <w:tcPr>
            <w:tcW w:w="742" w:type="dxa"/>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姓名</w:t>
            </w:r>
          </w:p>
        </w:tc>
        <w:tc>
          <w:tcPr>
            <w:tcW w:w="742" w:type="dxa"/>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性别</w:t>
            </w:r>
          </w:p>
        </w:tc>
        <w:tc>
          <w:tcPr>
            <w:tcW w:w="742" w:type="dxa"/>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年龄</w:t>
            </w:r>
          </w:p>
        </w:tc>
        <w:tc>
          <w:tcPr>
            <w:tcW w:w="742" w:type="dxa"/>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职务</w:t>
            </w:r>
          </w:p>
        </w:tc>
        <w:tc>
          <w:tcPr>
            <w:tcW w:w="742" w:type="dxa"/>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任职状态</w:t>
            </w:r>
          </w:p>
        </w:tc>
        <w:tc>
          <w:tcPr>
            <w:tcW w:w="742" w:type="dxa"/>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任期起始日期</w:t>
            </w:r>
          </w:p>
        </w:tc>
        <w:tc>
          <w:tcPr>
            <w:tcW w:w="741" w:type="dxa"/>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任期终止日期</w:t>
            </w:r>
          </w:p>
        </w:tc>
        <w:tc>
          <w:tcPr>
            <w:tcW w:w="741" w:type="dxa"/>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期初持股数（股）</w:t>
            </w:r>
          </w:p>
        </w:tc>
        <w:tc>
          <w:tcPr>
            <w:tcW w:w="741" w:type="dxa"/>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本期增持股份数量（股）</w:t>
            </w:r>
          </w:p>
        </w:tc>
        <w:tc>
          <w:tcPr>
            <w:tcW w:w="741" w:type="dxa"/>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本期减持股份数量（股）</w:t>
            </w:r>
          </w:p>
        </w:tc>
        <w:tc>
          <w:tcPr>
            <w:tcW w:w="741" w:type="dxa"/>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其他增减变动（股）</w:t>
            </w:r>
          </w:p>
        </w:tc>
        <w:tc>
          <w:tcPr>
            <w:tcW w:w="741" w:type="dxa"/>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期末持股数（股）</w:t>
            </w:r>
          </w:p>
        </w:tc>
        <w:tc>
          <w:tcPr>
            <w:tcW w:w="741" w:type="dxa"/>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股份增减变动的原因</w:t>
            </w:r>
          </w:p>
        </w:tc>
      </w:tr>
      <w:tr w:rsidR="00F3790B" w:rsidTr="00832133">
        <w:trPr>
          <w:trHeight w:val="240"/>
        </w:trPr>
        <w:tc>
          <w:tcPr>
            <w:tcW w:w="742" w:type="dxa"/>
            <w:vMerge w:val="restart"/>
            <w:vAlign w:val="center"/>
          </w:tcPr>
          <w:p w:rsidR="00F3790B" w:rsidRDefault="00F3790B">
            <w:pPr>
              <w:spacing w:line="240" w:lineRule="exact"/>
              <w:rPr>
                <w:rFonts w:ascii="宋体" w:eastAsia="宋体" w:hAnsi="宋体" w:cs="宋体"/>
                <w:sz w:val="18"/>
                <w:szCs w:val="18"/>
              </w:rPr>
            </w:pPr>
            <w:r>
              <w:rPr>
                <w:rFonts w:ascii="宋体" w:eastAsia="宋体" w:hAnsi="宋体" w:cs="宋体"/>
                <w:sz w:val="18"/>
                <w:szCs w:val="18"/>
              </w:rPr>
              <w:t>官</w:t>
            </w:r>
            <w:proofErr w:type="gramStart"/>
            <w:r>
              <w:rPr>
                <w:rFonts w:ascii="宋体" w:eastAsia="宋体" w:hAnsi="宋体" w:cs="宋体"/>
                <w:sz w:val="18"/>
                <w:szCs w:val="18"/>
              </w:rPr>
              <w:t>炳</w:t>
            </w:r>
            <w:proofErr w:type="gramEnd"/>
            <w:r>
              <w:rPr>
                <w:rFonts w:ascii="宋体" w:eastAsia="宋体" w:hAnsi="宋体" w:cs="宋体"/>
                <w:sz w:val="18"/>
                <w:szCs w:val="18"/>
              </w:rPr>
              <w:t>政</w:t>
            </w:r>
          </w:p>
        </w:tc>
        <w:tc>
          <w:tcPr>
            <w:tcW w:w="742" w:type="dxa"/>
            <w:vMerge w:val="restart"/>
            <w:vAlign w:val="center"/>
          </w:tcPr>
          <w:p w:rsidR="00F3790B" w:rsidRDefault="00F3790B">
            <w:pPr>
              <w:spacing w:line="240" w:lineRule="exact"/>
              <w:rPr>
                <w:rFonts w:ascii="宋体" w:eastAsia="宋体" w:hAnsi="宋体" w:cs="宋体"/>
                <w:sz w:val="18"/>
                <w:szCs w:val="18"/>
              </w:rPr>
            </w:pPr>
            <w:r>
              <w:rPr>
                <w:rFonts w:ascii="宋体" w:eastAsia="宋体" w:hAnsi="宋体" w:cs="宋体"/>
                <w:sz w:val="18"/>
                <w:szCs w:val="18"/>
              </w:rPr>
              <w:t>男</w:t>
            </w:r>
          </w:p>
        </w:tc>
        <w:tc>
          <w:tcPr>
            <w:tcW w:w="742" w:type="dxa"/>
            <w:vMerge w:val="restart"/>
            <w:vAlign w:val="center"/>
          </w:tcPr>
          <w:p w:rsidR="00F3790B" w:rsidRDefault="00F3790B">
            <w:pPr>
              <w:spacing w:line="240" w:lineRule="exact"/>
              <w:jc w:val="right"/>
              <w:rPr>
                <w:rFonts w:ascii="宋体" w:eastAsia="宋体" w:hAnsi="宋体" w:cs="宋体"/>
                <w:sz w:val="18"/>
                <w:szCs w:val="18"/>
              </w:rPr>
            </w:pPr>
            <w:r>
              <w:rPr>
                <w:rFonts w:ascii="宋体" w:eastAsia="宋体" w:hAnsi="宋体" w:cs="宋体"/>
                <w:sz w:val="18"/>
                <w:szCs w:val="18"/>
              </w:rPr>
              <w:t>49</w:t>
            </w:r>
          </w:p>
        </w:tc>
        <w:tc>
          <w:tcPr>
            <w:tcW w:w="742" w:type="dxa"/>
            <w:vAlign w:val="center"/>
          </w:tcPr>
          <w:p w:rsidR="00F3790B" w:rsidRDefault="00F3790B">
            <w:pPr>
              <w:spacing w:line="240" w:lineRule="exact"/>
              <w:rPr>
                <w:rFonts w:ascii="宋体" w:eastAsia="宋体" w:hAnsi="宋体" w:cs="宋体"/>
                <w:sz w:val="18"/>
                <w:szCs w:val="18"/>
              </w:rPr>
            </w:pPr>
            <w:r>
              <w:rPr>
                <w:rFonts w:ascii="宋体" w:eastAsia="宋体" w:hAnsi="宋体" w:cs="宋体"/>
                <w:sz w:val="18"/>
                <w:szCs w:val="18"/>
              </w:rPr>
              <w:t>董事长</w:t>
            </w:r>
          </w:p>
        </w:tc>
        <w:tc>
          <w:tcPr>
            <w:tcW w:w="742" w:type="dxa"/>
            <w:vAlign w:val="center"/>
          </w:tcPr>
          <w:p w:rsidR="00F3790B" w:rsidRDefault="00F3790B">
            <w:pPr>
              <w:spacing w:line="240" w:lineRule="exact"/>
              <w:rPr>
                <w:rFonts w:ascii="宋体" w:eastAsia="宋体" w:hAnsi="宋体" w:cs="宋体"/>
                <w:sz w:val="18"/>
                <w:szCs w:val="18"/>
              </w:rPr>
            </w:pPr>
            <w:r>
              <w:rPr>
                <w:rFonts w:ascii="宋体" w:eastAsia="宋体" w:hAnsi="宋体" w:cs="宋体"/>
                <w:sz w:val="18"/>
                <w:szCs w:val="18"/>
              </w:rPr>
              <w:t>现任</w:t>
            </w:r>
          </w:p>
        </w:tc>
        <w:tc>
          <w:tcPr>
            <w:tcW w:w="742" w:type="dxa"/>
            <w:vAlign w:val="center"/>
          </w:tcPr>
          <w:p w:rsidR="00F3790B" w:rsidRDefault="00F3790B">
            <w:pPr>
              <w:spacing w:line="240" w:lineRule="exact"/>
              <w:rPr>
                <w:rFonts w:ascii="宋体" w:eastAsia="宋体" w:hAnsi="宋体" w:cs="宋体"/>
                <w:sz w:val="18"/>
                <w:szCs w:val="18"/>
              </w:rPr>
            </w:pPr>
            <w:r>
              <w:rPr>
                <w:rFonts w:ascii="宋体" w:eastAsia="宋体" w:hAnsi="宋体" w:cs="宋体"/>
                <w:sz w:val="18"/>
                <w:szCs w:val="18"/>
              </w:rPr>
              <w:t>2021年01月29日</w:t>
            </w:r>
          </w:p>
        </w:tc>
        <w:tc>
          <w:tcPr>
            <w:tcW w:w="741" w:type="dxa"/>
            <w:vAlign w:val="center"/>
          </w:tcPr>
          <w:p w:rsidR="00F3790B" w:rsidRDefault="00F3790B">
            <w:pPr>
              <w:spacing w:line="240" w:lineRule="exact"/>
              <w:rPr>
                <w:rFonts w:ascii="宋体" w:eastAsia="宋体" w:hAnsi="宋体" w:cs="宋体"/>
                <w:sz w:val="18"/>
                <w:szCs w:val="18"/>
              </w:rPr>
            </w:pPr>
            <w:r>
              <w:rPr>
                <w:rFonts w:ascii="宋体" w:eastAsia="宋体" w:hAnsi="宋体" w:cs="宋体"/>
                <w:sz w:val="18"/>
                <w:szCs w:val="18"/>
              </w:rPr>
              <w:t>2025年05月27日</w:t>
            </w:r>
          </w:p>
        </w:tc>
        <w:tc>
          <w:tcPr>
            <w:tcW w:w="741" w:type="dxa"/>
            <w:vMerge w:val="restart"/>
            <w:vAlign w:val="center"/>
          </w:tcPr>
          <w:p w:rsidR="00F3790B" w:rsidRDefault="00F3790B">
            <w:pPr>
              <w:spacing w:line="240" w:lineRule="exact"/>
              <w:jc w:val="right"/>
              <w:rPr>
                <w:rFonts w:ascii="宋体" w:eastAsia="宋体" w:hAnsi="宋体" w:cs="宋体"/>
                <w:sz w:val="18"/>
                <w:szCs w:val="18"/>
              </w:rPr>
            </w:pPr>
            <w:r>
              <w:rPr>
                <w:rFonts w:ascii="宋体" w:eastAsia="宋体" w:hAnsi="宋体" w:cs="宋体"/>
                <w:sz w:val="18"/>
                <w:szCs w:val="18"/>
              </w:rPr>
              <w:t>2,000,000</w:t>
            </w:r>
          </w:p>
        </w:tc>
        <w:tc>
          <w:tcPr>
            <w:tcW w:w="741" w:type="dxa"/>
            <w:vMerge w:val="restart"/>
            <w:vAlign w:val="center"/>
          </w:tcPr>
          <w:p w:rsidR="00F3790B" w:rsidRDefault="00F3790B">
            <w:pPr>
              <w:spacing w:line="240" w:lineRule="exact"/>
              <w:jc w:val="right"/>
              <w:rPr>
                <w:rFonts w:ascii="宋体" w:eastAsia="宋体" w:hAnsi="宋体" w:cs="宋体"/>
                <w:sz w:val="18"/>
                <w:szCs w:val="18"/>
              </w:rPr>
            </w:pPr>
            <w:r>
              <w:rPr>
                <w:rFonts w:ascii="宋体" w:eastAsia="宋体" w:hAnsi="宋体" w:cs="宋体"/>
                <w:sz w:val="18"/>
                <w:szCs w:val="18"/>
              </w:rPr>
              <w:t>5,000,000</w:t>
            </w:r>
          </w:p>
        </w:tc>
        <w:tc>
          <w:tcPr>
            <w:tcW w:w="741" w:type="dxa"/>
            <w:vMerge w:val="restart"/>
            <w:vAlign w:val="center"/>
          </w:tcPr>
          <w:p w:rsidR="00F3790B" w:rsidRDefault="00F3790B">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vMerge w:val="restart"/>
            <w:vAlign w:val="center"/>
          </w:tcPr>
          <w:p w:rsidR="00F3790B" w:rsidRDefault="00F3790B">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vMerge w:val="restart"/>
            <w:vAlign w:val="center"/>
          </w:tcPr>
          <w:p w:rsidR="00F3790B" w:rsidRDefault="00F3790B">
            <w:pPr>
              <w:spacing w:line="240" w:lineRule="exact"/>
              <w:jc w:val="right"/>
              <w:rPr>
                <w:rFonts w:ascii="宋体" w:eastAsia="宋体" w:hAnsi="宋体" w:cs="宋体"/>
                <w:sz w:val="18"/>
                <w:szCs w:val="18"/>
              </w:rPr>
            </w:pPr>
            <w:r>
              <w:rPr>
                <w:rFonts w:ascii="宋体" w:eastAsia="宋体" w:hAnsi="宋体" w:cs="宋体"/>
                <w:sz w:val="18"/>
                <w:szCs w:val="18"/>
              </w:rPr>
              <w:t>7,000,000</w:t>
            </w:r>
          </w:p>
        </w:tc>
        <w:tc>
          <w:tcPr>
            <w:tcW w:w="741" w:type="dxa"/>
            <w:vMerge w:val="restart"/>
            <w:vAlign w:val="center"/>
          </w:tcPr>
          <w:p w:rsidR="00F3790B" w:rsidRDefault="00F3790B">
            <w:pPr>
              <w:spacing w:line="240" w:lineRule="exact"/>
              <w:rPr>
                <w:rFonts w:ascii="宋体" w:eastAsia="宋体" w:hAnsi="宋体" w:cs="宋体"/>
                <w:sz w:val="18"/>
                <w:szCs w:val="18"/>
              </w:rPr>
            </w:pPr>
            <w:r>
              <w:rPr>
                <w:rFonts w:ascii="宋体" w:eastAsia="宋体" w:hAnsi="宋体" w:cs="宋体"/>
                <w:sz w:val="18"/>
                <w:szCs w:val="18"/>
              </w:rPr>
              <w:t>股权激励</w:t>
            </w:r>
          </w:p>
        </w:tc>
      </w:tr>
      <w:tr w:rsidR="00F3790B" w:rsidTr="00832133">
        <w:trPr>
          <w:trHeight w:val="240"/>
        </w:trPr>
        <w:tc>
          <w:tcPr>
            <w:tcW w:w="742" w:type="dxa"/>
            <w:vMerge/>
            <w:vAlign w:val="center"/>
          </w:tcPr>
          <w:p w:rsidR="00F3790B" w:rsidRDefault="00F3790B">
            <w:pPr>
              <w:spacing w:line="240" w:lineRule="exact"/>
              <w:rPr>
                <w:rFonts w:ascii="宋体" w:eastAsia="宋体" w:hAnsi="宋体" w:cs="宋体"/>
                <w:sz w:val="18"/>
                <w:szCs w:val="18"/>
              </w:rPr>
            </w:pPr>
          </w:p>
        </w:tc>
        <w:tc>
          <w:tcPr>
            <w:tcW w:w="742" w:type="dxa"/>
            <w:vMerge/>
            <w:vAlign w:val="center"/>
          </w:tcPr>
          <w:p w:rsidR="00F3790B" w:rsidRDefault="00F3790B">
            <w:pPr>
              <w:spacing w:line="240" w:lineRule="exact"/>
              <w:rPr>
                <w:rFonts w:ascii="宋体" w:eastAsia="宋体" w:hAnsi="宋体" w:cs="宋体"/>
                <w:sz w:val="18"/>
                <w:szCs w:val="18"/>
              </w:rPr>
            </w:pPr>
          </w:p>
        </w:tc>
        <w:tc>
          <w:tcPr>
            <w:tcW w:w="742" w:type="dxa"/>
            <w:vMerge/>
            <w:vAlign w:val="center"/>
          </w:tcPr>
          <w:p w:rsidR="00F3790B" w:rsidRDefault="00F3790B">
            <w:pPr>
              <w:spacing w:line="240" w:lineRule="exact"/>
              <w:jc w:val="right"/>
              <w:rPr>
                <w:rFonts w:ascii="宋体" w:eastAsia="宋体" w:hAnsi="宋体" w:cs="宋体"/>
                <w:sz w:val="18"/>
                <w:szCs w:val="18"/>
              </w:rPr>
            </w:pPr>
          </w:p>
        </w:tc>
        <w:tc>
          <w:tcPr>
            <w:tcW w:w="742" w:type="dxa"/>
            <w:vAlign w:val="center"/>
          </w:tcPr>
          <w:p w:rsidR="00F3790B" w:rsidRDefault="00F3790B">
            <w:pPr>
              <w:spacing w:line="240" w:lineRule="exact"/>
              <w:rPr>
                <w:rFonts w:ascii="宋体" w:eastAsia="宋体" w:hAnsi="宋体" w:cs="宋体"/>
                <w:sz w:val="18"/>
                <w:szCs w:val="18"/>
              </w:rPr>
            </w:pPr>
            <w:r>
              <w:rPr>
                <w:rFonts w:ascii="宋体" w:eastAsia="宋体" w:hAnsi="宋体" w:cs="宋体"/>
                <w:sz w:val="18"/>
                <w:szCs w:val="18"/>
              </w:rPr>
              <w:t>董事</w:t>
            </w:r>
          </w:p>
        </w:tc>
        <w:tc>
          <w:tcPr>
            <w:tcW w:w="742" w:type="dxa"/>
            <w:vAlign w:val="center"/>
          </w:tcPr>
          <w:p w:rsidR="00F3790B" w:rsidRDefault="00F3790B">
            <w:pPr>
              <w:spacing w:line="240" w:lineRule="exact"/>
              <w:rPr>
                <w:rFonts w:ascii="宋体" w:eastAsia="宋体" w:hAnsi="宋体" w:cs="宋体"/>
                <w:sz w:val="18"/>
                <w:szCs w:val="18"/>
              </w:rPr>
            </w:pPr>
            <w:r>
              <w:rPr>
                <w:rFonts w:ascii="宋体" w:eastAsia="宋体" w:hAnsi="宋体" w:cs="宋体"/>
                <w:sz w:val="18"/>
                <w:szCs w:val="18"/>
              </w:rPr>
              <w:t>现任</w:t>
            </w:r>
          </w:p>
        </w:tc>
        <w:tc>
          <w:tcPr>
            <w:tcW w:w="742" w:type="dxa"/>
            <w:vAlign w:val="center"/>
          </w:tcPr>
          <w:p w:rsidR="00F3790B" w:rsidRDefault="00F3790B">
            <w:pPr>
              <w:spacing w:line="240" w:lineRule="exact"/>
              <w:rPr>
                <w:rFonts w:ascii="宋体" w:eastAsia="宋体" w:hAnsi="宋体" w:cs="宋体"/>
                <w:sz w:val="18"/>
                <w:szCs w:val="18"/>
              </w:rPr>
            </w:pPr>
            <w:r>
              <w:rPr>
                <w:rFonts w:ascii="宋体" w:eastAsia="宋体" w:hAnsi="宋体" w:cs="宋体"/>
                <w:sz w:val="18"/>
                <w:szCs w:val="18"/>
              </w:rPr>
              <w:t>2021年01月29日</w:t>
            </w:r>
          </w:p>
        </w:tc>
        <w:tc>
          <w:tcPr>
            <w:tcW w:w="741" w:type="dxa"/>
            <w:vAlign w:val="center"/>
          </w:tcPr>
          <w:p w:rsidR="00F3790B" w:rsidRDefault="00F3790B">
            <w:pPr>
              <w:spacing w:line="240" w:lineRule="exact"/>
              <w:rPr>
                <w:rFonts w:ascii="宋体" w:eastAsia="宋体" w:hAnsi="宋体" w:cs="宋体"/>
                <w:sz w:val="18"/>
                <w:szCs w:val="18"/>
              </w:rPr>
            </w:pPr>
            <w:r>
              <w:rPr>
                <w:rFonts w:ascii="宋体" w:eastAsia="宋体" w:hAnsi="宋体" w:cs="宋体"/>
                <w:sz w:val="18"/>
                <w:szCs w:val="18"/>
              </w:rPr>
              <w:t>2025年05月27日</w:t>
            </w:r>
          </w:p>
        </w:tc>
        <w:tc>
          <w:tcPr>
            <w:tcW w:w="741" w:type="dxa"/>
            <w:vMerge/>
            <w:vAlign w:val="center"/>
          </w:tcPr>
          <w:p w:rsidR="00F3790B" w:rsidRDefault="00F3790B">
            <w:pPr>
              <w:spacing w:line="240" w:lineRule="exact"/>
              <w:jc w:val="right"/>
              <w:rPr>
                <w:rFonts w:ascii="宋体" w:eastAsia="宋体" w:hAnsi="宋体" w:cs="宋体"/>
                <w:sz w:val="18"/>
                <w:szCs w:val="18"/>
              </w:rPr>
            </w:pPr>
          </w:p>
        </w:tc>
        <w:tc>
          <w:tcPr>
            <w:tcW w:w="741" w:type="dxa"/>
            <w:vMerge/>
            <w:vAlign w:val="center"/>
          </w:tcPr>
          <w:p w:rsidR="00F3790B" w:rsidRDefault="00F3790B">
            <w:pPr>
              <w:spacing w:line="240" w:lineRule="exact"/>
              <w:jc w:val="right"/>
              <w:rPr>
                <w:rFonts w:ascii="宋体" w:eastAsia="宋体" w:hAnsi="宋体" w:cs="宋体"/>
                <w:sz w:val="18"/>
                <w:szCs w:val="18"/>
              </w:rPr>
            </w:pPr>
          </w:p>
        </w:tc>
        <w:tc>
          <w:tcPr>
            <w:tcW w:w="741" w:type="dxa"/>
            <w:vMerge/>
            <w:vAlign w:val="center"/>
          </w:tcPr>
          <w:p w:rsidR="00F3790B" w:rsidRDefault="00F3790B">
            <w:pPr>
              <w:spacing w:line="240" w:lineRule="exact"/>
              <w:jc w:val="right"/>
              <w:rPr>
                <w:rFonts w:ascii="宋体" w:eastAsia="宋体" w:hAnsi="宋体" w:cs="宋体"/>
                <w:sz w:val="18"/>
                <w:szCs w:val="18"/>
              </w:rPr>
            </w:pPr>
          </w:p>
        </w:tc>
        <w:tc>
          <w:tcPr>
            <w:tcW w:w="741" w:type="dxa"/>
            <w:vMerge/>
            <w:vAlign w:val="center"/>
          </w:tcPr>
          <w:p w:rsidR="00F3790B" w:rsidRDefault="00F3790B">
            <w:pPr>
              <w:spacing w:line="240" w:lineRule="exact"/>
              <w:jc w:val="right"/>
              <w:rPr>
                <w:rFonts w:ascii="宋体" w:eastAsia="宋体" w:hAnsi="宋体" w:cs="宋体"/>
                <w:sz w:val="18"/>
                <w:szCs w:val="18"/>
              </w:rPr>
            </w:pPr>
          </w:p>
        </w:tc>
        <w:tc>
          <w:tcPr>
            <w:tcW w:w="741" w:type="dxa"/>
            <w:vMerge/>
            <w:vAlign w:val="center"/>
          </w:tcPr>
          <w:p w:rsidR="00F3790B" w:rsidRDefault="00F3790B">
            <w:pPr>
              <w:spacing w:line="240" w:lineRule="exact"/>
              <w:jc w:val="right"/>
              <w:rPr>
                <w:rFonts w:ascii="宋体" w:eastAsia="宋体" w:hAnsi="宋体" w:cs="宋体"/>
                <w:sz w:val="18"/>
                <w:szCs w:val="18"/>
              </w:rPr>
            </w:pPr>
          </w:p>
        </w:tc>
        <w:tc>
          <w:tcPr>
            <w:tcW w:w="741" w:type="dxa"/>
            <w:vMerge/>
            <w:vAlign w:val="center"/>
          </w:tcPr>
          <w:p w:rsidR="00F3790B" w:rsidRDefault="00F3790B">
            <w:pPr>
              <w:spacing w:line="240" w:lineRule="exact"/>
              <w:rPr>
                <w:rFonts w:ascii="宋体" w:eastAsia="宋体" w:hAnsi="宋体" w:cs="宋体"/>
                <w:sz w:val="18"/>
                <w:szCs w:val="18"/>
              </w:rPr>
            </w:pPr>
          </w:p>
        </w:tc>
      </w:tr>
      <w:tr w:rsidR="00F3790B" w:rsidTr="00832133">
        <w:trPr>
          <w:trHeight w:val="240"/>
        </w:trPr>
        <w:tc>
          <w:tcPr>
            <w:tcW w:w="742" w:type="dxa"/>
            <w:vMerge/>
            <w:vAlign w:val="center"/>
          </w:tcPr>
          <w:p w:rsidR="00F3790B" w:rsidRDefault="00F3790B">
            <w:pPr>
              <w:spacing w:line="240" w:lineRule="exact"/>
              <w:rPr>
                <w:rFonts w:ascii="宋体" w:eastAsia="宋体" w:hAnsi="宋体" w:cs="宋体"/>
                <w:sz w:val="18"/>
                <w:szCs w:val="18"/>
              </w:rPr>
            </w:pPr>
          </w:p>
        </w:tc>
        <w:tc>
          <w:tcPr>
            <w:tcW w:w="742" w:type="dxa"/>
            <w:vMerge/>
            <w:vAlign w:val="center"/>
          </w:tcPr>
          <w:p w:rsidR="00F3790B" w:rsidRDefault="00F3790B">
            <w:pPr>
              <w:spacing w:line="240" w:lineRule="exact"/>
              <w:rPr>
                <w:rFonts w:ascii="宋体" w:eastAsia="宋体" w:hAnsi="宋体" w:cs="宋体"/>
                <w:sz w:val="18"/>
                <w:szCs w:val="18"/>
              </w:rPr>
            </w:pPr>
          </w:p>
        </w:tc>
        <w:tc>
          <w:tcPr>
            <w:tcW w:w="742" w:type="dxa"/>
            <w:vMerge/>
            <w:vAlign w:val="center"/>
          </w:tcPr>
          <w:p w:rsidR="00F3790B" w:rsidRDefault="00F3790B">
            <w:pPr>
              <w:spacing w:line="240" w:lineRule="exact"/>
              <w:jc w:val="right"/>
              <w:rPr>
                <w:rFonts w:ascii="宋体" w:eastAsia="宋体" w:hAnsi="宋体" w:cs="宋体"/>
                <w:sz w:val="18"/>
                <w:szCs w:val="18"/>
              </w:rPr>
            </w:pPr>
          </w:p>
        </w:tc>
        <w:tc>
          <w:tcPr>
            <w:tcW w:w="742" w:type="dxa"/>
            <w:vAlign w:val="center"/>
          </w:tcPr>
          <w:p w:rsidR="00F3790B" w:rsidRDefault="00F3790B">
            <w:pPr>
              <w:spacing w:line="240" w:lineRule="exact"/>
              <w:rPr>
                <w:rFonts w:ascii="宋体" w:eastAsia="宋体" w:hAnsi="宋体" w:cs="宋体"/>
                <w:sz w:val="18"/>
                <w:szCs w:val="18"/>
              </w:rPr>
            </w:pPr>
            <w:r>
              <w:rPr>
                <w:rFonts w:ascii="宋体" w:eastAsia="宋体" w:hAnsi="宋体" w:cs="宋体"/>
                <w:sz w:val="18"/>
                <w:szCs w:val="18"/>
              </w:rPr>
              <w:t>总裁</w:t>
            </w:r>
          </w:p>
        </w:tc>
        <w:tc>
          <w:tcPr>
            <w:tcW w:w="742" w:type="dxa"/>
            <w:vAlign w:val="center"/>
          </w:tcPr>
          <w:p w:rsidR="00F3790B" w:rsidRDefault="00F3790B">
            <w:pPr>
              <w:spacing w:line="240" w:lineRule="exact"/>
              <w:rPr>
                <w:rFonts w:ascii="宋体" w:eastAsia="宋体" w:hAnsi="宋体" w:cs="宋体"/>
                <w:sz w:val="18"/>
                <w:szCs w:val="18"/>
              </w:rPr>
            </w:pPr>
            <w:r>
              <w:rPr>
                <w:rFonts w:ascii="宋体" w:eastAsia="宋体" w:hAnsi="宋体" w:cs="宋体"/>
                <w:sz w:val="18"/>
                <w:szCs w:val="18"/>
              </w:rPr>
              <w:t>现任</w:t>
            </w:r>
          </w:p>
        </w:tc>
        <w:tc>
          <w:tcPr>
            <w:tcW w:w="742" w:type="dxa"/>
            <w:vAlign w:val="center"/>
          </w:tcPr>
          <w:p w:rsidR="00F3790B" w:rsidRDefault="00F3790B">
            <w:pPr>
              <w:spacing w:line="240" w:lineRule="exact"/>
              <w:rPr>
                <w:rFonts w:ascii="宋体" w:eastAsia="宋体" w:hAnsi="宋体" w:cs="宋体"/>
                <w:sz w:val="18"/>
                <w:szCs w:val="18"/>
              </w:rPr>
            </w:pPr>
            <w:r>
              <w:rPr>
                <w:rFonts w:ascii="宋体" w:eastAsia="宋体" w:hAnsi="宋体" w:cs="宋体"/>
                <w:sz w:val="18"/>
                <w:szCs w:val="18"/>
              </w:rPr>
              <w:t>2015年10月27日</w:t>
            </w:r>
          </w:p>
        </w:tc>
        <w:tc>
          <w:tcPr>
            <w:tcW w:w="741" w:type="dxa"/>
            <w:vAlign w:val="center"/>
          </w:tcPr>
          <w:p w:rsidR="00F3790B" w:rsidRDefault="00F3790B">
            <w:pPr>
              <w:spacing w:line="240" w:lineRule="exact"/>
              <w:rPr>
                <w:rFonts w:ascii="宋体" w:eastAsia="宋体" w:hAnsi="宋体" w:cs="宋体"/>
                <w:sz w:val="18"/>
                <w:szCs w:val="18"/>
              </w:rPr>
            </w:pPr>
            <w:r>
              <w:rPr>
                <w:rFonts w:ascii="宋体" w:eastAsia="宋体" w:hAnsi="宋体" w:cs="宋体"/>
                <w:sz w:val="18"/>
                <w:szCs w:val="18"/>
              </w:rPr>
              <w:t>2025年05月27日</w:t>
            </w:r>
          </w:p>
        </w:tc>
        <w:tc>
          <w:tcPr>
            <w:tcW w:w="741" w:type="dxa"/>
            <w:vMerge/>
            <w:vAlign w:val="center"/>
          </w:tcPr>
          <w:p w:rsidR="00F3790B" w:rsidRDefault="00F3790B">
            <w:pPr>
              <w:spacing w:line="240" w:lineRule="exact"/>
              <w:jc w:val="right"/>
              <w:rPr>
                <w:rFonts w:ascii="宋体" w:eastAsia="宋体" w:hAnsi="宋体" w:cs="宋体"/>
                <w:sz w:val="18"/>
                <w:szCs w:val="18"/>
              </w:rPr>
            </w:pPr>
          </w:p>
        </w:tc>
        <w:tc>
          <w:tcPr>
            <w:tcW w:w="741" w:type="dxa"/>
            <w:vMerge/>
            <w:vAlign w:val="center"/>
          </w:tcPr>
          <w:p w:rsidR="00F3790B" w:rsidRDefault="00F3790B">
            <w:pPr>
              <w:spacing w:line="240" w:lineRule="exact"/>
              <w:jc w:val="right"/>
              <w:rPr>
                <w:rFonts w:ascii="宋体" w:eastAsia="宋体" w:hAnsi="宋体" w:cs="宋体"/>
                <w:sz w:val="18"/>
                <w:szCs w:val="18"/>
              </w:rPr>
            </w:pPr>
          </w:p>
        </w:tc>
        <w:tc>
          <w:tcPr>
            <w:tcW w:w="741" w:type="dxa"/>
            <w:vMerge/>
            <w:vAlign w:val="center"/>
          </w:tcPr>
          <w:p w:rsidR="00F3790B" w:rsidRDefault="00F3790B">
            <w:pPr>
              <w:spacing w:line="240" w:lineRule="exact"/>
              <w:jc w:val="right"/>
              <w:rPr>
                <w:rFonts w:ascii="宋体" w:eastAsia="宋体" w:hAnsi="宋体" w:cs="宋体"/>
                <w:sz w:val="18"/>
                <w:szCs w:val="18"/>
              </w:rPr>
            </w:pPr>
          </w:p>
        </w:tc>
        <w:tc>
          <w:tcPr>
            <w:tcW w:w="741" w:type="dxa"/>
            <w:vMerge/>
            <w:vAlign w:val="center"/>
          </w:tcPr>
          <w:p w:rsidR="00F3790B" w:rsidRDefault="00F3790B">
            <w:pPr>
              <w:spacing w:line="240" w:lineRule="exact"/>
              <w:jc w:val="right"/>
              <w:rPr>
                <w:rFonts w:ascii="宋体" w:eastAsia="宋体" w:hAnsi="宋体" w:cs="宋体"/>
                <w:sz w:val="18"/>
                <w:szCs w:val="18"/>
              </w:rPr>
            </w:pPr>
          </w:p>
        </w:tc>
        <w:tc>
          <w:tcPr>
            <w:tcW w:w="741" w:type="dxa"/>
            <w:vMerge/>
            <w:vAlign w:val="center"/>
          </w:tcPr>
          <w:p w:rsidR="00F3790B" w:rsidRDefault="00F3790B">
            <w:pPr>
              <w:spacing w:line="240" w:lineRule="exact"/>
              <w:jc w:val="right"/>
              <w:rPr>
                <w:rFonts w:ascii="宋体" w:eastAsia="宋体" w:hAnsi="宋体" w:cs="宋体"/>
                <w:sz w:val="18"/>
                <w:szCs w:val="18"/>
              </w:rPr>
            </w:pPr>
          </w:p>
        </w:tc>
        <w:tc>
          <w:tcPr>
            <w:tcW w:w="741" w:type="dxa"/>
            <w:vMerge/>
            <w:vAlign w:val="center"/>
          </w:tcPr>
          <w:p w:rsidR="00F3790B" w:rsidRDefault="00F3790B">
            <w:pPr>
              <w:spacing w:line="240" w:lineRule="exact"/>
              <w:rPr>
                <w:rFonts w:ascii="宋体" w:eastAsia="宋体" w:hAnsi="宋体" w:cs="宋体"/>
                <w:sz w:val="18"/>
                <w:szCs w:val="18"/>
              </w:rPr>
            </w:pPr>
          </w:p>
        </w:tc>
      </w:tr>
      <w:tr w:rsidR="00F3790B" w:rsidTr="00832133">
        <w:trPr>
          <w:trHeight w:val="240"/>
        </w:trPr>
        <w:tc>
          <w:tcPr>
            <w:tcW w:w="742" w:type="dxa"/>
            <w:vMerge w:val="restart"/>
            <w:vAlign w:val="center"/>
          </w:tcPr>
          <w:p w:rsidR="00F3790B" w:rsidRDefault="00F3790B">
            <w:pPr>
              <w:spacing w:line="240" w:lineRule="exact"/>
              <w:rPr>
                <w:rFonts w:ascii="宋体" w:eastAsia="宋体" w:hAnsi="宋体" w:cs="宋体"/>
                <w:sz w:val="18"/>
                <w:szCs w:val="18"/>
              </w:rPr>
            </w:pPr>
            <w:r>
              <w:rPr>
                <w:rFonts w:ascii="宋体" w:eastAsia="宋体" w:hAnsi="宋体" w:cs="宋体"/>
                <w:sz w:val="18"/>
                <w:szCs w:val="18"/>
              </w:rPr>
              <w:t>杨慧丽</w:t>
            </w:r>
          </w:p>
        </w:tc>
        <w:tc>
          <w:tcPr>
            <w:tcW w:w="742" w:type="dxa"/>
            <w:vMerge w:val="restart"/>
            <w:vAlign w:val="center"/>
          </w:tcPr>
          <w:p w:rsidR="00F3790B" w:rsidRDefault="00F3790B">
            <w:pPr>
              <w:spacing w:line="240" w:lineRule="exact"/>
              <w:rPr>
                <w:rFonts w:ascii="宋体" w:eastAsia="宋体" w:hAnsi="宋体" w:cs="宋体"/>
                <w:sz w:val="18"/>
                <w:szCs w:val="18"/>
              </w:rPr>
            </w:pPr>
            <w:r>
              <w:rPr>
                <w:rFonts w:ascii="宋体" w:eastAsia="宋体" w:hAnsi="宋体" w:cs="宋体"/>
                <w:sz w:val="18"/>
                <w:szCs w:val="18"/>
              </w:rPr>
              <w:t>女</w:t>
            </w:r>
          </w:p>
        </w:tc>
        <w:tc>
          <w:tcPr>
            <w:tcW w:w="742" w:type="dxa"/>
            <w:vMerge w:val="restart"/>
            <w:vAlign w:val="center"/>
          </w:tcPr>
          <w:p w:rsidR="00F3790B" w:rsidRDefault="00F3790B">
            <w:pPr>
              <w:spacing w:line="240" w:lineRule="exact"/>
              <w:jc w:val="right"/>
              <w:rPr>
                <w:rFonts w:ascii="宋体" w:eastAsia="宋体" w:hAnsi="宋体" w:cs="宋体"/>
                <w:sz w:val="18"/>
                <w:szCs w:val="18"/>
              </w:rPr>
            </w:pPr>
            <w:r>
              <w:rPr>
                <w:rFonts w:ascii="宋体" w:eastAsia="宋体" w:hAnsi="宋体" w:cs="宋体"/>
                <w:sz w:val="18"/>
                <w:szCs w:val="18"/>
              </w:rPr>
              <w:t>46</w:t>
            </w:r>
          </w:p>
        </w:tc>
        <w:tc>
          <w:tcPr>
            <w:tcW w:w="742" w:type="dxa"/>
            <w:vAlign w:val="center"/>
          </w:tcPr>
          <w:p w:rsidR="00F3790B" w:rsidRDefault="00F3790B">
            <w:pPr>
              <w:spacing w:line="240" w:lineRule="exact"/>
              <w:rPr>
                <w:rFonts w:ascii="宋体" w:eastAsia="宋体" w:hAnsi="宋体" w:cs="宋体"/>
                <w:sz w:val="18"/>
                <w:szCs w:val="18"/>
              </w:rPr>
            </w:pPr>
            <w:r>
              <w:rPr>
                <w:rFonts w:ascii="宋体" w:eastAsia="宋体" w:hAnsi="宋体" w:cs="宋体"/>
                <w:sz w:val="18"/>
                <w:szCs w:val="18"/>
              </w:rPr>
              <w:t>董事</w:t>
            </w:r>
          </w:p>
        </w:tc>
        <w:tc>
          <w:tcPr>
            <w:tcW w:w="742" w:type="dxa"/>
            <w:vAlign w:val="center"/>
          </w:tcPr>
          <w:p w:rsidR="00F3790B" w:rsidRDefault="00F3790B">
            <w:pPr>
              <w:spacing w:line="240" w:lineRule="exact"/>
              <w:rPr>
                <w:rFonts w:ascii="宋体" w:eastAsia="宋体" w:hAnsi="宋体" w:cs="宋体"/>
                <w:sz w:val="18"/>
                <w:szCs w:val="18"/>
              </w:rPr>
            </w:pPr>
            <w:r>
              <w:rPr>
                <w:rFonts w:ascii="宋体" w:eastAsia="宋体" w:hAnsi="宋体" w:cs="宋体"/>
                <w:sz w:val="18"/>
                <w:szCs w:val="18"/>
              </w:rPr>
              <w:t>现任</w:t>
            </w:r>
          </w:p>
        </w:tc>
        <w:tc>
          <w:tcPr>
            <w:tcW w:w="742" w:type="dxa"/>
            <w:vAlign w:val="center"/>
          </w:tcPr>
          <w:p w:rsidR="00F3790B" w:rsidRDefault="00F3790B">
            <w:pPr>
              <w:spacing w:line="240" w:lineRule="exact"/>
              <w:rPr>
                <w:rFonts w:ascii="宋体" w:eastAsia="宋体" w:hAnsi="宋体" w:cs="宋体"/>
                <w:sz w:val="18"/>
                <w:szCs w:val="18"/>
              </w:rPr>
            </w:pPr>
            <w:r>
              <w:rPr>
                <w:rFonts w:ascii="宋体" w:eastAsia="宋体" w:hAnsi="宋体" w:cs="宋体"/>
                <w:sz w:val="18"/>
                <w:szCs w:val="18"/>
              </w:rPr>
              <w:t>2021年02月24日</w:t>
            </w:r>
          </w:p>
        </w:tc>
        <w:tc>
          <w:tcPr>
            <w:tcW w:w="741" w:type="dxa"/>
            <w:vAlign w:val="center"/>
          </w:tcPr>
          <w:p w:rsidR="00F3790B" w:rsidRDefault="00F3790B">
            <w:pPr>
              <w:spacing w:line="240" w:lineRule="exact"/>
              <w:rPr>
                <w:rFonts w:ascii="宋体" w:eastAsia="宋体" w:hAnsi="宋体" w:cs="宋体"/>
                <w:sz w:val="18"/>
                <w:szCs w:val="18"/>
              </w:rPr>
            </w:pPr>
            <w:r>
              <w:rPr>
                <w:rFonts w:ascii="宋体" w:eastAsia="宋体" w:hAnsi="宋体" w:cs="宋体"/>
                <w:sz w:val="18"/>
                <w:szCs w:val="18"/>
              </w:rPr>
              <w:t>2025年05月27日</w:t>
            </w:r>
          </w:p>
        </w:tc>
        <w:tc>
          <w:tcPr>
            <w:tcW w:w="741" w:type="dxa"/>
            <w:vMerge w:val="restart"/>
            <w:vAlign w:val="center"/>
          </w:tcPr>
          <w:p w:rsidR="00F3790B" w:rsidRDefault="00F3790B">
            <w:pPr>
              <w:spacing w:line="240" w:lineRule="exact"/>
              <w:jc w:val="right"/>
              <w:rPr>
                <w:rFonts w:ascii="宋体" w:eastAsia="宋体" w:hAnsi="宋体" w:cs="宋体"/>
                <w:sz w:val="18"/>
                <w:szCs w:val="18"/>
              </w:rPr>
            </w:pPr>
            <w:r>
              <w:rPr>
                <w:rFonts w:ascii="宋体" w:eastAsia="宋体" w:hAnsi="宋体" w:cs="宋体"/>
                <w:sz w:val="18"/>
                <w:szCs w:val="18"/>
              </w:rPr>
              <w:t>1,200,000</w:t>
            </w:r>
          </w:p>
        </w:tc>
        <w:tc>
          <w:tcPr>
            <w:tcW w:w="741" w:type="dxa"/>
            <w:vMerge w:val="restart"/>
            <w:vAlign w:val="center"/>
          </w:tcPr>
          <w:p w:rsidR="00F3790B" w:rsidRDefault="00F3790B">
            <w:pPr>
              <w:spacing w:line="240" w:lineRule="exact"/>
              <w:jc w:val="right"/>
              <w:rPr>
                <w:rFonts w:ascii="宋体" w:eastAsia="宋体" w:hAnsi="宋体" w:cs="宋体"/>
                <w:sz w:val="18"/>
                <w:szCs w:val="18"/>
              </w:rPr>
            </w:pPr>
            <w:r>
              <w:rPr>
                <w:rFonts w:ascii="宋体" w:eastAsia="宋体" w:hAnsi="宋体" w:cs="宋体"/>
                <w:sz w:val="18"/>
                <w:szCs w:val="18"/>
              </w:rPr>
              <w:t>1,000,000</w:t>
            </w:r>
          </w:p>
        </w:tc>
        <w:tc>
          <w:tcPr>
            <w:tcW w:w="741" w:type="dxa"/>
            <w:vMerge w:val="restart"/>
            <w:vAlign w:val="center"/>
          </w:tcPr>
          <w:p w:rsidR="00F3790B" w:rsidRDefault="00F3790B">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vMerge w:val="restart"/>
            <w:vAlign w:val="center"/>
          </w:tcPr>
          <w:p w:rsidR="00F3790B" w:rsidRDefault="00F3790B">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vMerge w:val="restart"/>
            <w:vAlign w:val="center"/>
          </w:tcPr>
          <w:p w:rsidR="00F3790B" w:rsidRDefault="00F3790B">
            <w:pPr>
              <w:spacing w:line="240" w:lineRule="exact"/>
              <w:jc w:val="right"/>
              <w:rPr>
                <w:rFonts w:ascii="宋体" w:eastAsia="宋体" w:hAnsi="宋体" w:cs="宋体"/>
                <w:sz w:val="18"/>
                <w:szCs w:val="18"/>
              </w:rPr>
            </w:pPr>
            <w:r>
              <w:rPr>
                <w:rFonts w:ascii="宋体" w:eastAsia="宋体" w:hAnsi="宋体" w:cs="宋体"/>
                <w:sz w:val="18"/>
                <w:szCs w:val="18"/>
              </w:rPr>
              <w:t>2,200,000</w:t>
            </w:r>
          </w:p>
        </w:tc>
        <w:tc>
          <w:tcPr>
            <w:tcW w:w="741" w:type="dxa"/>
            <w:vMerge w:val="restart"/>
            <w:vAlign w:val="center"/>
          </w:tcPr>
          <w:p w:rsidR="00F3790B" w:rsidRDefault="00F3790B">
            <w:pPr>
              <w:spacing w:line="240" w:lineRule="exact"/>
              <w:rPr>
                <w:rFonts w:ascii="宋体" w:eastAsia="宋体" w:hAnsi="宋体" w:cs="宋体"/>
                <w:sz w:val="18"/>
                <w:szCs w:val="18"/>
              </w:rPr>
            </w:pPr>
            <w:r>
              <w:rPr>
                <w:rFonts w:ascii="宋体" w:eastAsia="宋体" w:hAnsi="宋体" w:cs="宋体"/>
                <w:sz w:val="18"/>
                <w:szCs w:val="18"/>
              </w:rPr>
              <w:t>股权激励</w:t>
            </w:r>
          </w:p>
        </w:tc>
      </w:tr>
      <w:tr w:rsidR="00F3790B" w:rsidTr="00832133">
        <w:trPr>
          <w:trHeight w:val="240"/>
        </w:trPr>
        <w:tc>
          <w:tcPr>
            <w:tcW w:w="742" w:type="dxa"/>
            <w:vMerge/>
            <w:vAlign w:val="center"/>
          </w:tcPr>
          <w:p w:rsidR="00F3790B" w:rsidRDefault="00F3790B">
            <w:pPr>
              <w:spacing w:line="240" w:lineRule="exact"/>
              <w:rPr>
                <w:rFonts w:ascii="宋体" w:eastAsia="宋体" w:hAnsi="宋体" w:cs="宋体"/>
                <w:sz w:val="18"/>
                <w:szCs w:val="18"/>
              </w:rPr>
            </w:pPr>
          </w:p>
        </w:tc>
        <w:tc>
          <w:tcPr>
            <w:tcW w:w="742" w:type="dxa"/>
            <w:vMerge/>
            <w:vAlign w:val="center"/>
          </w:tcPr>
          <w:p w:rsidR="00F3790B" w:rsidRDefault="00F3790B">
            <w:pPr>
              <w:spacing w:line="240" w:lineRule="exact"/>
              <w:rPr>
                <w:rFonts w:ascii="宋体" w:eastAsia="宋体" w:hAnsi="宋体" w:cs="宋体"/>
                <w:sz w:val="18"/>
                <w:szCs w:val="18"/>
              </w:rPr>
            </w:pPr>
          </w:p>
        </w:tc>
        <w:tc>
          <w:tcPr>
            <w:tcW w:w="742" w:type="dxa"/>
            <w:vMerge/>
            <w:vAlign w:val="center"/>
          </w:tcPr>
          <w:p w:rsidR="00F3790B" w:rsidRDefault="00F3790B">
            <w:pPr>
              <w:spacing w:line="240" w:lineRule="exact"/>
              <w:jc w:val="right"/>
              <w:rPr>
                <w:rFonts w:ascii="宋体" w:eastAsia="宋体" w:hAnsi="宋体" w:cs="宋体"/>
                <w:sz w:val="18"/>
                <w:szCs w:val="18"/>
              </w:rPr>
            </w:pPr>
          </w:p>
        </w:tc>
        <w:tc>
          <w:tcPr>
            <w:tcW w:w="742" w:type="dxa"/>
            <w:vAlign w:val="center"/>
          </w:tcPr>
          <w:p w:rsidR="00F3790B" w:rsidRDefault="00F3790B">
            <w:pPr>
              <w:spacing w:line="240" w:lineRule="exact"/>
              <w:rPr>
                <w:rFonts w:ascii="宋体" w:eastAsia="宋体" w:hAnsi="宋体" w:cs="宋体"/>
                <w:sz w:val="18"/>
                <w:szCs w:val="18"/>
              </w:rPr>
            </w:pPr>
            <w:r>
              <w:rPr>
                <w:rFonts w:ascii="宋体" w:eastAsia="宋体" w:hAnsi="宋体" w:cs="宋体"/>
                <w:sz w:val="18"/>
                <w:szCs w:val="18"/>
              </w:rPr>
              <w:t>副总裁</w:t>
            </w:r>
          </w:p>
        </w:tc>
        <w:tc>
          <w:tcPr>
            <w:tcW w:w="742" w:type="dxa"/>
            <w:vAlign w:val="center"/>
          </w:tcPr>
          <w:p w:rsidR="00F3790B" w:rsidRDefault="00F3790B">
            <w:pPr>
              <w:spacing w:line="240" w:lineRule="exact"/>
              <w:rPr>
                <w:rFonts w:ascii="宋体" w:eastAsia="宋体" w:hAnsi="宋体" w:cs="宋体"/>
                <w:sz w:val="18"/>
                <w:szCs w:val="18"/>
              </w:rPr>
            </w:pPr>
            <w:r>
              <w:rPr>
                <w:rFonts w:ascii="宋体" w:eastAsia="宋体" w:hAnsi="宋体" w:cs="宋体"/>
                <w:sz w:val="18"/>
                <w:szCs w:val="18"/>
              </w:rPr>
              <w:t>现任</w:t>
            </w:r>
          </w:p>
        </w:tc>
        <w:tc>
          <w:tcPr>
            <w:tcW w:w="742" w:type="dxa"/>
            <w:vAlign w:val="center"/>
          </w:tcPr>
          <w:p w:rsidR="00F3790B" w:rsidRDefault="00F3790B">
            <w:pPr>
              <w:spacing w:line="240" w:lineRule="exact"/>
              <w:rPr>
                <w:rFonts w:ascii="宋体" w:eastAsia="宋体" w:hAnsi="宋体" w:cs="宋体"/>
                <w:sz w:val="18"/>
                <w:szCs w:val="18"/>
              </w:rPr>
            </w:pPr>
            <w:r>
              <w:rPr>
                <w:rFonts w:ascii="宋体" w:eastAsia="宋体" w:hAnsi="宋体" w:cs="宋体"/>
                <w:sz w:val="18"/>
                <w:szCs w:val="18"/>
              </w:rPr>
              <w:t>2020年08月24日</w:t>
            </w:r>
          </w:p>
        </w:tc>
        <w:tc>
          <w:tcPr>
            <w:tcW w:w="741" w:type="dxa"/>
            <w:vAlign w:val="center"/>
          </w:tcPr>
          <w:p w:rsidR="00F3790B" w:rsidRDefault="00F3790B">
            <w:pPr>
              <w:spacing w:line="240" w:lineRule="exact"/>
              <w:rPr>
                <w:rFonts w:ascii="宋体" w:eastAsia="宋体" w:hAnsi="宋体" w:cs="宋体"/>
                <w:sz w:val="18"/>
                <w:szCs w:val="18"/>
              </w:rPr>
            </w:pPr>
            <w:r>
              <w:rPr>
                <w:rFonts w:ascii="宋体" w:eastAsia="宋体" w:hAnsi="宋体" w:cs="宋体"/>
                <w:sz w:val="18"/>
                <w:szCs w:val="18"/>
              </w:rPr>
              <w:t>2025年05月27日</w:t>
            </w:r>
          </w:p>
        </w:tc>
        <w:tc>
          <w:tcPr>
            <w:tcW w:w="741" w:type="dxa"/>
            <w:vMerge/>
            <w:vAlign w:val="center"/>
          </w:tcPr>
          <w:p w:rsidR="00F3790B" w:rsidRDefault="00F3790B">
            <w:pPr>
              <w:spacing w:line="240" w:lineRule="exact"/>
              <w:jc w:val="right"/>
              <w:rPr>
                <w:rFonts w:ascii="宋体" w:eastAsia="宋体" w:hAnsi="宋体" w:cs="宋体"/>
                <w:sz w:val="18"/>
                <w:szCs w:val="18"/>
              </w:rPr>
            </w:pPr>
          </w:p>
        </w:tc>
        <w:tc>
          <w:tcPr>
            <w:tcW w:w="741" w:type="dxa"/>
            <w:vMerge/>
            <w:vAlign w:val="center"/>
          </w:tcPr>
          <w:p w:rsidR="00F3790B" w:rsidRDefault="00F3790B">
            <w:pPr>
              <w:spacing w:line="240" w:lineRule="exact"/>
              <w:jc w:val="right"/>
              <w:rPr>
                <w:rFonts w:ascii="宋体" w:eastAsia="宋体" w:hAnsi="宋体" w:cs="宋体"/>
                <w:sz w:val="18"/>
                <w:szCs w:val="18"/>
              </w:rPr>
            </w:pPr>
          </w:p>
        </w:tc>
        <w:tc>
          <w:tcPr>
            <w:tcW w:w="741" w:type="dxa"/>
            <w:vMerge/>
            <w:vAlign w:val="center"/>
          </w:tcPr>
          <w:p w:rsidR="00F3790B" w:rsidRDefault="00F3790B">
            <w:pPr>
              <w:spacing w:line="240" w:lineRule="exact"/>
              <w:jc w:val="right"/>
              <w:rPr>
                <w:rFonts w:ascii="宋体" w:eastAsia="宋体" w:hAnsi="宋体" w:cs="宋体"/>
                <w:sz w:val="18"/>
                <w:szCs w:val="18"/>
              </w:rPr>
            </w:pPr>
          </w:p>
        </w:tc>
        <w:tc>
          <w:tcPr>
            <w:tcW w:w="741" w:type="dxa"/>
            <w:vMerge/>
            <w:vAlign w:val="center"/>
          </w:tcPr>
          <w:p w:rsidR="00F3790B" w:rsidRDefault="00F3790B">
            <w:pPr>
              <w:spacing w:line="240" w:lineRule="exact"/>
              <w:jc w:val="right"/>
              <w:rPr>
                <w:rFonts w:ascii="宋体" w:eastAsia="宋体" w:hAnsi="宋体" w:cs="宋体"/>
                <w:sz w:val="18"/>
                <w:szCs w:val="18"/>
              </w:rPr>
            </w:pPr>
          </w:p>
        </w:tc>
        <w:tc>
          <w:tcPr>
            <w:tcW w:w="741" w:type="dxa"/>
            <w:vMerge/>
            <w:vAlign w:val="center"/>
          </w:tcPr>
          <w:p w:rsidR="00F3790B" w:rsidRDefault="00F3790B">
            <w:pPr>
              <w:spacing w:line="240" w:lineRule="exact"/>
              <w:jc w:val="right"/>
              <w:rPr>
                <w:rFonts w:ascii="宋体" w:eastAsia="宋体" w:hAnsi="宋体" w:cs="宋体"/>
                <w:sz w:val="18"/>
                <w:szCs w:val="18"/>
              </w:rPr>
            </w:pPr>
          </w:p>
        </w:tc>
        <w:tc>
          <w:tcPr>
            <w:tcW w:w="741" w:type="dxa"/>
            <w:vMerge/>
            <w:vAlign w:val="center"/>
          </w:tcPr>
          <w:p w:rsidR="00F3790B" w:rsidRDefault="00F3790B">
            <w:pPr>
              <w:spacing w:line="240" w:lineRule="exact"/>
              <w:rPr>
                <w:rFonts w:ascii="宋体" w:eastAsia="宋体" w:hAnsi="宋体" w:cs="宋体"/>
                <w:sz w:val="18"/>
                <w:szCs w:val="18"/>
              </w:rPr>
            </w:pPr>
          </w:p>
        </w:tc>
      </w:tr>
      <w:tr w:rsidR="00BA0365" w:rsidTr="00832133">
        <w:trPr>
          <w:trHeight w:val="240"/>
        </w:trPr>
        <w:tc>
          <w:tcPr>
            <w:tcW w:w="742"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李云涛</w:t>
            </w:r>
          </w:p>
        </w:tc>
        <w:tc>
          <w:tcPr>
            <w:tcW w:w="742"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男</w:t>
            </w:r>
          </w:p>
        </w:tc>
        <w:tc>
          <w:tcPr>
            <w:tcW w:w="742"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42</w:t>
            </w:r>
          </w:p>
        </w:tc>
        <w:tc>
          <w:tcPr>
            <w:tcW w:w="742"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董事</w:t>
            </w:r>
          </w:p>
        </w:tc>
        <w:tc>
          <w:tcPr>
            <w:tcW w:w="742"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现任</w:t>
            </w:r>
          </w:p>
        </w:tc>
        <w:tc>
          <w:tcPr>
            <w:tcW w:w="742"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2021年02月24日</w:t>
            </w:r>
          </w:p>
        </w:tc>
        <w:tc>
          <w:tcPr>
            <w:tcW w:w="741"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2025年05月27日</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200,000</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1,000,000</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1,200,000</w:t>
            </w:r>
          </w:p>
        </w:tc>
        <w:tc>
          <w:tcPr>
            <w:tcW w:w="741"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股权激励</w:t>
            </w:r>
          </w:p>
        </w:tc>
      </w:tr>
      <w:tr w:rsidR="00F3790B" w:rsidTr="00832133">
        <w:trPr>
          <w:trHeight w:val="240"/>
        </w:trPr>
        <w:tc>
          <w:tcPr>
            <w:tcW w:w="742" w:type="dxa"/>
            <w:vMerge w:val="restart"/>
            <w:vAlign w:val="center"/>
          </w:tcPr>
          <w:p w:rsidR="00F3790B" w:rsidRDefault="00F3790B">
            <w:pPr>
              <w:spacing w:line="240" w:lineRule="exact"/>
              <w:rPr>
                <w:rFonts w:ascii="宋体" w:eastAsia="宋体" w:hAnsi="宋体" w:cs="宋体"/>
                <w:sz w:val="18"/>
                <w:szCs w:val="18"/>
              </w:rPr>
            </w:pPr>
            <w:r>
              <w:rPr>
                <w:rFonts w:ascii="宋体" w:eastAsia="宋体" w:hAnsi="宋体" w:cs="宋体"/>
                <w:sz w:val="18"/>
                <w:szCs w:val="18"/>
              </w:rPr>
              <w:t>张垚</w:t>
            </w:r>
          </w:p>
        </w:tc>
        <w:tc>
          <w:tcPr>
            <w:tcW w:w="742" w:type="dxa"/>
            <w:vMerge w:val="restart"/>
            <w:vAlign w:val="center"/>
          </w:tcPr>
          <w:p w:rsidR="00F3790B" w:rsidRDefault="00F3790B">
            <w:pPr>
              <w:spacing w:line="240" w:lineRule="exact"/>
              <w:rPr>
                <w:rFonts w:ascii="宋体" w:eastAsia="宋体" w:hAnsi="宋体" w:cs="宋体"/>
                <w:sz w:val="18"/>
                <w:szCs w:val="18"/>
              </w:rPr>
            </w:pPr>
            <w:r>
              <w:rPr>
                <w:rFonts w:ascii="宋体" w:eastAsia="宋体" w:hAnsi="宋体" w:cs="宋体"/>
                <w:sz w:val="18"/>
                <w:szCs w:val="18"/>
              </w:rPr>
              <w:t>男</w:t>
            </w:r>
          </w:p>
        </w:tc>
        <w:tc>
          <w:tcPr>
            <w:tcW w:w="742" w:type="dxa"/>
            <w:vMerge w:val="restart"/>
            <w:vAlign w:val="center"/>
          </w:tcPr>
          <w:p w:rsidR="00F3790B" w:rsidRDefault="00F3790B">
            <w:pPr>
              <w:spacing w:line="240" w:lineRule="exact"/>
              <w:jc w:val="right"/>
              <w:rPr>
                <w:rFonts w:ascii="宋体" w:eastAsia="宋体" w:hAnsi="宋体" w:cs="宋体"/>
                <w:sz w:val="18"/>
                <w:szCs w:val="18"/>
              </w:rPr>
            </w:pPr>
            <w:r>
              <w:rPr>
                <w:rFonts w:ascii="宋体" w:eastAsia="宋体" w:hAnsi="宋体" w:cs="宋体"/>
                <w:sz w:val="18"/>
                <w:szCs w:val="18"/>
              </w:rPr>
              <w:t>36</w:t>
            </w:r>
          </w:p>
        </w:tc>
        <w:tc>
          <w:tcPr>
            <w:tcW w:w="742" w:type="dxa"/>
            <w:vAlign w:val="center"/>
          </w:tcPr>
          <w:p w:rsidR="00F3790B" w:rsidRDefault="00F3790B">
            <w:pPr>
              <w:spacing w:line="240" w:lineRule="exact"/>
              <w:rPr>
                <w:rFonts w:ascii="宋体" w:eastAsia="宋体" w:hAnsi="宋体" w:cs="宋体"/>
                <w:sz w:val="18"/>
                <w:szCs w:val="18"/>
              </w:rPr>
            </w:pPr>
            <w:r>
              <w:rPr>
                <w:rFonts w:ascii="宋体" w:eastAsia="宋体" w:hAnsi="宋体" w:cs="宋体"/>
                <w:sz w:val="18"/>
                <w:szCs w:val="18"/>
              </w:rPr>
              <w:t>董事</w:t>
            </w:r>
          </w:p>
        </w:tc>
        <w:tc>
          <w:tcPr>
            <w:tcW w:w="742" w:type="dxa"/>
            <w:vAlign w:val="center"/>
          </w:tcPr>
          <w:p w:rsidR="00F3790B" w:rsidRDefault="00F3790B">
            <w:pPr>
              <w:spacing w:line="240" w:lineRule="exact"/>
              <w:rPr>
                <w:rFonts w:ascii="宋体" w:eastAsia="宋体" w:hAnsi="宋体" w:cs="宋体"/>
                <w:sz w:val="18"/>
                <w:szCs w:val="18"/>
              </w:rPr>
            </w:pPr>
            <w:r>
              <w:rPr>
                <w:rFonts w:ascii="宋体" w:eastAsia="宋体" w:hAnsi="宋体" w:cs="宋体"/>
                <w:sz w:val="18"/>
                <w:szCs w:val="18"/>
              </w:rPr>
              <w:t>现任</w:t>
            </w:r>
          </w:p>
        </w:tc>
        <w:tc>
          <w:tcPr>
            <w:tcW w:w="742" w:type="dxa"/>
            <w:vAlign w:val="center"/>
          </w:tcPr>
          <w:p w:rsidR="00F3790B" w:rsidRDefault="00F3790B">
            <w:pPr>
              <w:spacing w:line="240" w:lineRule="exact"/>
              <w:rPr>
                <w:rFonts w:ascii="宋体" w:eastAsia="宋体" w:hAnsi="宋体" w:cs="宋体"/>
                <w:sz w:val="18"/>
                <w:szCs w:val="18"/>
              </w:rPr>
            </w:pPr>
            <w:r>
              <w:rPr>
                <w:rFonts w:ascii="宋体" w:eastAsia="宋体" w:hAnsi="宋体" w:cs="宋体"/>
                <w:sz w:val="18"/>
                <w:szCs w:val="18"/>
              </w:rPr>
              <w:t>2021年08月26日</w:t>
            </w:r>
          </w:p>
        </w:tc>
        <w:tc>
          <w:tcPr>
            <w:tcW w:w="741" w:type="dxa"/>
            <w:vAlign w:val="center"/>
          </w:tcPr>
          <w:p w:rsidR="00F3790B" w:rsidRDefault="00F3790B">
            <w:pPr>
              <w:spacing w:line="240" w:lineRule="exact"/>
              <w:rPr>
                <w:rFonts w:ascii="宋体" w:eastAsia="宋体" w:hAnsi="宋体" w:cs="宋体"/>
                <w:sz w:val="18"/>
                <w:szCs w:val="18"/>
              </w:rPr>
            </w:pPr>
            <w:r>
              <w:rPr>
                <w:rFonts w:ascii="宋体" w:eastAsia="宋体" w:hAnsi="宋体" w:cs="宋体"/>
                <w:sz w:val="18"/>
                <w:szCs w:val="18"/>
              </w:rPr>
              <w:t>2025年05月27日</w:t>
            </w:r>
          </w:p>
        </w:tc>
        <w:tc>
          <w:tcPr>
            <w:tcW w:w="741" w:type="dxa"/>
            <w:vMerge w:val="restart"/>
            <w:vAlign w:val="center"/>
          </w:tcPr>
          <w:p w:rsidR="00F3790B" w:rsidRDefault="00F3790B">
            <w:pPr>
              <w:spacing w:line="240" w:lineRule="exact"/>
              <w:jc w:val="right"/>
              <w:rPr>
                <w:rFonts w:ascii="宋体" w:eastAsia="宋体" w:hAnsi="宋体" w:cs="宋体"/>
                <w:sz w:val="18"/>
                <w:szCs w:val="18"/>
              </w:rPr>
            </w:pPr>
            <w:r>
              <w:rPr>
                <w:rFonts w:ascii="宋体" w:eastAsia="宋体" w:hAnsi="宋体" w:cs="宋体"/>
                <w:sz w:val="18"/>
                <w:szCs w:val="18"/>
              </w:rPr>
              <w:t>1,200,000</w:t>
            </w:r>
          </w:p>
        </w:tc>
        <w:tc>
          <w:tcPr>
            <w:tcW w:w="741" w:type="dxa"/>
            <w:vMerge w:val="restart"/>
            <w:vAlign w:val="center"/>
          </w:tcPr>
          <w:p w:rsidR="00F3790B" w:rsidRDefault="00F3790B">
            <w:pPr>
              <w:spacing w:line="240" w:lineRule="exact"/>
              <w:jc w:val="right"/>
              <w:rPr>
                <w:rFonts w:ascii="宋体" w:eastAsia="宋体" w:hAnsi="宋体" w:cs="宋体"/>
                <w:sz w:val="18"/>
                <w:szCs w:val="18"/>
              </w:rPr>
            </w:pPr>
            <w:r>
              <w:rPr>
                <w:rFonts w:ascii="宋体" w:eastAsia="宋体" w:hAnsi="宋体" w:cs="宋体"/>
                <w:sz w:val="18"/>
                <w:szCs w:val="18"/>
              </w:rPr>
              <w:t>1,000,000</w:t>
            </w:r>
          </w:p>
        </w:tc>
        <w:tc>
          <w:tcPr>
            <w:tcW w:w="741" w:type="dxa"/>
            <w:vMerge w:val="restart"/>
            <w:vAlign w:val="center"/>
          </w:tcPr>
          <w:p w:rsidR="00F3790B" w:rsidRDefault="00F3790B">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vMerge w:val="restart"/>
            <w:vAlign w:val="center"/>
          </w:tcPr>
          <w:p w:rsidR="00F3790B" w:rsidRDefault="00F3790B">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vMerge w:val="restart"/>
            <w:vAlign w:val="center"/>
          </w:tcPr>
          <w:p w:rsidR="00F3790B" w:rsidRDefault="00F3790B">
            <w:pPr>
              <w:spacing w:line="240" w:lineRule="exact"/>
              <w:jc w:val="right"/>
              <w:rPr>
                <w:rFonts w:ascii="宋体" w:eastAsia="宋体" w:hAnsi="宋体" w:cs="宋体"/>
                <w:sz w:val="18"/>
                <w:szCs w:val="18"/>
              </w:rPr>
            </w:pPr>
            <w:r>
              <w:rPr>
                <w:rFonts w:ascii="宋体" w:eastAsia="宋体" w:hAnsi="宋体" w:cs="宋体"/>
                <w:sz w:val="18"/>
                <w:szCs w:val="18"/>
              </w:rPr>
              <w:t>2,200,000</w:t>
            </w:r>
          </w:p>
        </w:tc>
        <w:tc>
          <w:tcPr>
            <w:tcW w:w="741" w:type="dxa"/>
            <w:vMerge w:val="restart"/>
            <w:vAlign w:val="center"/>
          </w:tcPr>
          <w:p w:rsidR="00F3790B" w:rsidRDefault="00F3790B">
            <w:pPr>
              <w:spacing w:line="240" w:lineRule="exact"/>
              <w:rPr>
                <w:rFonts w:ascii="宋体" w:eastAsia="宋体" w:hAnsi="宋体" w:cs="宋体"/>
                <w:sz w:val="18"/>
                <w:szCs w:val="18"/>
              </w:rPr>
            </w:pPr>
            <w:r>
              <w:rPr>
                <w:rFonts w:ascii="宋体" w:eastAsia="宋体" w:hAnsi="宋体" w:cs="宋体"/>
                <w:sz w:val="18"/>
                <w:szCs w:val="18"/>
              </w:rPr>
              <w:t>股权激励</w:t>
            </w:r>
          </w:p>
        </w:tc>
      </w:tr>
      <w:tr w:rsidR="00F3790B" w:rsidTr="00832133">
        <w:trPr>
          <w:trHeight w:val="240"/>
        </w:trPr>
        <w:tc>
          <w:tcPr>
            <w:tcW w:w="742" w:type="dxa"/>
            <w:vMerge/>
            <w:vAlign w:val="center"/>
          </w:tcPr>
          <w:p w:rsidR="00F3790B" w:rsidRDefault="00F3790B">
            <w:pPr>
              <w:spacing w:line="240" w:lineRule="exact"/>
              <w:rPr>
                <w:rFonts w:ascii="宋体" w:eastAsia="宋体" w:hAnsi="宋体" w:cs="宋体"/>
                <w:sz w:val="18"/>
                <w:szCs w:val="18"/>
              </w:rPr>
            </w:pPr>
          </w:p>
        </w:tc>
        <w:tc>
          <w:tcPr>
            <w:tcW w:w="742" w:type="dxa"/>
            <w:vMerge/>
            <w:vAlign w:val="center"/>
          </w:tcPr>
          <w:p w:rsidR="00F3790B" w:rsidRDefault="00F3790B">
            <w:pPr>
              <w:spacing w:line="240" w:lineRule="exact"/>
              <w:rPr>
                <w:rFonts w:ascii="宋体" w:eastAsia="宋体" w:hAnsi="宋体" w:cs="宋体"/>
                <w:sz w:val="18"/>
                <w:szCs w:val="18"/>
              </w:rPr>
            </w:pPr>
          </w:p>
        </w:tc>
        <w:tc>
          <w:tcPr>
            <w:tcW w:w="742" w:type="dxa"/>
            <w:vMerge/>
            <w:vAlign w:val="center"/>
          </w:tcPr>
          <w:p w:rsidR="00F3790B" w:rsidRDefault="00F3790B">
            <w:pPr>
              <w:spacing w:line="240" w:lineRule="exact"/>
              <w:jc w:val="right"/>
              <w:rPr>
                <w:rFonts w:ascii="宋体" w:eastAsia="宋体" w:hAnsi="宋体" w:cs="宋体"/>
                <w:sz w:val="18"/>
                <w:szCs w:val="18"/>
              </w:rPr>
            </w:pPr>
          </w:p>
        </w:tc>
        <w:tc>
          <w:tcPr>
            <w:tcW w:w="742" w:type="dxa"/>
            <w:vAlign w:val="center"/>
          </w:tcPr>
          <w:p w:rsidR="00F3790B" w:rsidRDefault="00F3790B">
            <w:pPr>
              <w:spacing w:line="240" w:lineRule="exact"/>
              <w:rPr>
                <w:rFonts w:ascii="宋体" w:eastAsia="宋体" w:hAnsi="宋体" w:cs="宋体"/>
                <w:sz w:val="18"/>
                <w:szCs w:val="18"/>
              </w:rPr>
            </w:pPr>
            <w:r>
              <w:rPr>
                <w:rFonts w:ascii="宋体" w:eastAsia="宋体" w:hAnsi="宋体" w:cs="宋体"/>
                <w:sz w:val="18"/>
                <w:szCs w:val="18"/>
              </w:rPr>
              <w:t>董事会秘书</w:t>
            </w:r>
          </w:p>
        </w:tc>
        <w:tc>
          <w:tcPr>
            <w:tcW w:w="742" w:type="dxa"/>
            <w:vAlign w:val="center"/>
          </w:tcPr>
          <w:p w:rsidR="00F3790B" w:rsidRDefault="00F3790B">
            <w:pPr>
              <w:spacing w:line="240" w:lineRule="exact"/>
              <w:rPr>
                <w:rFonts w:ascii="宋体" w:eastAsia="宋体" w:hAnsi="宋体" w:cs="宋体"/>
                <w:sz w:val="18"/>
                <w:szCs w:val="18"/>
              </w:rPr>
            </w:pPr>
            <w:r>
              <w:rPr>
                <w:rFonts w:ascii="宋体" w:eastAsia="宋体" w:hAnsi="宋体" w:cs="宋体"/>
                <w:sz w:val="18"/>
                <w:szCs w:val="18"/>
              </w:rPr>
              <w:t>现任</w:t>
            </w:r>
          </w:p>
        </w:tc>
        <w:tc>
          <w:tcPr>
            <w:tcW w:w="742" w:type="dxa"/>
            <w:vAlign w:val="center"/>
          </w:tcPr>
          <w:p w:rsidR="00F3790B" w:rsidRDefault="00F3790B">
            <w:pPr>
              <w:spacing w:line="240" w:lineRule="exact"/>
              <w:rPr>
                <w:rFonts w:ascii="宋体" w:eastAsia="宋体" w:hAnsi="宋体" w:cs="宋体"/>
                <w:sz w:val="18"/>
                <w:szCs w:val="18"/>
              </w:rPr>
            </w:pPr>
            <w:r>
              <w:rPr>
                <w:rFonts w:ascii="宋体" w:eastAsia="宋体" w:hAnsi="宋体" w:cs="宋体"/>
                <w:sz w:val="18"/>
                <w:szCs w:val="18"/>
              </w:rPr>
              <w:t>2021年08月26日</w:t>
            </w:r>
          </w:p>
        </w:tc>
        <w:tc>
          <w:tcPr>
            <w:tcW w:w="741" w:type="dxa"/>
            <w:vAlign w:val="center"/>
          </w:tcPr>
          <w:p w:rsidR="00F3790B" w:rsidRDefault="00F3790B">
            <w:pPr>
              <w:spacing w:line="240" w:lineRule="exact"/>
              <w:rPr>
                <w:rFonts w:ascii="宋体" w:eastAsia="宋体" w:hAnsi="宋体" w:cs="宋体"/>
                <w:sz w:val="18"/>
                <w:szCs w:val="18"/>
              </w:rPr>
            </w:pPr>
            <w:r>
              <w:rPr>
                <w:rFonts w:ascii="宋体" w:eastAsia="宋体" w:hAnsi="宋体" w:cs="宋体"/>
                <w:sz w:val="18"/>
                <w:szCs w:val="18"/>
              </w:rPr>
              <w:t>2025年05月27日</w:t>
            </w:r>
          </w:p>
        </w:tc>
        <w:tc>
          <w:tcPr>
            <w:tcW w:w="741" w:type="dxa"/>
            <w:vMerge/>
            <w:vAlign w:val="center"/>
          </w:tcPr>
          <w:p w:rsidR="00F3790B" w:rsidRDefault="00F3790B">
            <w:pPr>
              <w:spacing w:line="240" w:lineRule="exact"/>
              <w:jc w:val="right"/>
              <w:rPr>
                <w:rFonts w:ascii="宋体" w:eastAsia="宋体" w:hAnsi="宋体" w:cs="宋体"/>
                <w:sz w:val="18"/>
                <w:szCs w:val="18"/>
              </w:rPr>
            </w:pPr>
          </w:p>
        </w:tc>
        <w:tc>
          <w:tcPr>
            <w:tcW w:w="741" w:type="dxa"/>
            <w:vMerge/>
            <w:vAlign w:val="center"/>
          </w:tcPr>
          <w:p w:rsidR="00F3790B" w:rsidRDefault="00F3790B">
            <w:pPr>
              <w:spacing w:line="240" w:lineRule="exact"/>
              <w:jc w:val="right"/>
              <w:rPr>
                <w:rFonts w:ascii="宋体" w:eastAsia="宋体" w:hAnsi="宋体" w:cs="宋体"/>
                <w:sz w:val="18"/>
                <w:szCs w:val="18"/>
              </w:rPr>
            </w:pPr>
          </w:p>
        </w:tc>
        <w:tc>
          <w:tcPr>
            <w:tcW w:w="741" w:type="dxa"/>
            <w:vMerge/>
            <w:vAlign w:val="center"/>
          </w:tcPr>
          <w:p w:rsidR="00F3790B" w:rsidRDefault="00F3790B">
            <w:pPr>
              <w:spacing w:line="240" w:lineRule="exact"/>
              <w:jc w:val="right"/>
              <w:rPr>
                <w:rFonts w:ascii="宋体" w:eastAsia="宋体" w:hAnsi="宋体" w:cs="宋体"/>
                <w:sz w:val="18"/>
                <w:szCs w:val="18"/>
              </w:rPr>
            </w:pPr>
          </w:p>
        </w:tc>
        <w:tc>
          <w:tcPr>
            <w:tcW w:w="741" w:type="dxa"/>
            <w:vMerge/>
            <w:vAlign w:val="center"/>
          </w:tcPr>
          <w:p w:rsidR="00F3790B" w:rsidRDefault="00F3790B">
            <w:pPr>
              <w:spacing w:line="240" w:lineRule="exact"/>
              <w:jc w:val="right"/>
              <w:rPr>
                <w:rFonts w:ascii="宋体" w:eastAsia="宋体" w:hAnsi="宋体" w:cs="宋体"/>
                <w:sz w:val="18"/>
                <w:szCs w:val="18"/>
              </w:rPr>
            </w:pPr>
          </w:p>
        </w:tc>
        <w:tc>
          <w:tcPr>
            <w:tcW w:w="741" w:type="dxa"/>
            <w:vMerge/>
            <w:vAlign w:val="center"/>
          </w:tcPr>
          <w:p w:rsidR="00F3790B" w:rsidRDefault="00F3790B">
            <w:pPr>
              <w:spacing w:line="240" w:lineRule="exact"/>
              <w:jc w:val="right"/>
              <w:rPr>
                <w:rFonts w:ascii="宋体" w:eastAsia="宋体" w:hAnsi="宋体" w:cs="宋体"/>
                <w:sz w:val="18"/>
                <w:szCs w:val="18"/>
              </w:rPr>
            </w:pPr>
          </w:p>
        </w:tc>
        <w:tc>
          <w:tcPr>
            <w:tcW w:w="741" w:type="dxa"/>
            <w:vMerge/>
            <w:vAlign w:val="center"/>
          </w:tcPr>
          <w:p w:rsidR="00F3790B" w:rsidRDefault="00F3790B">
            <w:pPr>
              <w:spacing w:line="240" w:lineRule="exact"/>
              <w:rPr>
                <w:rFonts w:ascii="宋体" w:eastAsia="宋体" w:hAnsi="宋体" w:cs="宋体"/>
                <w:sz w:val="18"/>
                <w:szCs w:val="18"/>
              </w:rPr>
            </w:pPr>
          </w:p>
        </w:tc>
      </w:tr>
      <w:tr w:rsidR="00F3790B" w:rsidTr="00832133">
        <w:trPr>
          <w:trHeight w:val="240"/>
        </w:trPr>
        <w:tc>
          <w:tcPr>
            <w:tcW w:w="742" w:type="dxa"/>
            <w:vMerge/>
            <w:vAlign w:val="center"/>
          </w:tcPr>
          <w:p w:rsidR="00F3790B" w:rsidRDefault="00F3790B">
            <w:pPr>
              <w:spacing w:line="240" w:lineRule="exact"/>
              <w:rPr>
                <w:rFonts w:ascii="宋体" w:eastAsia="宋体" w:hAnsi="宋体" w:cs="宋体"/>
                <w:sz w:val="18"/>
                <w:szCs w:val="18"/>
              </w:rPr>
            </w:pPr>
          </w:p>
        </w:tc>
        <w:tc>
          <w:tcPr>
            <w:tcW w:w="742" w:type="dxa"/>
            <w:vMerge/>
            <w:vAlign w:val="center"/>
          </w:tcPr>
          <w:p w:rsidR="00F3790B" w:rsidRDefault="00F3790B">
            <w:pPr>
              <w:spacing w:line="240" w:lineRule="exact"/>
              <w:rPr>
                <w:rFonts w:ascii="宋体" w:eastAsia="宋体" w:hAnsi="宋体" w:cs="宋体"/>
                <w:sz w:val="18"/>
                <w:szCs w:val="18"/>
              </w:rPr>
            </w:pPr>
          </w:p>
        </w:tc>
        <w:tc>
          <w:tcPr>
            <w:tcW w:w="742" w:type="dxa"/>
            <w:vMerge/>
            <w:vAlign w:val="center"/>
          </w:tcPr>
          <w:p w:rsidR="00F3790B" w:rsidRDefault="00F3790B">
            <w:pPr>
              <w:spacing w:line="240" w:lineRule="exact"/>
              <w:jc w:val="right"/>
              <w:rPr>
                <w:rFonts w:ascii="宋体" w:eastAsia="宋体" w:hAnsi="宋体" w:cs="宋体"/>
                <w:sz w:val="18"/>
                <w:szCs w:val="18"/>
              </w:rPr>
            </w:pPr>
          </w:p>
        </w:tc>
        <w:tc>
          <w:tcPr>
            <w:tcW w:w="742" w:type="dxa"/>
            <w:vAlign w:val="center"/>
          </w:tcPr>
          <w:p w:rsidR="00F3790B" w:rsidRDefault="00F3790B">
            <w:pPr>
              <w:spacing w:line="240" w:lineRule="exact"/>
              <w:rPr>
                <w:rFonts w:ascii="宋体" w:eastAsia="宋体" w:hAnsi="宋体" w:cs="宋体"/>
                <w:sz w:val="18"/>
                <w:szCs w:val="18"/>
              </w:rPr>
            </w:pPr>
            <w:r>
              <w:rPr>
                <w:rFonts w:ascii="宋体" w:eastAsia="宋体" w:hAnsi="宋体" w:cs="宋体"/>
                <w:sz w:val="18"/>
                <w:szCs w:val="18"/>
              </w:rPr>
              <w:t>财务总监</w:t>
            </w:r>
          </w:p>
        </w:tc>
        <w:tc>
          <w:tcPr>
            <w:tcW w:w="742" w:type="dxa"/>
            <w:vAlign w:val="center"/>
          </w:tcPr>
          <w:p w:rsidR="00F3790B" w:rsidRDefault="00F3790B">
            <w:pPr>
              <w:spacing w:line="240" w:lineRule="exact"/>
              <w:rPr>
                <w:rFonts w:ascii="宋体" w:eastAsia="宋体" w:hAnsi="宋体" w:cs="宋体"/>
                <w:sz w:val="18"/>
                <w:szCs w:val="18"/>
              </w:rPr>
            </w:pPr>
            <w:r>
              <w:rPr>
                <w:rFonts w:ascii="宋体" w:eastAsia="宋体" w:hAnsi="宋体" w:cs="宋体"/>
                <w:sz w:val="18"/>
                <w:szCs w:val="18"/>
              </w:rPr>
              <w:t>现任</w:t>
            </w:r>
          </w:p>
        </w:tc>
        <w:tc>
          <w:tcPr>
            <w:tcW w:w="742" w:type="dxa"/>
            <w:vAlign w:val="center"/>
          </w:tcPr>
          <w:p w:rsidR="00F3790B" w:rsidRDefault="00F3790B">
            <w:pPr>
              <w:spacing w:line="240" w:lineRule="exact"/>
              <w:rPr>
                <w:rFonts w:ascii="宋体" w:eastAsia="宋体" w:hAnsi="宋体" w:cs="宋体"/>
                <w:sz w:val="18"/>
                <w:szCs w:val="18"/>
              </w:rPr>
            </w:pPr>
            <w:r>
              <w:rPr>
                <w:rFonts w:ascii="宋体" w:eastAsia="宋体" w:hAnsi="宋体" w:cs="宋体"/>
                <w:sz w:val="18"/>
                <w:szCs w:val="18"/>
              </w:rPr>
              <w:t>2020年02月03日</w:t>
            </w:r>
          </w:p>
        </w:tc>
        <w:tc>
          <w:tcPr>
            <w:tcW w:w="741" w:type="dxa"/>
            <w:vAlign w:val="center"/>
          </w:tcPr>
          <w:p w:rsidR="00F3790B" w:rsidRDefault="00F3790B">
            <w:pPr>
              <w:spacing w:line="240" w:lineRule="exact"/>
              <w:rPr>
                <w:rFonts w:ascii="宋体" w:eastAsia="宋体" w:hAnsi="宋体" w:cs="宋体"/>
                <w:sz w:val="18"/>
                <w:szCs w:val="18"/>
              </w:rPr>
            </w:pPr>
            <w:r>
              <w:rPr>
                <w:rFonts w:ascii="宋体" w:eastAsia="宋体" w:hAnsi="宋体" w:cs="宋体"/>
                <w:sz w:val="18"/>
                <w:szCs w:val="18"/>
              </w:rPr>
              <w:t>2025年05月27日</w:t>
            </w:r>
          </w:p>
        </w:tc>
        <w:tc>
          <w:tcPr>
            <w:tcW w:w="741" w:type="dxa"/>
            <w:vMerge/>
            <w:vAlign w:val="center"/>
          </w:tcPr>
          <w:p w:rsidR="00F3790B" w:rsidRDefault="00F3790B">
            <w:pPr>
              <w:spacing w:line="240" w:lineRule="exact"/>
              <w:jc w:val="right"/>
              <w:rPr>
                <w:rFonts w:ascii="宋体" w:eastAsia="宋体" w:hAnsi="宋体" w:cs="宋体"/>
                <w:sz w:val="18"/>
                <w:szCs w:val="18"/>
              </w:rPr>
            </w:pPr>
          </w:p>
        </w:tc>
        <w:tc>
          <w:tcPr>
            <w:tcW w:w="741" w:type="dxa"/>
            <w:vMerge/>
            <w:vAlign w:val="center"/>
          </w:tcPr>
          <w:p w:rsidR="00F3790B" w:rsidRDefault="00F3790B">
            <w:pPr>
              <w:spacing w:line="240" w:lineRule="exact"/>
              <w:jc w:val="right"/>
              <w:rPr>
                <w:rFonts w:ascii="宋体" w:eastAsia="宋体" w:hAnsi="宋体" w:cs="宋体"/>
                <w:sz w:val="18"/>
                <w:szCs w:val="18"/>
              </w:rPr>
            </w:pPr>
          </w:p>
        </w:tc>
        <w:tc>
          <w:tcPr>
            <w:tcW w:w="741" w:type="dxa"/>
            <w:vMerge/>
            <w:vAlign w:val="center"/>
          </w:tcPr>
          <w:p w:rsidR="00F3790B" w:rsidRDefault="00F3790B">
            <w:pPr>
              <w:spacing w:line="240" w:lineRule="exact"/>
              <w:jc w:val="right"/>
              <w:rPr>
                <w:rFonts w:ascii="宋体" w:eastAsia="宋体" w:hAnsi="宋体" w:cs="宋体"/>
                <w:sz w:val="18"/>
                <w:szCs w:val="18"/>
              </w:rPr>
            </w:pPr>
          </w:p>
        </w:tc>
        <w:tc>
          <w:tcPr>
            <w:tcW w:w="741" w:type="dxa"/>
            <w:vMerge/>
            <w:vAlign w:val="center"/>
          </w:tcPr>
          <w:p w:rsidR="00F3790B" w:rsidRDefault="00F3790B">
            <w:pPr>
              <w:spacing w:line="240" w:lineRule="exact"/>
              <w:jc w:val="right"/>
              <w:rPr>
                <w:rFonts w:ascii="宋体" w:eastAsia="宋体" w:hAnsi="宋体" w:cs="宋体"/>
                <w:sz w:val="18"/>
                <w:szCs w:val="18"/>
              </w:rPr>
            </w:pPr>
          </w:p>
        </w:tc>
        <w:tc>
          <w:tcPr>
            <w:tcW w:w="741" w:type="dxa"/>
            <w:vMerge/>
            <w:vAlign w:val="center"/>
          </w:tcPr>
          <w:p w:rsidR="00F3790B" w:rsidRDefault="00F3790B">
            <w:pPr>
              <w:spacing w:line="240" w:lineRule="exact"/>
              <w:jc w:val="right"/>
              <w:rPr>
                <w:rFonts w:ascii="宋体" w:eastAsia="宋体" w:hAnsi="宋体" w:cs="宋体"/>
                <w:sz w:val="18"/>
                <w:szCs w:val="18"/>
              </w:rPr>
            </w:pPr>
          </w:p>
        </w:tc>
        <w:tc>
          <w:tcPr>
            <w:tcW w:w="741" w:type="dxa"/>
            <w:vMerge/>
            <w:vAlign w:val="center"/>
          </w:tcPr>
          <w:p w:rsidR="00F3790B" w:rsidRDefault="00F3790B">
            <w:pPr>
              <w:spacing w:line="240" w:lineRule="exact"/>
              <w:rPr>
                <w:rFonts w:ascii="宋体" w:eastAsia="宋体" w:hAnsi="宋体" w:cs="宋体"/>
                <w:sz w:val="18"/>
                <w:szCs w:val="18"/>
              </w:rPr>
            </w:pPr>
          </w:p>
        </w:tc>
      </w:tr>
      <w:tr w:rsidR="00BA0365" w:rsidTr="00832133">
        <w:trPr>
          <w:trHeight w:val="240"/>
        </w:trPr>
        <w:tc>
          <w:tcPr>
            <w:tcW w:w="742"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班耀波</w:t>
            </w:r>
          </w:p>
        </w:tc>
        <w:tc>
          <w:tcPr>
            <w:tcW w:w="742"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男</w:t>
            </w:r>
          </w:p>
        </w:tc>
        <w:tc>
          <w:tcPr>
            <w:tcW w:w="742"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63</w:t>
            </w:r>
          </w:p>
        </w:tc>
        <w:tc>
          <w:tcPr>
            <w:tcW w:w="742"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独立董事</w:t>
            </w:r>
          </w:p>
        </w:tc>
        <w:tc>
          <w:tcPr>
            <w:tcW w:w="742"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现任</w:t>
            </w:r>
          </w:p>
        </w:tc>
        <w:tc>
          <w:tcPr>
            <w:tcW w:w="742"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741"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2025年05月27日</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vAlign w:val="center"/>
          </w:tcPr>
          <w:p w:rsidR="00BA0365" w:rsidRDefault="00BA0365">
            <w:pPr>
              <w:spacing w:line="240" w:lineRule="exact"/>
              <w:rPr>
                <w:rFonts w:ascii="宋体" w:eastAsia="宋体" w:hAnsi="宋体" w:cs="宋体"/>
                <w:sz w:val="18"/>
                <w:szCs w:val="18"/>
              </w:rPr>
            </w:pPr>
          </w:p>
        </w:tc>
      </w:tr>
      <w:tr w:rsidR="00BA0365" w:rsidTr="00832133">
        <w:trPr>
          <w:trHeight w:val="240"/>
        </w:trPr>
        <w:tc>
          <w:tcPr>
            <w:tcW w:w="742"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张伟</w:t>
            </w:r>
          </w:p>
        </w:tc>
        <w:tc>
          <w:tcPr>
            <w:tcW w:w="742"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男</w:t>
            </w:r>
          </w:p>
        </w:tc>
        <w:tc>
          <w:tcPr>
            <w:tcW w:w="742"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48</w:t>
            </w:r>
          </w:p>
        </w:tc>
        <w:tc>
          <w:tcPr>
            <w:tcW w:w="742"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独立董事</w:t>
            </w:r>
          </w:p>
        </w:tc>
        <w:tc>
          <w:tcPr>
            <w:tcW w:w="742"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现任</w:t>
            </w:r>
          </w:p>
        </w:tc>
        <w:tc>
          <w:tcPr>
            <w:tcW w:w="742"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741"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2025年05月27日</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vAlign w:val="center"/>
          </w:tcPr>
          <w:p w:rsidR="00BA0365" w:rsidRDefault="00BA0365">
            <w:pPr>
              <w:spacing w:line="240" w:lineRule="exact"/>
              <w:rPr>
                <w:rFonts w:ascii="宋体" w:eastAsia="宋体" w:hAnsi="宋体" w:cs="宋体"/>
                <w:sz w:val="18"/>
                <w:szCs w:val="18"/>
              </w:rPr>
            </w:pPr>
          </w:p>
        </w:tc>
      </w:tr>
      <w:tr w:rsidR="00BA0365" w:rsidTr="00832133">
        <w:trPr>
          <w:trHeight w:val="240"/>
        </w:trPr>
        <w:tc>
          <w:tcPr>
            <w:tcW w:w="742"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王</w:t>
            </w:r>
            <w:proofErr w:type="gramStart"/>
            <w:r>
              <w:rPr>
                <w:rFonts w:ascii="宋体" w:eastAsia="宋体" w:hAnsi="宋体" w:cs="宋体"/>
                <w:sz w:val="18"/>
                <w:szCs w:val="18"/>
              </w:rPr>
              <w:t>荭</w:t>
            </w:r>
            <w:proofErr w:type="gramEnd"/>
          </w:p>
        </w:tc>
        <w:tc>
          <w:tcPr>
            <w:tcW w:w="742"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女</w:t>
            </w:r>
          </w:p>
        </w:tc>
        <w:tc>
          <w:tcPr>
            <w:tcW w:w="742"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58</w:t>
            </w:r>
          </w:p>
        </w:tc>
        <w:tc>
          <w:tcPr>
            <w:tcW w:w="742"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独立董事</w:t>
            </w:r>
          </w:p>
        </w:tc>
        <w:tc>
          <w:tcPr>
            <w:tcW w:w="742"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现任</w:t>
            </w:r>
          </w:p>
        </w:tc>
        <w:tc>
          <w:tcPr>
            <w:tcW w:w="742"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w:t>
            </w:r>
            <w:r>
              <w:rPr>
                <w:rFonts w:ascii="宋体" w:eastAsia="宋体" w:hAnsi="宋体" w:cs="宋体"/>
                <w:sz w:val="18"/>
                <w:szCs w:val="18"/>
              </w:rPr>
              <w:lastRenderedPageBreak/>
              <w:t>月27日</w:t>
            </w:r>
          </w:p>
        </w:tc>
        <w:tc>
          <w:tcPr>
            <w:tcW w:w="741"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lastRenderedPageBreak/>
              <w:t>2025年05</w:t>
            </w:r>
            <w:r>
              <w:rPr>
                <w:rFonts w:ascii="宋体" w:eastAsia="宋体" w:hAnsi="宋体" w:cs="宋体"/>
                <w:sz w:val="18"/>
                <w:szCs w:val="18"/>
              </w:rPr>
              <w:lastRenderedPageBreak/>
              <w:t>月27日</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lastRenderedPageBreak/>
              <w:t>0</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vAlign w:val="center"/>
          </w:tcPr>
          <w:p w:rsidR="00BA0365" w:rsidRDefault="00BA0365">
            <w:pPr>
              <w:spacing w:line="240" w:lineRule="exact"/>
              <w:rPr>
                <w:rFonts w:ascii="宋体" w:eastAsia="宋体" w:hAnsi="宋体" w:cs="宋体"/>
                <w:sz w:val="18"/>
                <w:szCs w:val="18"/>
              </w:rPr>
            </w:pPr>
          </w:p>
        </w:tc>
      </w:tr>
      <w:tr w:rsidR="00BA0365" w:rsidTr="00832133">
        <w:trPr>
          <w:trHeight w:val="240"/>
        </w:trPr>
        <w:tc>
          <w:tcPr>
            <w:tcW w:w="742"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lastRenderedPageBreak/>
              <w:t>孙志慧</w:t>
            </w:r>
          </w:p>
        </w:tc>
        <w:tc>
          <w:tcPr>
            <w:tcW w:w="742"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女</w:t>
            </w:r>
          </w:p>
        </w:tc>
        <w:tc>
          <w:tcPr>
            <w:tcW w:w="742"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42</w:t>
            </w:r>
          </w:p>
        </w:tc>
        <w:tc>
          <w:tcPr>
            <w:tcW w:w="742"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监事会主席</w:t>
            </w:r>
          </w:p>
        </w:tc>
        <w:tc>
          <w:tcPr>
            <w:tcW w:w="742"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离任</w:t>
            </w:r>
          </w:p>
        </w:tc>
        <w:tc>
          <w:tcPr>
            <w:tcW w:w="742"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2013年04月18日</w:t>
            </w:r>
          </w:p>
        </w:tc>
        <w:tc>
          <w:tcPr>
            <w:tcW w:w="741"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2023年05月08日</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vAlign w:val="center"/>
          </w:tcPr>
          <w:p w:rsidR="00BA0365" w:rsidRDefault="00BA0365">
            <w:pPr>
              <w:spacing w:line="240" w:lineRule="exact"/>
              <w:rPr>
                <w:rFonts w:ascii="宋体" w:eastAsia="宋体" w:hAnsi="宋体" w:cs="宋体"/>
                <w:sz w:val="18"/>
                <w:szCs w:val="18"/>
              </w:rPr>
            </w:pPr>
          </w:p>
        </w:tc>
      </w:tr>
      <w:tr w:rsidR="00BA0365" w:rsidTr="00832133">
        <w:trPr>
          <w:trHeight w:val="240"/>
        </w:trPr>
        <w:tc>
          <w:tcPr>
            <w:tcW w:w="742"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张秀梅</w:t>
            </w:r>
          </w:p>
        </w:tc>
        <w:tc>
          <w:tcPr>
            <w:tcW w:w="742"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女</w:t>
            </w:r>
          </w:p>
        </w:tc>
        <w:tc>
          <w:tcPr>
            <w:tcW w:w="742"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50</w:t>
            </w:r>
          </w:p>
        </w:tc>
        <w:tc>
          <w:tcPr>
            <w:tcW w:w="742"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监事会主席</w:t>
            </w:r>
          </w:p>
        </w:tc>
        <w:tc>
          <w:tcPr>
            <w:tcW w:w="742"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现任</w:t>
            </w:r>
          </w:p>
        </w:tc>
        <w:tc>
          <w:tcPr>
            <w:tcW w:w="742"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2023年05月08日</w:t>
            </w:r>
          </w:p>
        </w:tc>
        <w:tc>
          <w:tcPr>
            <w:tcW w:w="741"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2025年05月27日</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vAlign w:val="center"/>
          </w:tcPr>
          <w:p w:rsidR="00BA0365" w:rsidRDefault="00BA0365">
            <w:pPr>
              <w:spacing w:line="240" w:lineRule="exact"/>
              <w:rPr>
                <w:rFonts w:ascii="宋体" w:eastAsia="宋体" w:hAnsi="宋体" w:cs="宋体"/>
                <w:sz w:val="18"/>
                <w:szCs w:val="18"/>
              </w:rPr>
            </w:pPr>
          </w:p>
        </w:tc>
      </w:tr>
      <w:tr w:rsidR="00BA0365" w:rsidTr="00832133">
        <w:trPr>
          <w:trHeight w:val="240"/>
        </w:trPr>
        <w:tc>
          <w:tcPr>
            <w:tcW w:w="742"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李永连</w:t>
            </w:r>
          </w:p>
        </w:tc>
        <w:tc>
          <w:tcPr>
            <w:tcW w:w="742"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男</w:t>
            </w:r>
          </w:p>
        </w:tc>
        <w:tc>
          <w:tcPr>
            <w:tcW w:w="742"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46</w:t>
            </w:r>
          </w:p>
        </w:tc>
        <w:tc>
          <w:tcPr>
            <w:tcW w:w="742"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监事</w:t>
            </w:r>
          </w:p>
        </w:tc>
        <w:tc>
          <w:tcPr>
            <w:tcW w:w="742"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现任</w:t>
            </w:r>
          </w:p>
        </w:tc>
        <w:tc>
          <w:tcPr>
            <w:tcW w:w="742"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2020年01月22日</w:t>
            </w:r>
          </w:p>
        </w:tc>
        <w:tc>
          <w:tcPr>
            <w:tcW w:w="741"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2025年05月27日</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vAlign w:val="center"/>
          </w:tcPr>
          <w:p w:rsidR="00BA0365" w:rsidRDefault="00BA0365">
            <w:pPr>
              <w:spacing w:line="240" w:lineRule="exact"/>
              <w:rPr>
                <w:rFonts w:ascii="宋体" w:eastAsia="宋体" w:hAnsi="宋体" w:cs="宋体"/>
                <w:sz w:val="18"/>
                <w:szCs w:val="18"/>
              </w:rPr>
            </w:pPr>
          </w:p>
        </w:tc>
      </w:tr>
      <w:tr w:rsidR="00BA0365" w:rsidTr="00832133">
        <w:trPr>
          <w:trHeight w:val="240"/>
        </w:trPr>
        <w:tc>
          <w:tcPr>
            <w:tcW w:w="742"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周丹丹</w:t>
            </w:r>
          </w:p>
        </w:tc>
        <w:tc>
          <w:tcPr>
            <w:tcW w:w="742"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女</w:t>
            </w:r>
          </w:p>
        </w:tc>
        <w:tc>
          <w:tcPr>
            <w:tcW w:w="742"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42</w:t>
            </w:r>
          </w:p>
        </w:tc>
        <w:tc>
          <w:tcPr>
            <w:tcW w:w="742"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监事</w:t>
            </w:r>
          </w:p>
        </w:tc>
        <w:tc>
          <w:tcPr>
            <w:tcW w:w="742"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现任</w:t>
            </w:r>
          </w:p>
        </w:tc>
        <w:tc>
          <w:tcPr>
            <w:tcW w:w="742"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2012年11月01日</w:t>
            </w:r>
          </w:p>
        </w:tc>
        <w:tc>
          <w:tcPr>
            <w:tcW w:w="741"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2025年05月27日</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vAlign w:val="center"/>
          </w:tcPr>
          <w:p w:rsidR="00BA0365" w:rsidRDefault="00BA0365">
            <w:pPr>
              <w:spacing w:line="240" w:lineRule="exact"/>
              <w:rPr>
                <w:rFonts w:ascii="宋体" w:eastAsia="宋体" w:hAnsi="宋体" w:cs="宋体"/>
                <w:sz w:val="18"/>
                <w:szCs w:val="18"/>
              </w:rPr>
            </w:pPr>
          </w:p>
        </w:tc>
      </w:tr>
      <w:tr w:rsidR="00BA0365" w:rsidTr="00832133">
        <w:trPr>
          <w:trHeight w:val="240"/>
        </w:trPr>
        <w:tc>
          <w:tcPr>
            <w:tcW w:w="742"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向坤宏</w:t>
            </w:r>
          </w:p>
        </w:tc>
        <w:tc>
          <w:tcPr>
            <w:tcW w:w="742"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男</w:t>
            </w:r>
          </w:p>
        </w:tc>
        <w:tc>
          <w:tcPr>
            <w:tcW w:w="742"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51</w:t>
            </w:r>
          </w:p>
        </w:tc>
        <w:tc>
          <w:tcPr>
            <w:tcW w:w="742"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副总裁</w:t>
            </w:r>
          </w:p>
        </w:tc>
        <w:tc>
          <w:tcPr>
            <w:tcW w:w="742"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现任</w:t>
            </w:r>
          </w:p>
        </w:tc>
        <w:tc>
          <w:tcPr>
            <w:tcW w:w="742"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2011年04月21日</w:t>
            </w:r>
          </w:p>
        </w:tc>
        <w:tc>
          <w:tcPr>
            <w:tcW w:w="741"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2025年05月27日</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200,000</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200,000</w:t>
            </w:r>
          </w:p>
        </w:tc>
        <w:tc>
          <w:tcPr>
            <w:tcW w:w="741" w:type="dxa"/>
            <w:vAlign w:val="center"/>
          </w:tcPr>
          <w:p w:rsidR="00BA0365" w:rsidRDefault="00BA0365">
            <w:pPr>
              <w:spacing w:line="240" w:lineRule="exact"/>
              <w:rPr>
                <w:rFonts w:ascii="宋体" w:eastAsia="宋体" w:hAnsi="宋体" w:cs="宋体"/>
                <w:sz w:val="18"/>
                <w:szCs w:val="18"/>
              </w:rPr>
            </w:pPr>
          </w:p>
        </w:tc>
      </w:tr>
      <w:tr w:rsidR="00BA0365" w:rsidTr="00832133">
        <w:trPr>
          <w:trHeight w:val="240"/>
        </w:trPr>
        <w:tc>
          <w:tcPr>
            <w:tcW w:w="742"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刘峰</w:t>
            </w:r>
          </w:p>
        </w:tc>
        <w:tc>
          <w:tcPr>
            <w:tcW w:w="742"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男</w:t>
            </w:r>
          </w:p>
        </w:tc>
        <w:tc>
          <w:tcPr>
            <w:tcW w:w="742"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44</w:t>
            </w:r>
          </w:p>
        </w:tc>
        <w:tc>
          <w:tcPr>
            <w:tcW w:w="742"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副总裁</w:t>
            </w:r>
          </w:p>
        </w:tc>
        <w:tc>
          <w:tcPr>
            <w:tcW w:w="742"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现任</w:t>
            </w:r>
          </w:p>
        </w:tc>
        <w:tc>
          <w:tcPr>
            <w:tcW w:w="742"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2013年04月18日</w:t>
            </w:r>
          </w:p>
        </w:tc>
        <w:tc>
          <w:tcPr>
            <w:tcW w:w="741"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2025年05月27日</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200,000</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200,000</w:t>
            </w:r>
          </w:p>
        </w:tc>
        <w:tc>
          <w:tcPr>
            <w:tcW w:w="741" w:type="dxa"/>
            <w:vAlign w:val="center"/>
          </w:tcPr>
          <w:p w:rsidR="00BA0365" w:rsidRDefault="00BA0365">
            <w:pPr>
              <w:spacing w:line="240" w:lineRule="exact"/>
              <w:rPr>
                <w:rFonts w:ascii="宋体" w:eastAsia="宋体" w:hAnsi="宋体" w:cs="宋体"/>
                <w:sz w:val="18"/>
                <w:szCs w:val="18"/>
              </w:rPr>
            </w:pPr>
          </w:p>
        </w:tc>
      </w:tr>
      <w:tr w:rsidR="00BA0365" w:rsidTr="00832133">
        <w:trPr>
          <w:trHeight w:val="240"/>
        </w:trPr>
        <w:tc>
          <w:tcPr>
            <w:tcW w:w="742"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鲁丽娜</w:t>
            </w:r>
          </w:p>
        </w:tc>
        <w:tc>
          <w:tcPr>
            <w:tcW w:w="742"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女</w:t>
            </w:r>
          </w:p>
        </w:tc>
        <w:tc>
          <w:tcPr>
            <w:tcW w:w="742"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44</w:t>
            </w:r>
          </w:p>
        </w:tc>
        <w:tc>
          <w:tcPr>
            <w:tcW w:w="742"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副总裁</w:t>
            </w:r>
          </w:p>
        </w:tc>
        <w:tc>
          <w:tcPr>
            <w:tcW w:w="742"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现任</w:t>
            </w:r>
          </w:p>
        </w:tc>
        <w:tc>
          <w:tcPr>
            <w:tcW w:w="742"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2013年04月18日</w:t>
            </w:r>
          </w:p>
        </w:tc>
        <w:tc>
          <w:tcPr>
            <w:tcW w:w="741"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2025年05月27日</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272,800</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272,800</w:t>
            </w:r>
          </w:p>
        </w:tc>
        <w:tc>
          <w:tcPr>
            <w:tcW w:w="741" w:type="dxa"/>
            <w:vAlign w:val="center"/>
          </w:tcPr>
          <w:p w:rsidR="00BA0365" w:rsidRDefault="00BA0365">
            <w:pPr>
              <w:spacing w:line="240" w:lineRule="exact"/>
              <w:rPr>
                <w:rFonts w:ascii="宋体" w:eastAsia="宋体" w:hAnsi="宋体" w:cs="宋体"/>
                <w:sz w:val="18"/>
                <w:szCs w:val="18"/>
              </w:rPr>
            </w:pPr>
          </w:p>
        </w:tc>
      </w:tr>
      <w:tr w:rsidR="00BA0365" w:rsidTr="00832133">
        <w:trPr>
          <w:trHeight w:val="240"/>
        </w:trPr>
        <w:tc>
          <w:tcPr>
            <w:tcW w:w="742"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武守涛</w:t>
            </w:r>
          </w:p>
        </w:tc>
        <w:tc>
          <w:tcPr>
            <w:tcW w:w="742"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男</w:t>
            </w:r>
          </w:p>
        </w:tc>
        <w:tc>
          <w:tcPr>
            <w:tcW w:w="742"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42</w:t>
            </w:r>
          </w:p>
        </w:tc>
        <w:tc>
          <w:tcPr>
            <w:tcW w:w="742"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副总裁</w:t>
            </w:r>
          </w:p>
        </w:tc>
        <w:tc>
          <w:tcPr>
            <w:tcW w:w="742"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现任</w:t>
            </w:r>
          </w:p>
        </w:tc>
        <w:tc>
          <w:tcPr>
            <w:tcW w:w="742"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2020年08月24日</w:t>
            </w:r>
          </w:p>
        </w:tc>
        <w:tc>
          <w:tcPr>
            <w:tcW w:w="741"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2025年05月27日</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200,000</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200,000</w:t>
            </w:r>
          </w:p>
        </w:tc>
        <w:tc>
          <w:tcPr>
            <w:tcW w:w="741" w:type="dxa"/>
            <w:vAlign w:val="center"/>
          </w:tcPr>
          <w:p w:rsidR="00BA0365" w:rsidRDefault="00BA0365">
            <w:pPr>
              <w:spacing w:line="240" w:lineRule="exact"/>
              <w:rPr>
                <w:rFonts w:ascii="宋体" w:eastAsia="宋体" w:hAnsi="宋体" w:cs="宋体"/>
                <w:sz w:val="18"/>
                <w:szCs w:val="18"/>
              </w:rPr>
            </w:pPr>
          </w:p>
        </w:tc>
      </w:tr>
      <w:tr w:rsidR="00BA0365" w:rsidTr="00832133">
        <w:trPr>
          <w:trHeight w:val="240"/>
        </w:trPr>
        <w:tc>
          <w:tcPr>
            <w:tcW w:w="742"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王志明</w:t>
            </w:r>
          </w:p>
        </w:tc>
        <w:tc>
          <w:tcPr>
            <w:tcW w:w="742"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男</w:t>
            </w:r>
          </w:p>
        </w:tc>
        <w:tc>
          <w:tcPr>
            <w:tcW w:w="742"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46</w:t>
            </w:r>
          </w:p>
        </w:tc>
        <w:tc>
          <w:tcPr>
            <w:tcW w:w="742"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副总裁</w:t>
            </w:r>
          </w:p>
        </w:tc>
        <w:tc>
          <w:tcPr>
            <w:tcW w:w="742"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现任</w:t>
            </w:r>
          </w:p>
        </w:tc>
        <w:tc>
          <w:tcPr>
            <w:tcW w:w="742"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2020年08月24日</w:t>
            </w:r>
          </w:p>
        </w:tc>
        <w:tc>
          <w:tcPr>
            <w:tcW w:w="741"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2025年05月27日</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200,000</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200,000</w:t>
            </w:r>
          </w:p>
        </w:tc>
        <w:tc>
          <w:tcPr>
            <w:tcW w:w="741" w:type="dxa"/>
            <w:vAlign w:val="center"/>
          </w:tcPr>
          <w:p w:rsidR="00BA0365" w:rsidRDefault="00BA0365">
            <w:pPr>
              <w:spacing w:line="240" w:lineRule="exact"/>
              <w:rPr>
                <w:rFonts w:ascii="宋体" w:eastAsia="宋体" w:hAnsi="宋体" w:cs="宋体"/>
                <w:sz w:val="18"/>
                <w:szCs w:val="18"/>
              </w:rPr>
            </w:pPr>
          </w:p>
        </w:tc>
      </w:tr>
      <w:tr w:rsidR="00BA0365" w:rsidTr="00832133">
        <w:trPr>
          <w:trHeight w:val="240"/>
        </w:trPr>
        <w:tc>
          <w:tcPr>
            <w:tcW w:w="742" w:type="dxa"/>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742" w:type="dxa"/>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742" w:type="dxa"/>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742" w:type="dxa"/>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742" w:type="dxa"/>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742" w:type="dxa"/>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741" w:type="dxa"/>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5,672,800</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8,000,000</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1"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13,672,800</w:t>
            </w:r>
          </w:p>
        </w:tc>
        <w:tc>
          <w:tcPr>
            <w:tcW w:w="741" w:type="dxa"/>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bl>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报告期是否存在任期内董事、监事离任和高级管理人员解聘的情况</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是 □否</w:t>
      </w:r>
    </w:p>
    <w:p w:rsidR="008D4B2E" w:rsidRDefault="008D4B2E" w:rsidP="007370FD">
      <w:pPr>
        <w:pStyle w:val="a3"/>
        <w:ind w:firstLineChars="200" w:firstLine="360"/>
        <w:divId w:val="311519910"/>
        <w:rPr>
          <w:sz w:val="18"/>
          <w:szCs w:val="18"/>
        </w:rPr>
      </w:pPr>
      <w:r>
        <w:rPr>
          <w:rFonts w:hint="eastAsia"/>
          <w:sz w:val="18"/>
          <w:szCs w:val="18"/>
        </w:rPr>
        <w:t>因工作调整，孙志慧女士申请辞去公司监事会主席及监事职务，其辞职后仍在公司担任其他职务。《关于公司监事辞职及补选非职工代表监事的公告》详见指定信息披露媒体巨潮资讯网（</w:t>
      </w:r>
      <w:hyperlink r:id="rId8" w:history="1">
        <w:r>
          <w:rPr>
            <w:rStyle w:val="a5"/>
            <w:rFonts w:hint="eastAsia"/>
            <w:sz w:val="18"/>
            <w:szCs w:val="18"/>
          </w:rPr>
          <w:t>www.cninfo.com.cn</w:t>
        </w:r>
      </w:hyperlink>
      <w:r>
        <w:rPr>
          <w:rFonts w:hint="eastAsia"/>
          <w:sz w:val="18"/>
          <w:szCs w:val="18"/>
        </w:rPr>
        <w:t>）及《证券时报》《中国证券报》《上海证券报》《证券日报》。</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公司董事、监事、高级管理人员变动情况</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747" w:type="dxa"/>
        <w:tblLayout w:type="fixed"/>
        <w:tblLook w:val="04A0" w:firstRow="1" w:lastRow="0" w:firstColumn="1" w:lastColumn="0" w:noHBand="0" w:noVBand="1"/>
      </w:tblPr>
      <w:tblGrid>
        <w:gridCol w:w="1101"/>
        <w:gridCol w:w="1417"/>
        <w:gridCol w:w="851"/>
        <w:gridCol w:w="1842"/>
        <w:gridCol w:w="4536"/>
      </w:tblGrid>
      <w:tr w:rsidR="00157EA0" w:rsidTr="002A37F5">
        <w:trPr>
          <w:trHeight w:val="240"/>
        </w:trPr>
        <w:tc>
          <w:tcPr>
            <w:tcW w:w="110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姓名</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担任的职务</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类型</w:t>
            </w:r>
          </w:p>
        </w:tc>
        <w:tc>
          <w:tcPr>
            <w:tcW w:w="184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日期</w:t>
            </w:r>
          </w:p>
        </w:tc>
        <w:tc>
          <w:tcPr>
            <w:tcW w:w="453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原因</w:t>
            </w:r>
          </w:p>
        </w:tc>
      </w:tr>
      <w:tr w:rsidR="00157EA0" w:rsidTr="002A37F5">
        <w:trPr>
          <w:trHeight w:val="240"/>
        </w:trPr>
        <w:tc>
          <w:tcPr>
            <w:tcW w:w="11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孙志慧</w:t>
            </w:r>
          </w:p>
        </w:tc>
        <w:tc>
          <w:tcPr>
            <w:tcW w:w="141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监事会主席</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离任</w:t>
            </w:r>
          </w:p>
        </w:tc>
        <w:tc>
          <w:tcPr>
            <w:tcW w:w="18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2023年05月08日</w:t>
            </w:r>
          </w:p>
        </w:tc>
        <w:tc>
          <w:tcPr>
            <w:tcW w:w="453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因工作调整，孙志慧女士申请辞去公司监事会主席及监事职务，其辞职后仍在公司担任其他职务。</w:t>
            </w:r>
          </w:p>
        </w:tc>
      </w:tr>
      <w:tr w:rsidR="00157EA0" w:rsidTr="002A37F5">
        <w:trPr>
          <w:trHeight w:val="240"/>
        </w:trPr>
        <w:tc>
          <w:tcPr>
            <w:tcW w:w="11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张秀梅</w:t>
            </w:r>
          </w:p>
        </w:tc>
        <w:tc>
          <w:tcPr>
            <w:tcW w:w="141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监事会主席</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被选举</w:t>
            </w:r>
          </w:p>
        </w:tc>
        <w:tc>
          <w:tcPr>
            <w:tcW w:w="18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2023年05月08日</w:t>
            </w:r>
          </w:p>
        </w:tc>
        <w:tc>
          <w:tcPr>
            <w:tcW w:w="453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选举张秀梅女士为公司监事会主席及监事，任期自股东大会通过之日起至第八届监事会任期届满之日止</w:t>
            </w:r>
          </w:p>
        </w:tc>
      </w:tr>
    </w:tbl>
    <w:p w:rsidR="00BA0365" w:rsidRDefault="008D4B2E">
      <w:pPr>
        <w:pStyle w:val="3"/>
        <w:spacing w:line="280" w:lineRule="exact"/>
        <w:jc w:val="left"/>
        <w:rPr>
          <w:rFonts w:ascii="宋体" w:hAnsi="宋体" w:cs="宋体"/>
          <w:b/>
          <w:bCs/>
        </w:rPr>
      </w:pPr>
      <w:bookmarkStart w:id="64" w:name="_Toc988953"/>
      <w:r>
        <w:rPr>
          <w:rFonts w:ascii="宋体" w:hAnsi="宋体" w:cs="宋体"/>
          <w:b/>
          <w:bCs/>
        </w:rPr>
        <w:lastRenderedPageBreak/>
        <w:t>2、任职情况</w:t>
      </w:r>
      <w:bookmarkEnd w:id="64"/>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公司现任董事、监事、高级管理人员专业背景、主要工作经历以及目前在公司的主要职责</w:t>
      </w:r>
    </w:p>
    <w:p w:rsidR="008D4B2E" w:rsidRPr="00F3790B" w:rsidRDefault="008D4B2E">
      <w:pPr>
        <w:pStyle w:val="a3"/>
        <w:shd w:val="clear" w:color="auto" w:fill="FFFFFF"/>
        <w:spacing w:before="0" w:beforeAutospacing="0" w:after="0" w:afterAutospacing="0"/>
        <w:divId w:val="144972380"/>
        <w:rPr>
          <w:rFonts w:cs="Arial"/>
          <w:color w:val="000000"/>
          <w:sz w:val="18"/>
          <w:szCs w:val="18"/>
        </w:rPr>
      </w:pPr>
      <w:r w:rsidRPr="00F3790B">
        <w:rPr>
          <w:rFonts w:cs="Arial"/>
          <w:color w:val="000000"/>
          <w:sz w:val="18"/>
          <w:szCs w:val="18"/>
        </w:rPr>
        <w:t>1</w:t>
      </w:r>
      <w:r w:rsidRPr="00F3790B">
        <w:rPr>
          <w:rFonts w:cs="Arial" w:hint="eastAsia"/>
          <w:color w:val="000000"/>
          <w:sz w:val="18"/>
          <w:szCs w:val="18"/>
        </w:rPr>
        <w:t>、董事</w:t>
      </w:r>
    </w:p>
    <w:p w:rsidR="008D4B2E" w:rsidRPr="00F3790B" w:rsidRDefault="008D4B2E">
      <w:pPr>
        <w:pStyle w:val="a3"/>
        <w:shd w:val="clear" w:color="auto" w:fill="FFFFFF"/>
        <w:spacing w:before="0" w:beforeAutospacing="0" w:after="0" w:afterAutospacing="0"/>
        <w:ind w:firstLine="360"/>
        <w:divId w:val="144972380"/>
        <w:rPr>
          <w:rFonts w:cs="Arial"/>
          <w:color w:val="000000"/>
          <w:sz w:val="18"/>
          <w:szCs w:val="18"/>
        </w:rPr>
      </w:pPr>
      <w:r w:rsidRPr="00F3790B">
        <w:rPr>
          <w:rFonts w:cs="Arial" w:hint="eastAsia"/>
          <w:color w:val="000000"/>
          <w:sz w:val="18"/>
          <w:szCs w:val="18"/>
        </w:rPr>
        <w:t>董事长、董事、总裁：官</w:t>
      </w:r>
      <w:proofErr w:type="gramStart"/>
      <w:r w:rsidRPr="00F3790B">
        <w:rPr>
          <w:rFonts w:cs="Arial" w:hint="eastAsia"/>
          <w:color w:val="000000"/>
          <w:sz w:val="18"/>
          <w:szCs w:val="18"/>
        </w:rPr>
        <w:t>炳</w:t>
      </w:r>
      <w:proofErr w:type="gramEnd"/>
      <w:r w:rsidRPr="00F3790B">
        <w:rPr>
          <w:rFonts w:cs="Arial" w:hint="eastAsia"/>
          <w:color w:val="000000"/>
          <w:sz w:val="18"/>
          <w:szCs w:val="18"/>
        </w:rPr>
        <w:t>政先生，中国籍，无境外居留权，</w:t>
      </w:r>
      <w:r w:rsidRPr="00F3790B">
        <w:rPr>
          <w:rFonts w:cs="Arial"/>
          <w:color w:val="000000"/>
          <w:sz w:val="18"/>
          <w:szCs w:val="18"/>
        </w:rPr>
        <w:t>1974</w:t>
      </w:r>
      <w:r w:rsidRPr="00F3790B">
        <w:rPr>
          <w:rFonts w:cs="Arial" w:hint="eastAsia"/>
          <w:color w:val="000000"/>
          <w:sz w:val="18"/>
          <w:szCs w:val="18"/>
        </w:rPr>
        <w:t>年出生，本科。自</w:t>
      </w:r>
      <w:r w:rsidRPr="00F3790B">
        <w:rPr>
          <w:rFonts w:cs="Arial"/>
          <w:color w:val="000000"/>
          <w:sz w:val="18"/>
          <w:szCs w:val="18"/>
        </w:rPr>
        <w:t>1998</w:t>
      </w:r>
      <w:r w:rsidRPr="00F3790B">
        <w:rPr>
          <w:rFonts w:cs="Arial" w:hint="eastAsia"/>
          <w:color w:val="000000"/>
          <w:sz w:val="18"/>
          <w:szCs w:val="18"/>
        </w:rPr>
        <w:t>年加入公司以来，先后担任公司配料系统事业部总经理、市场营销总监、公司副总裁。现任公司董事长、董事、总裁。</w:t>
      </w:r>
    </w:p>
    <w:p w:rsidR="008D4B2E" w:rsidRPr="00F3790B" w:rsidRDefault="008D4B2E">
      <w:pPr>
        <w:pStyle w:val="a3"/>
        <w:shd w:val="clear" w:color="auto" w:fill="FFFFFF"/>
        <w:spacing w:before="0" w:beforeAutospacing="0" w:after="0" w:afterAutospacing="0"/>
        <w:ind w:firstLine="360"/>
        <w:divId w:val="144972380"/>
        <w:rPr>
          <w:rFonts w:cs="Arial"/>
          <w:color w:val="000000"/>
          <w:sz w:val="18"/>
          <w:szCs w:val="18"/>
        </w:rPr>
      </w:pPr>
      <w:r w:rsidRPr="00F3790B">
        <w:rPr>
          <w:rFonts w:cs="Arial" w:hint="eastAsia"/>
          <w:color w:val="000000"/>
          <w:sz w:val="18"/>
          <w:szCs w:val="18"/>
        </w:rPr>
        <w:t>董事、副总裁：杨慧丽女士，中国籍，无境外居留权，</w:t>
      </w:r>
      <w:r w:rsidRPr="00F3790B">
        <w:rPr>
          <w:rFonts w:cs="Arial"/>
          <w:color w:val="000000"/>
          <w:sz w:val="18"/>
          <w:szCs w:val="18"/>
        </w:rPr>
        <w:t>1977</w:t>
      </w:r>
      <w:r w:rsidRPr="00F3790B">
        <w:rPr>
          <w:rFonts w:cs="Arial" w:hint="eastAsia"/>
          <w:color w:val="000000"/>
          <w:sz w:val="18"/>
          <w:szCs w:val="18"/>
        </w:rPr>
        <w:t>年出生，本科。曾任公司技术部经理，战略产品研发部总经理。现任公司研究院院长、半钢成型系统事业部总经理、公司董事、副总裁。</w:t>
      </w:r>
    </w:p>
    <w:p w:rsidR="008D4B2E" w:rsidRPr="00F3790B" w:rsidRDefault="008D4B2E">
      <w:pPr>
        <w:pStyle w:val="a3"/>
        <w:shd w:val="clear" w:color="auto" w:fill="FFFFFF"/>
        <w:spacing w:before="0" w:beforeAutospacing="0" w:after="0" w:afterAutospacing="0"/>
        <w:ind w:firstLine="360"/>
        <w:divId w:val="144972380"/>
        <w:rPr>
          <w:rFonts w:cs="Arial"/>
          <w:color w:val="000000"/>
          <w:sz w:val="18"/>
          <w:szCs w:val="18"/>
        </w:rPr>
      </w:pPr>
      <w:r w:rsidRPr="00F3790B">
        <w:rPr>
          <w:rFonts w:cs="Arial" w:hint="eastAsia"/>
          <w:color w:val="000000"/>
          <w:sz w:val="18"/>
          <w:szCs w:val="18"/>
        </w:rPr>
        <w:t>董事、董事会秘书、财务总监：张垚先生，</w:t>
      </w:r>
      <w:r w:rsidRPr="00F3790B">
        <w:rPr>
          <w:rFonts w:cs="Arial"/>
          <w:color w:val="000000"/>
          <w:sz w:val="18"/>
          <w:szCs w:val="18"/>
        </w:rPr>
        <w:t xml:space="preserve"> </w:t>
      </w:r>
      <w:r w:rsidRPr="00F3790B">
        <w:rPr>
          <w:rFonts w:cs="Arial" w:hint="eastAsia"/>
          <w:color w:val="000000"/>
          <w:sz w:val="18"/>
          <w:szCs w:val="18"/>
        </w:rPr>
        <w:t>中国籍，无境外居留权，</w:t>
      </w:r>
      <w:r w:rsidRPr="00F3790B">
        <w:rPr>
          <w:rFonts w:cs="Arial"/>
          <w:color w:val="000000"/>
          <w:sz w:val="18"/>
          <w:szCs w:val="18"/>
        </w:rPr>
        <w:t>1987</w:t>
      </w:r>
      <w:r w:rsidRPr="00F3790B">
        <w:rPr>
          <w:rFonts w:cs="Arial" w:hint="eastAsia"/>
          <w:color w:val="000000"/>
          <w:sz w:val="18"/>
          <w:szCs w:val="18"/>
        </w:rPr>
        <w:t>年出生，硕士。曾任普华永道中天会计师事务所高级审计员，公司监事会主席、公司证券法</w:t>
      </w:r>
      <w:proofErr w:type="gramStart"/>
      <w:r w:rsidRPr="00F3790B">
        <w:rPr>
          <w:rFonts w:cs="Arial" w:hint="eastAsia"/>
          <w:color w:val="000000"/>
          <w:sz w:val="18"/>
          <w:szCs w:val="18"/>
        </w:rPr>
        <w:t>务</w:t>
      </w:r>
      <w:proofErr w:type="gramEnd"/>
      <w:r w:rsidRPr="00F3790B">
        <w:rPr>
          <w:rFonts w:cs="Arial" w:hint="eastAsia"/>
          <w:color w:val="000000"/>
          <w:sz w:val="18"/>
          <w:szCs w:val="18"/>
        </w:rPr>
        <w:t>部、战略发展部经理。现任公司董事、董事会秘书、财务总监。</w:t>
      </w:r>
    </w:p>
    <w:p w:rsidR="008D4B2E" w:rsidRPr="00F3790B" w:rsidRDefault="008D4B2E">
      <w:pPr>
        <w:pStyle w:val="a3"/>
        <w:shd w:val="clear" w:color="auto" w:fill="FFFFFF"/>
        <w:spacing w:before="0" w:beforeAutospacing="0" w:after="0" w:afterAutospacing="0"/>
        <w:ind w:firstLine="360"/>
        <w:divId w:val="144972380"/>
        <w:rPr>
          <w:rFonts w:cs="Arial"/>
          <w:color w:val="000000"/>
          <w:sz w:val="18"/>
          <w:szCs w:val="18"/>
        </w:rPr>
      </w:pPr>
      <w:r w:rsidRPr="00F3790B">
        <w:rPr>
          <w:rFonts w:cs="Arial" w:hint="eastAsia"/>
          <w:color w:val="000000"/>
          <w:sz w:val="18"/>
          <w:szCs w:val="18"/>
        </w:rPr>
        <w:t>董事：李云涛先生，中国籍，无境外居留权，</w:t>
      </w:r>
      <w:r w:rsidRPr="00F3790B">
        <w:rPr>
          <w:rFonts w:cs="Arial"/>
          <w:color w:val="000000"/>
          <w:sz w:val="18"/>
          <w:szCs w:val="18"/>
        </w:rPr>
        <w:t>1981</w:t>
      </w:r>
      <w:r w:rsidRPr="00F3790B">
        <w:rPr>
          <w:rFonts w:cs="Arial" w:hint="eastAsia"/>
          <w:color w:val="000000"/>
          <w:sz w:val="18"/>
          <w:szCs w:val="18"/>
        </w:rPr>
        <w:t>年出生，硕士。</w:t>
      </w:r>
      <w:r w:rsidRPr="00F3790B">
        <w:rPr>
          <w:rFonts w:cs="Arial"/>
          <w:color w:val="000000"/>
          <w:sz w:val="18"/>
          <w:szCs w:val="18"/>
        </w:rPr>
        <w:t>2006</w:t>
      </w:r>
      <w:r w:rsidRPr="00F3790B">
        <w:rPr>
          <w:rFonts w:cs="Arial" w:hint="eastAsia"/>
          <w:color w:val="000000"/>
          <w:sz w:val="18"/>
          <w:szCs w:val="18"/>
        </w:rPr>
        <w:t>年加入公司，现任公司董事、抚顺伊科思新材料有限公司总经理。</w:t>
      </w:r>
    </w:p>
    <w:p w:rsidR="008D4B2E" w:rsidRPr="00F3790B" w:rsidRDefault="008D4B2E">
      <w:pPr>
        <w:pStyle w:val="a3"/>
        <w:shd w:val="clear" w:color="auto" w:fill="FFFFFF"/>
        <w:spacing w:before="0" w:beforeAutospacing="0" w:after="0" w:afterAutospacing="0"/>
        <w:ind w:firstLine="360"/>
        <w:divId w:val="144972380"/>
        <w:rPr>
          <w:rFonts w:cs="Arial"/>
          <w:color w:val="000000"/>
          <w:sz w:val="18"/>
          <w:szCs w:val="18"/>
        </w:rPr>
      </w:pPr>
      <w:r w:rsidRPr="00F3790B">
        <w:rPr>
          <w:rFonts w:cs="Arial" w:hint="eastAsia"/>
          <w:color w:val="000000"/>
          <w:sz w:val="18"/>
          <w:szCs w:val="18"/>
        </w:rPr>
        <w:t>独立董事：班耀波先生，中国籍，无境外居留权，1960年出生，博士研究生。曾</w:t>
      </w:r>
      <w:proofErr w:type="gramStart"/>
      <w:r w:rsidRPr="00F3790B">
        <w:rPr>
          <w:rFonts w:cs="Arial" w:hint="eastAsia"/>
          <w:color w:val="000000"/>
          <w:sz w:val="18"/>
          <w:szCs w:val="18"/>
        </w:rPr>
        <w:t>任中融金</w:t>
      </w:r>
      <w:proofErr w:type="gramEnd"/>
      <w:r w:rsidRPr="00F3790B">
        <w:rPr>
          <w:rFonts w:cs="Arial" w:hint="eastAsia"/>
          <w:color w:val="000000"/>
          <w:sz w:val="18"/>
          <w:szCs w:val="18"/>
        </w:rPr>
        <w:t>控（青岛）集团公司董事、总经理。 现担任公司独立董事。</w:t>
      </w:r>
    </w:p>
    <w:p w:rsidR="008D4B2E" w:rsidRPr="00F3790B" w:rsidRDefault="008D4B2E">
      <w:pPr>
        <w:pStyle w:val="a3"/>
        <w:shd w:val="clear" w:color="auto" w:fill="FFFFFF"/>
        <w:spacing w:before="0" w:beforeAutospacing="0" w:after="0" w:afterAutospacing="0"/>
        <w:ind w:firstLine="360"/>
        <w:divId w:val="144972380"/>
        <w:rPr>
          <w:rFonts w:cs="Arial"/>
          <w:color w:val="000000"/>
          <w:sz w:val="18"/>
          <w:szCs w:val="18"/>
        </w:rPr>
      </w:pPr>
      <w:r w:rsidRPr="00F3790B">
        <w:rPr>
          <w:rFonts w:cs="Arial" w:hint="eastAsia"/>
          <w:color w:val="000000"/>
          <w:sz w:val="18"/>
          <w:szCs w:val="18"/>
        </w:rPr>
        <w:t>独立董事：张伟先生，中国籍，无境外居留权，1976年出生，博士研究生。现任青岛科技大学副教授、公司独立董事。</w:t>
      </w:r>
    </w:p>
    <w:p w:rsidR="008D4B2E" w:rsidRPr="00F3790B" w:rsidRDefault="008D4B2E">
      <w:pPr>
        <w:pStyle w:val="a3"/>
        <w:shd w:val="clear" w:color="auto" w:fill="FFFFFF"/>
        <w:spacing w:before="0" w:beforeAutospacing="0" w:after="0" w:afterAutospacing="0"/>
        <w:ind w:firstLine="360"/>
        <w:divId w:val="144972380"/>
        <w:rPr>
          <w:rFonts w:cs="Arial"/>
          <w:color w:val="000000"/>
          <w:sz w:val="18"/>
          <w:szCs w:val="18"/>
        </w:rPr>
      </w:pPr>
      <w:r w:rsidRPr="00F3790B">
        <w:rPr>
          <w:rFonts w:cs="Arial" w:hint="eastAsia"/>
          <w:color w:val="000000"/>
          <w:sz w:val="18"/>
          <w:szCs w:val="18"/>
        </w:rPr>
        <w:t>独立董事：王</w:t>
      </w:r>
      <w:proofErr w:type="gramStart"/>
      <w:r w:rsidRPr="00F3790B">
        <w:rPr>
          <w:rFonts w:cs="Arial" w:hint="eastAsia"/>
          <w:color w:val="000000"/>
          <w:sz w:val="18"/>
          <w:szCs w:val="18"/>
        </w:rPr>
        <w:t>荭</w:t>
      </w:r>
      <w:proofErr w:type="gramEnd"/>
      <w:r w:rsidRPr="00F3790B">
        <w:rPr>
          <w:rFonts w:cs="Arial" w:hint="eastAsia"/>
          <w:color w:val="000000"/>
          <w:sz w:val="18"/>
          <w:szCs w:val="18"/>
        </w:rPr>
        <w:t>女士，中国籍，无境外居留权，1965年出生，博士研究生。现任中国海洋大学管理系教授、公司独立董事。</w:t>
      </w:r>
    </w:p>
    <w:p w:rsidR="008D4B2E" w:rsidRPr="00F3790B" w:rsidRDefault="008D4B2E">
      <w:pPr>
        <w:pStyle w:val="a3"/>
        <w:shd w:val="clear" w:color="auto" w:fill="FFFFFF"/>
        <w:spacing w:before="0" w:beforeAutospacing="0" w:after="0" w:afterAutospacing="0"/>
        <w:divId w:val="144972380"/>
        <w:rPr>
          <w:rFonts w:cs="Arial"/>
          <w:color w:val="000000"/>
          <w:sz w:val="18"/>
          <w:szCs w:val="18"/>
        </w:rPr>
      </w:pPr>
      <w:r w:rsidRPr="00F3790B">
        <w:rPr>
          <w:rFonts w:cs="Arial"/>
          <w:color w:val="000000"/>
          <w:sz w:val="18"/>
          <w:szCs w:val="18"/>
        </w:rPr>
        <w:t>2</w:t>
      </w:r>
      <w:r w:rsidRPr="00F3790B">
        <w:rPr>
          <w:rFonts w:cs="Arial" w:hint="eastAsia"/>
          <w:color w:val="000000"/>
          <w:sz w:val="18"/>
          <w:szCs w:val="18"/>
        </w:rPr>
        <w:t>、监事</w:t>
      </w:r>
    </w:p>
    <w:p w:rsidR="008D4B2E" w:rsidRPr="00F3790B" w:rsidRDefault="008D4B2E">
      <w:pPr>
        <w:pStyle w:val="a3"/>
        <w:shd w:val="clear" w:color="auto" w:fill="FFFFFF"/>
        <w:spacing w:before="0" w:beforeAutospacing="0" w:after="0" w:afterAutospacing="0"/>
        <w:ind w:firstLine="360"/>
        <w:divId w:val="144972380"/>
        <w:rPr>
          <w:rFonts w:cs="Arial"/>
          <w:color w:val="000000"/>
          <w:sz w:val="18"/>
          <w:szCs w:val="18"/>
        </w:rPr>
      </w:pPr>
      <w:r w:rsidRPr="00F3790B">
        <w:rPr>
          <w:rFonts w:cs="Arial" w:hint="eastAsia"/>
          <w:color w:val="000000"/>
          <w:sz w:val="18"/>
          <w:szCs w:val="18"/>
        </w:rPr>
        <w:t>监事会主席：张秀梅女士，中国籍，无境外居留权，1973年出生，大专。先后担任公司采购部财务经理、检测事业部财务经理、</w:t>
      </w:r>
      <w:proofErr w:type="gramStart"/>
      <w:r w:rsidRPr="00F3790B">
        <w:rPr>
          <w:rFonts w:cs="Arial" w:hint="eastAsia"/>
          <w:color w:val="000000"/>
          <w:sz w:val="18"/>
          <w:szCs w:val="18"/>
        </w:rPr>
        <w:t>鼓事业</w:t>
      </w:r>
      <w:proofErr w:type="gramEnd"/>
      <w:r w:rsidRPr="00F3790B">
        <w:rPr>
          <w:rFonts w:cs="Arial" w:hint="eastAsia"/>
          <w:color w:val="000000"/>
          <w:sz w:val="18"/>
          <w:szCs w:val="18"/>
        </w:rPr>
        <w:t>部财务经理。现任公司财务</w:t>
      </w:r>
      <w:proofErr w:type="gramStart"/>
      <w:r w:rsidRPr="00F3790B">
        <w:rPr>
          <w:rFonts w:cs="Arial" w:hint="eastAsia"/>
          <w:color w:val="000000"/>
          <w:sz w:val="18"/>
          <w:szCs w:val="18"/>
        </w:rPr>
        <w:t>部资产</w:t>
      </w:r>
      <w:proofErr w:type="gramEnd"/>
      <w:r w:rsidRPr="00F3790B">
        <w:rPr>
          <w:rFonts w:cs="Arial" w:hint="eastAsia"/>
          <w:color w:val="000000"/>
          <w:sz w:val="18"/>
          <w:szCs w:val="18"/>
        </w:rPr>
        <w:t>管理经理，监事会主席。</w:t>
      </w:r>
    </w:p>
    <w:p w:rsidR="008D4B2E" w:rsidRPr="00F3790B" w:rsidRDefault="008D4B2E">
      <w:pPr>
        <w:pStyle w:val="a3"/>
        <w:shd w:val="clear" w:color="auto" w:fill="FFFFFF"/>
        <w:spacing w:before="0" w:beforeAutospacing="0" w:after="0" w:afterAutospacing="0"/>
        <w:ind w:firstLine="360"/>
        <w:divId w:val="144972380"/>
        <w:rPr>
          <w:rFonts w:cs="Arial"/>
          <w:color w:val="000000"/>
          <w:sz w:val="18"/>
          <w:szCs w:val="18"/>
        </w:rPr>
      </w:pPr>
      <w:r w:rsidRPr="00F3790B">
        <w:rPr>
          <w:rFonts w:cs="Arial" w:hint="eastAsia"/>
          <w:color w:val="000000"/>
          <w:sz w:val="18"/>
          <w:szCs w:val="18"/>
        </w:rPr>
        <w:t>监事：李永连先生，中国籍，无境外居留权，</w:t>
      </w:r>
      <w:r w:rsidRPr="00F3790B">
        <w:rPr>
          <w:rFonts w:cs="Arial"/>
          <w:color w:val="000000"/>
          <w:sz w:val="18"/>
          <w:szCs w:val="18"/>
        </w:rPr>
        <w:t>1977</w:t>
      </w:r>
      <w:r w:rsidRPr="00F3790B">
        <w:rPr>
          <w:rFonts w:cs="Arial" w:hint="eastAsia"/>
          <w:color w:val="000000"/>
          <w:sz w:val="18"/>
          <w:szCs w:val="18"/>
        </w:rPr>
        <w:t>年出生，本科。现任公司全钢系统事业部财务负责人、公司监事。</w:t>
      </w:r>
    </w:p>
    <w:p w:rsidR="008D4B2E" w:rsidRPr="00F3790B" w:rsidRDefault="008D4B2E">
      <w:pPr>
        <w:pStyle w:val="a3"/>
        <w:shd w:val="clear" w:color="auto" w:fill="FFFFFF"/>
        <w:spacing w:before="0" w:beforeAutospacing="0" w:after="0" w:afterAutospacing="0"/>
        <w:ind w:firstLine="360"/>
        <w:divId w:val="144972380"/>
        <w:rPr>
          <w:rFonts w:cs="Arial"/>
          <w:color w:val="000000"/>
          <w:sz w:val="18"/>
          <w:szCs w:val="18"/>
        </w:rPr>
      </w:pPr>
      <w:r w:rsidRPr="00F3790B">
        <w:rPr>
          <w:rFonts w:cs="Arial" w:hint="eastAsia"/>
          <w:color w:val="000000"/>
          <w:sz w:val="18"/>
          <w:szCs w:val="18"/>
        </w:rPr>
        <w:t>监事：周丹丹女士，中国籍，无境外居留权，</w:t>
      </w:r>
      <w:r w:rsidRPr="00F3790B">
        <w:rPr>
          <w:rFonts w:cs="Arial"/>
          <w:color w:val="000000"/>
          <w:sz w:val="18"/>
          <w:szCs w:val="18"/>
        </w:rPr>
        <w:t>1981</w:t>
      </w:r>
      <w:r w:rsidRPr="00F3790B">
        <w:rPr>
          <w:rFonts w:cs="Arial" w:hint="eastAsia"/>
          <w:color w:val="000000"/>
          <w:sz w:val="18"/>
          <w:szCs w:val="18"/>
        </w:rPr>
        <w:t>年出生，本科。现任公司工会主席、公司监事。</w:t>
      </w:r>
    </w:p>
    <w:p w:rsidR="008D4B2E" w:rsidRPr="00F3790B" w:rsidRDefault="008D4B2E">
      <w:pPr>
        <w:pStyle w:val="a3"/>
        <w:shd w:val="clear" w:color="auto" w:fill="FFFFFF"/>
        <w:spacing w:before="0" w:beforeAutospacing="0" w:after="0" w:afterAutospacing="0"/>
        <w:divId w:val="144972380"/>
        <w:rPr>
          <w:rFonts w:cs="Arial"/>
          <w:color w:val="000000"/>
          <w:sz w:val="18"/>
          <w:szCs w:val="18"/>
        </w:rPr>
      </w:pPr>
      <w:r w:rsidRPr="00F3790B">
        <w:rPr>
          <w:rFonts w:cs="Arial"/>
          <w:color w:val="000000"/>
          <w:sz w:val="18"/>
          <w:szCs w:val="18"/>
        </w:rPr>
        <w:t>3</w:t>
      </w:r>
      <w:r w:rsidRPr="00F3790B">
        <w:rPr>
          <w:rFonts w:cs="Arial" w:hint="eastAsia"/>
          <w:color w:val="000000"/>
          <w:sz w:val="18"/>
          <w:szCs w:val="18"/>
        </w:rPr>
        <w:t>、高级管理人员</w:t>
      </w:r>
    </w:p>
    <w:p w:rsidR="008D4B2E" w:rsidRPr="00F3790B" w:rsidRDefault="008D4B2E">
      <w:pPr>
        <w:pStyle w:val="a3"/>
        <w:shd w:val="clear" w:color="auto" w:fill="FFFFFF"/>
        <w:spacing w:before="0" w:beforeAutospacing="0" w:after="0" w:afterAutospacing="0"/>
        <w:ind w:firstLine="360"/>
        <w:divId w:val="144972380"/>
        <w:rPr>
          <w:rFonts w:cs="Arial"/>
          <w:color w:val="000000"/>
          <w:sz w:val="18"/>
          <w:szCs w:val="18"/>
        </w:rPr>
      </w:pPr>
      <w:r w:rsidRPr="00F3790B">
        <w:rPr>
          <w:rFonts w:cs="Arial" w:hint="eastAsia"/>
          <w:color w:val="000000"/>
          <w:sz w:val="18"/>
          <w:szCs w:val="18"/>
        </w:rPr>
        <w:t>董事长、董事、总裁：官</w:t>
      </w:r>
      <w:proofErr w:type="gramStart"/>
      <w:r w:rsidRPr="00F3790B">
        <w:rPr>
          <w:rFonts w:cs="Arial" w:hint="eastAsia"/>
          <w:color w:val="000000"/>
          <w:sz w:val="18"/>
          <w:szCs w:val="18"/>
        </w:rPr>
        <w:t>炳</w:t>
      </w:r>
      <w:proofErr w:type="gramEnd"/>
      <w:r w:rsidRPr="00F3790B">
        <w:rPr>
          <w:rFonts w:cs="Arial" w:hint="eastAsia"/>
          <w:color w:val="000000"/>
          <w:sz w:val="18"/>
          <w:szCs w:val="18"/>
        </w:rPr>
        <w:t>政先生，简历详见</w:t>
      </w:r>
      <w:r w:rsidRPr="00F3790B">
        <w:rPr>
          <w:rFonts w:cs="Arial"/>
          <w:color w:val="000000"/>
          <w:sz w:val="18"/>
          <w:szCs w:val="18"/>
        </w:rPr>
        <w:t>“</w:t>
      </w:r>
      <w:r w:rsidRPr="00F3790B">
        <w:rPr>
          <w:rFonts w:cs="Arial" w:hint="eastAsia"/>
          <w:color w:val="000000"/>
          <w:sz w:val="18"/>
          <w:szCs w:val="18"/>
        </w:rPr>
        <w:t>董事的任职情况</w:t>
      </w:r>
      <w:r w:rsidRPr="00F3790B">
        <w:rPr>
          <w:rFonts w:cs="Arial"/>
          <w:color w:val="000000"/>
          <w:sz w:val="18"/>
          <w:szCs w:val="18"/>
        </w:rPr>
        <w:t>”</w:t>
      </w:r>
      <w:r w:rsidRPr="00F3790B">
        <w:rPr>
          <w:rFonts w:cs="Arial" w:hint="eastAsia"/>
          <w:color w:val="000000"/>
          <w:sz w:val="18"/>
          <w:szCs w:val="18"/>
        </w:rPr>
        <w:t>。</w:t>
      </w:r>
    </w:p>
    <w:p w:rsidR="008D4B2E" w:rsidRPr="00F3790B" w:rsidRDefault="008D4B2E">
      <w:pPr>
        <w:pStyle w:val="a3"/>
        <w:shd w:val="clear" w:color="auto" w:fill="FFFFFF"/>
        <w:spacing w:before="0" w:beforeAutospacing="0" w:after="0" w:afterAutospacing="0"/>
        <w:ind w:firstLine="360"/>
        <w:divId w:val="144972380"/>
        <w:rPr>
          <w:rFonts w:cs="Arial"/>
          <w:color w:val="000000"/>
          <w:sz w:val="18"/>
          <w:szCs w:val="18"/>
        </w:rPr>
      </w:pPr>
      <w:r w:rsidRPr="00F3790B">
        <w:rPr>
          <w:rFonts w:cs="Arial" w:hint="eastAsia"/>
          <w:color w:val="000000"/>
          <w:sz w:val="18"/>
          <w:szCs w:val="18"/>
        </w:rPr>
        <w:t>副总裁：向坤宏先生，中国籍，</w:t>
      </w:r>
      <w:r w:rsidRPr="00F3790B">
        <w:rPr>
          <w:rFonts w:cs="Arial"/>
          <w:color w:val="000000"/>
          <w:sz w:val="18"/>
          <w:szCs w:val="18"/>
        </w:rPr>
        <w:t>1972</w:t>
      </w:r>
      <w:r w:rsidRPr="00F3790B">
        <w:rPr>
          <w:rFonts w:cs="Arial" w:hint="eastAsia"/>
          <w:color w:val="000000"/>
          <w:sz w:val="18"/>
          <w:szCs w:val="18"/>
        </w:rPr>
        <w:t>年出生，无境外居留权，硕士。中国注册会计师，国际注册内部审计师。曾任公司财务管理部副部长、财务管理部部长。现任公司副总裁。</w:t>
      </w:r>
    </w:p>
    <w:p w:rsidR="008D4B2E" w:rsidRPr="00F3790B" w:rsidRDefault="008D4B2E">
      <w:pPr>
        <w:pStyle w:val="a3"/>
        <w:shd w:val="clear" w:color="auto" w:fill="FFFFFF"/>
        <w:spacing w:before="0" w:beforeAutospacing="0" w:after="0" w:afterAutospacing="0"/>
        <w:ind w:firstLine="360"/>
        <w:divId w:val="144972380"/>
        <w:rPr>
          <w:rFonts w:cs="Arial"/>
          <w:color w:val="000000"/>
          <w:sz w:val="18"/>
          <w:szCs w:val="18"/>
        </w:rPr>
      </w:pPr>
      <w:r w:rsidRPr="00F3790B">
        <w:rPr>
          <w:rFonts w:cs="Arial" w:hint="eastAsia"/>
          <w:color w:val="000000"/>
          <w:sz w:val="18"/>
          <w:szCs w:val="18"/>
        </w:rPr>
        <w:t>副总裁：刘峰先生，中国籍，无境外居留权，</w:t>
      </w:r>
      <w:r w:rsidRPr="00F3790B">
        <w:rPr>
          <w:rFonts w:cs="Arial"/>
          <w:color w:val="000000"/>
          <w:sz w:val="18"/>
          <w:szCs w:val="18"/>
        </w:rPr>
        <w:t>1979</w:t>
      </w:r>
      <w:r w:rsidRPr="00F3790B">
        <w:rPr>
          <w:rFonts w:cs="Arial" w:hint="eastAsia"/>
          <w:color w:val="000000"/>
          <w:sz w:val="18"/>
          <w:szCs w:val="18"/>
        </w:rPr>
        <w:t>年出生，本科。曾任公司经营管理中心主任、总裁助理。现任公司副总裁。</w:t>
      </w:r>
    </w:p>
    <w:p w:rsidR="008D4B2E" w:rsidRPr="00F3790B" w:rsidRDefault="008D4B2E">
      <w:pPr>
        <w:pStyle w:val="a3"/>
        <w:shd w:val="clear" w:color="auto" w:fill="FFFFFF"/>
        <w:spacing w:before="0" w:beforeAutospacing="0" w:after="0" w:afterAutospacing="0"/>
        <w:ind w:firstLine="360"/>
        <w:divId w:val="144972380"/>
        <w:rPr>
          <w:rFonts w:cs="Arial"/>
          <w:color w:val="000000"/>
          <w:sz w:val="18"/>
          <w:szCs w:val="18"/>
        </w:rPr>
      </w:pPr>
      <w:r w:rsidRPr="00F3790B">
        <w:rPr>
          <w:rFonts w:cs="Arial" w:hint="eastAsia"/>
          <w:color w:val="000000"/>
          <w:sz w:val="18"/>
          <w:szCs w:val="18"/>
        </w:rPr>
        <w:t>副总裁：鲁丽娜女士，中国籍，无境外居留权，</w:t>
      </w:r>
      <w:r w:rsidRPr="00F3790B">
        <w:rPr>
          <w:rFonts w:cs="Arial"/>
          <w:color w:val="000000"/>
          <w:sz w:val="18"/>
          <w:szCs w:val="18"/>
        </w:rPr>
        <w:t>1979</w:t>
      </w:r>
      <w:r w:rsidRPr="00F3790B">
        <w:rPr>
          <w:rFonts w:cs="Arial" w:hint="eastAsia"/>
          <w:color w:val="000000"/>
          <w:sz w:val="18"/>
          <w:szCs w:val="18"/>
        </w:rPr>
        <w:t>年出生，研究生。曾任公司资本与规划发展部部长助理、副部长。现任公司副总裁。</w:t>
      </w:r>
    </w:p>
    <w:p w:rsidR="008D4B2E" w:rsidRPr="00F3790B" w:rsidRDefault="008D4B2E">
      <w:pPr>
        <w:pStyle w:val="a3"/>
        <w:shd w:val="clear" w:color="auto" w:fill="FFFFFF"/>
        <w:spacing w:before="0" w:beforeAutospacing="0" w:after="0" w:afterAutospacing="0"/>
        <w:ind w:firstLine="360"/>
        <w:divId w:val="144972380"/>
        <w:rPr>
          <w:rFonts w:cs="Arial"/>
          <w:color w:val="000000"/>
          <w:sz w:val="18"/>
          <w:szCs w:val="18"/>
        </w:rPr>
      </w:pPr>
      <w:r w:rsidRPr="00F3790B">
        <w:rPr>
          <w:rFonts w:cs="Arial" w:hint="eastAsia"/>
          <w:color w:val="000000"/>
          <w:sz w:val="18"/>
          <w:szCs w:val="18"/>
        </w:rPr>
        <w:t>副总裁：武守涛先生，中国籍，无境外居留权，1981年出生，本科。曾任公司成型系统事业部常务副总经理。现任公司副总裁，兼任</w:t>
      </w:r>
      <w:proofErr w:type="gramStart"/>
      <w:r w:rsidRPr="00F3790B">
        <w:rPr>
          <w:rFonts w:cs="Arial" w:hint="eastAsia"/>
          <w:color w:val="000000"/>
          <w:sz w:val="18"/>
          <w:szCs w:val="18"/>
        </w:rPr>
        <w:t>青岛软控机电工程</w:t>
      </w:r>
      <w:proofErr w:type="gramEnd"/>
      <w:r w:rsidRPr="00F3790B">
        <w:rPr>
          <w:rFonts w:cs="Arial" w:hint="eastAsia"/>
          <w:color w:val="000000"/>
          <w:sz w:val="18"/>
          <w:szCs w:val="18"/>
        </w:rPr>
        <w:t>有限公司总经理，全钢成型系统事业部总经理。</w:t>
      </w:r>
    </w:p>
    <w:p w:rsidR="008D4B2E" w:rsidRPr="00F3790B" w:rsidRDefault="008D4B2E">
      <w:pPr>
        <w:pStyle w:val="a3"/>
        <w:shd w:val="clear" w:color="auto" w:fill="FFFFFF"/>
        <w:spacing w:before="0" w:beforeAutospacing="0" w:after="0" w:afterAutospacing="0"/>
        <w:ind w:firstLine="360"/>
        <w:divId w:val="144972380"/>
        <w:rPr>
          <w:rFonts w:cs="Arial"/>
          <w:color w:val="000000"/>
          <w:sz w:val="18"/>
          <w:szCs w:val="18"/>
        </w:rPr>
      </w:pPr>
      <w:r w:rsidRPr="00F3790B">
        <w:rPr>
          <w:rFonts w:cs="Arial" w:hint="eastAsia"/>
          <w:color w:val="000000"/>
          <w:sz w:val="18"/>
          <w:szCs w:val="18"/>
        </w:rPr>
        <w:t>副总裁：王志明先生，中国籍，无境外居留权，1977年出生，本科。曾任公司AI区营销总经理。现任公司副总裁，兼任公司配料系统事业部总经理，营销中心副总监。</w:t>
      </w:r>
    </w:p>
    <w:p w:rsidR="008D4B2E" w:rsidRPr="00F3790B" w:rsidRDefault="008D4B2E">
      <w:pPr>
        <w:pStyle w:val="a3"/>
        <w:shd w:val="clear" w:color="auto" w:fill="FFFFFF"/>
        <w:spacing w:before="0" w:beforeAutospacing="0" w:after="0" w:afterAutospacing="0"/>
        <w:ind w:firstLine="360"/>
        <w:divId w:val="144972380"/>
        <w:rPr>
          <w:rFonts w:cs="Arial"/>
          <w:color w:val="000000"/>
          <w:sz w:val="18"/>
          <w:szCs w:val="18"/>
        </w:rPr>
      </w:pPr>
      <w:r w:rsidRPr="00F3790B">
        <w:rPr>
          <w:rFonts w:cs="Arial" w:hint="eastAsia"/>
          <w:color w:val="000000"/>
          <w:sz w:val="18"/>
          <w:szCs w:val="18"/>
        </w:rPr>
        <w:t>董事、董事会秘书、财务总监：张垚先生，简历详见</w:t>
      </w:r>
      <w:r w:rsidRPr="00F3790B">
        <w:rPr>
          <w:rFonts w:cs="Arial"/>
          <w:color w:val="000000"/>
          <w:sz w:val="18"/>
          <w:szCs w:val="18"/>
        </w:rPr>
        <w:t>“</w:t>
      </w:r>
      <w:r w:rsidRPr="00F3790B">
        <w:rPr>
          <w:rFonts w:cs="Arial" w:hint="eastAsia"/>
          <w:color w:val="000000"/>
          <w:sz w:val="18"/>
          <w:szCs w:val="18"/>
        </w:rPr>
        <w:t>董事的任职情况</w:t>
      </w:r>
      <w:r w:rsidRPr="00F3790B">
        <w:rPr>
          <w:rFonts w:cs="Arial"/>
          <w:color w:val="000000"/>
          <w:sz w:val="18"/>
          <w:szCs w:val="18"/>
        </w:rPr>
        <w:t>”</w:t>
      </w:r>
      <w:r w:rsidRPr="00F3790B">
        <w:rPr>
          <w:rFonts w:cs="Arial" w:hint="eastAsia"/>
          <w:color w:val="000000"/>
          <w:sz w:val="18"/>
          <w:szCs w:val="18"/>
        </w:rPr>
        <w:t>。</w:t>
      </w:r>
    </w:p>
    <w:p w:rsidR="008D4B2E" w:rsidRPr="00F3790B" w:rsidRDefault="008D4B2E">
      <w:pPr>
        <w:pStyle w:val="a3"/>
        <w:shd w:val="clear" w:color="auto" w:fill="FFFFFF"/>
        <w:spacing w:before="0" w:beforeAutospacing="0" w:after="0" w:afterAutospacing="0"/>
        <w:ind w:firstLine="360"/>
        <w:divId w:val="144972380"/>
        <w:rPr>
          <w:rFonts w:cs="Arial"/>
          <w:color w:val="000000"/>
          <w:sz w:val="18"/>
          <w:szCs w:val="18"/>
        </w:rPr>
      </w:pPr>
      <w:r w:rsidRPr="00F3790B">
        <w:rPr>
          <w:rFonts w:cs="Arial" w:hint="eastAsia"/>
          <w:color w:val="000000"/>
          <w:sz w:val="18"/>
          <w:szCs w:val="18"/>
        </w:rPr>
        <w:t>董事、副总裁：杨慧丽女士，简历详见</w:t>
      </w:r>
      <w:r w:rsidRPr="00F3790B">
        <w:rPr>
          <w:rFonts w:cs="Arial"/>
          <w:color w:val="000000"/>
          <w:sz w:val="18"/>
          <w:szCs w:val="18"/>
        </w:rPr>
        <w:t>“</w:t>
      </w:r>
      <w:r w:rsidRPr="00F3790B">
        <w:rPr>
          <w:rFonts w:cs="Arial" w:hint="eastAsia"/>
          <w:color w:val="000000"/>
          <w:sz w:val="18"/>
          <w:szCs w:val="18"/>
        </w:rPr>
        <w:t>董事的任职情况</w:t>
      </w:r>
      <w:r w:rsidRPr="00F3790B">
        <w:rPr>
          <w:rFonts w:cs="Arial"/>
          <w:color w:val="000000"/>
          <w:sz w:val="18"/>
          <w:szCs w:val="18"/>
        </w:rPr>
        <w:t>”</w:t>
      </w:r>
      <w:r w:rsidRPr="00F3790B">
        <w:rPr>
          <w:rFonts w:cs="Arial" w:hint="eastAsia"/>
          <w:color w:val="000000"/>
          <w:sz w:val="18"/>
          <w:szCs w:val="18"/>
        </w:rPr>
        <w:t>。</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在股东单位任职情况</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在其他单位任职情况</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Layout w:type="fixed"/>
        <w:tblLook w:val="04A0" w:firstRow="1" w:lastRow="0" w:firstColumn="1" w:lastColumn="0" w:noHBand="0" w:noVBand="1"/>
      </w:tblPr>
      <w:tblGrid>
        <w:gridCol w:w="959"/>
        <w:gridCol w:w="2693"/>
        <w:gridCol w:w="1418"/>
        <w:gridCol w:w="1559"/>
        <w:gridCol w:w="1402"/>
        <w:gridCol w:w="1608"/>
      </w:tblGrid>
      <w:tr w:rsidR="00157EA0" w:rsidTr="00F3790B">
        <w:trPr>
          <w:trHeight w:val="240"/>
        </w:trPr>
        <w:tc>
          <w:tcPr>
            <w:tcW w:w="95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任职人员姓名</w:t>
            </w:r>
          </w:p>
        </w:tc>
        <w:tc>
          <w:tcPr>
            <w:tcW w:w="269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其他单位名称</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在其他单位担任的职务</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任期起始日期</w:t>
            </w:r>
          </w:p>
        </w:tc>
        <w:tc>
          <w:tcPr>
            <w:tcW w:w="14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任期终止日期</w:t>
            </w:r>
          </w:p>
        </w:tc>
        <w:tc>
          <w:tcPr>
            <w:tcW w:w="160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在其他单位是否领取报酬津贴</w:t>
            </w:r>
          </w:p>
        </w:tc>
      </w:tr>
      <w:tr w:rsidR="00157EA0" w:rsidTr="00F3790B">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张伟</w:t>
            </w:r>
          </w:p>
        </w:tc>
        <w:tc>
          <w:tcPr>
            <w:tcW w:w="269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青岛科技大学</w:t>
            </w:r>
          </w:p>
        </w:tc>
        <w:tc>
          <w:tcPr>
            <w:tcW w:w="14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副教授</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F3790B">
            <w:pPr>
              <w:spacing w:line="240" w:lineRule="exact"/>
              <w:rPr>
                <w:rFonts w:ascii="宋体" w:eastAsia="宋体" w:hAnsi="宋体" w:cs="宋体"/>
                <w:sz w:val="18"/>
                <w:szCs w:val="18"/>
              </w:rPr>
            </w:pPr>
            <w:r>
              <w:rPr>
                <w:rFonts w:ascii="宋体" w:eastAsia="宋体" w:hAnsi="宋体" w:cs="宋体" w:hint="eastAsia"/>
                <w:sz w:val="18"/>
                <w:szCs w:val="18"/>
              </w:rPr>
              <w:t>-</w:t>
            </w:r>
          </w:p>
        </w:tc>
        <w:tc>
          <w:tcPr>
            <w:tcW w:w="1402" w:type="dxa"/>
            <w:tcBorders>
              <w:top w:val="single" w:sz="2" w:space="0" w:color="auto"/>
              <w:left w:val="single" w:sz="2" w:space="0" w:color="auto"/>
              <w:bottom w:val="single" w:sz="2" w:space="0" w:color="auto"/>
              <w:right w:val="single" w:sz="2" w:space="0" w:color="auto"/>
            </w:tcBorders>
            <w:vAlign w:val="center"/>
          </w:tcPr>
          <w:p w:rsidR="00BA0365" w:rsidRDefault="00F3790B">
            <w:pPr>
              <w:spacing w:line="240" w:lineRule="exact"/>
              <w:rPr>
                <w:rFonts w:ascii="宋体" w:eastAsia="宋体" w:hAnsi="宋体" w:cs="宋体"/>
                <w:sz w:val="18"/>
                <w:szCs w:val="18"/>
              </w:rPr>
            </w:pPr>
            <w:r>
              <w:rPr>
                <w:rFonts w:ascii="宋体" w:eastAsia="宋体" w:hAnsi="宋体" w:cs="宋体" w:hint="eastAsia"/>
                <w:sz w:val="18"/>
                <w:szCs w:val="18"/>
              </w:rPr>
              <w:t>-</w:t>
            </w:r>
          </w:p>
        </w:tc>
        <w:tc>
          <w:tcPr>
            <w:tcW w:w="160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是</w:t>
            </w:r>
          </w:p>
        </w:tc>
      </w:tr>
      <w:tr w:rsidR="00157EA0" w:rsidTr="00F3790B">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lastRenderedPageBreak/>
              <w:t>王</w:t>
            </w:r>
            <w:proofErr w:type="gramStart"/>
            <w:r>
              <w:rPr>
                <w:rFonts w:ascii="宋体" w:eastAsia="宋体" w:hAnsi="宋体" w:cs="宋体"/>
                <w:sz w:val="18"/>
                <w:szCs w:val="18"/>
              </w:rPr>
              <w:t>荭</w:t>
            </w:r>
            <w:proofErr w:type="gramEnd"/>
          </w:p>
        </w:tc>
        <w:tc>
          <w:tcPr>
            <w:tcW w:w="269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中国海洋大学</w:t>
            </w:r>
          </w:p>
        </w:tc>
        <w:tc>
          <w:tcPr>
            <w:tcW w:w="14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教授</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F3790B">
            <w:pPr>
              <w:spacing w:line="240" w:lineRule="exact"/>
              <w:rPr>
                <w:rFonts w:ascii="宋体" w:eastAsia="宋体" w:hAnsi="宋体" w:cs="宋体"/>
                <w:sz w:val="18"/>
                <w:szCs w:val="18"/>
              </w:rPr>
            </w:pPr>
            <w:r>
              <w:rPr>
                <w:rFonts w:ascii="宋体" w:eastAsia="宋体" w:hAnsi="宋体" w:cs="宋体" w:hint="eastAsia"/>
                <w:sz w:val="18"/>
                <w:szCs w:val="18"/>
              </w:rPr>
              <w:t>-</w:t>
            </w:r>
          </w:p>
        </w:tc>
        <w:tc>
          <w:tcPr>
            <w:tcW w:w="1402" w:type="dxa"/>
            <w:tcBorders>
              <w:top w:val="single" w:sz="2" w:space="0" w:color="auto"/>
              <w:left w:val="single" w:sz="2" w:space="0" w:color="auto"/>
              <w:bottom w:val="single" w:sz="2" w:space="0" w:color="auto"/>
              <w:right w:val="single" w:sz="2" w:space="0" w:color="auto"/>
            </w:tcBorders>
            <w:vAlign w:val="center"/>
          </w:tcPr>
          <w:p w:rsidR="00BA0365" w:rsidRDefault="00F3790B">
            <w:pPr>
              <w:spacing w:line="240" w:lineRule="exact"/>
              <w:rPr>
                <w:rFonts w:ascii="宋体" w:eastAsia="宋体" w:hAnsi="宋体" w:cs="宋体"/>
                <w:sz w:val="18"/>
                <w:szCs w:val="18"/>
              </w:rPr>
            </w:pPr>
            <w:r>
              <w:rPr>
                <w:rFonts w:ascii="宋体" w:eastAsia="宋体" w:hAnsi="宋体" w:cs="宋体" w:hint="eastAsia"/>
                <w:sz w:val="18"/>
                <w:szCs w:val="18"/>
              </w:rPr>
              <w:t>-</w:t>
            </w:r>
          </w:p>
        </w:tc>
        <w:tc>
          <w:tcPr>
            <w:tcW w:w="160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是</w:t>
            </w:r>
          </w:p>
        </w:tc>
      </w:tr>
      <w:tr w:rsidR="00157EA0" w:rsidTr="00F3790B">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王</w:t>
            </w:r>
            <w:proofErr w:type="gramStart"/>
            <w:r>
              <w:rPr>
                <w:rFonts w:ascii="宋体" w:eastAsia="宋体" w:hAnsi="宋体" w:cs="宋体"/>
                <w:sz w:val="18"/>
                <w:szCs w:val="18"/>
              </w:rPr>
              <w:t>荭</w:t>
            </w:r>
            <w:proofErr w:type="gramEnd"/>
          </w:p>
        </w:tc>
        <w:tc>
          <w:tcPr>
            <w:tcW w:w="269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双星股份有限公司</w:t>
            </w:r>
          </w:p>
        </w:tc>
        <w:tc>
          <w:tcPr>
            <w:tcW w:w="14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独立董事</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F3790B">
            <w:pPr>
              <w:spacing w:line="240" w:lineRule="exact"/>
              <w:rPr>
                <w:rFonts w:ascii="宋体" w:eastAsia="宋体" w:hAnsi="宋体" w:cs="宋体"/>
                <w:sz w:val="18"/>
                <w:szCs w:val="18"/>
              </w:rPr>
            </w:pPr>
            <w:r>
              <w:rPr>
                <w:rFonts w:ascii="宋体" w:eastAsia="宋体" w:hAnsi="宋体" w:cs="宋体" w:hint="eastAsia"/>
                <w:sz w:val="18"/>
                <w:szCs w:val="18"/>
              </w:rPr>
              <w:t>-</w:t>
            </w:r>
          </w:p>
        </w:tc>
        <w:tc>
          <w:tcPr>
            <w:tcW w:w="1402" w:type="dxa"/>
            <w:tcBorders>
              <w:top w:val="single" w:sz="2" w:space="0" w:color="auto"/>
              <w:left w:val="single" w:sz="2" w:space="0" w:color="auto"/>
              <w:bottom w:val="single" w:sz="2" w:space="0" w:color="auto"/>
              <w:right w:val="single" w:sz="2" w:space="0" w:color="auto"/>
            </w:tcBorders>
            <w:vAlign w:val="center"/>
          </w:tcPr>
          <w:p w:rsidR="00BA0365" w:rsidRDefault="00F3790B">
            <w:pPr>
              <w:spacing w:line="240" w:lineRule="exact"/>
              <w:rPr>
                <w:rFonts w:ascii="宋体" w:eastAsia="宋体" w:hAnsi="宋体" w:cs="宋体"/>
                <w:sz w:val="18"/>
                <w:szCs w:val="18"/>
              </w:rPr>
            </w:pPr>
            <w:r>
              <w:rPr>
                <w:rFonts w:ascii="宋体" w:eastAsia="宋体" w:hAnsi="宋体" w:cs="宋体" w:hint="eastAsia"/>
                <w:sz w:val="18"/>
                <w:szCs w:val="18"/>
              </w:rPr>
              <w:t>-</w:t>
            </w:r>
          </w:p>
        </w:tc>
        <w:tc>
          <w:tcPr>
            <w:tcW w:w="160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是</w:t>
            </w:r>
          </w:p>
        </w:tc>
      </w:tr>
      <w:tr w:rsidR="00157EA0" w:rsidTr="00F3790B">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王</w:t>
            </w:r>
            <w:proofErr w:type="gramStart"/>
            <w:r>
              <w:rPr>
                <w:rFonts w:ascii="宋体" w:eastAsia="宋体" w:hAnsi="宋体" w:cs="宋体"/>
                <w:sz w:val="18"/>
                <w:szCs w:val="18"/>
              </w:rPr>
              <w:t>荭</w:t>
            </w:r>
            <w:proofErr w:type="gramEnd"/>
          </w:p>
        </w:tc>
        <w:tc>
          <w:tcPr>
            <w:tcW w:w="269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中科合成油技术股份有限公司</w:t>
            </w:r>
          </w:p>
        </w:tc>
        <w:tc>
          <w:tcPr>
            <w:tcW w:w="14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独立董事</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F3790B">
            <w:pPr>
              <w:spacing w:line="240" w:lineRule="exact"/>
              <w:rPr>
                <w:rFonts w:ascii="宋体" w:eastAsia="宋体" w:hAnsi="宋体" w:cs="宋体"/>
                <w:sz w:val="18"/>
                <w:szCs w:val="18"/>
              </w:rPr>
            </w:pPr>
            <w:r>
              <w:rPr>
                <w:rFonts w:ascii="宋体" w:eastAsia="宋体" w:hAnsi="宋体" w:cs="宋体" w:hint="eastAsia"/>
                <w:sz w:val="18"/>
                <w:szCs w:val="18"/>
              </w:rPr>
              <w:t>-</w:t>
            </w:r>
          </w:p>
        </w:tc>
        <w:tc>
          <w:tcPr>
            <w:tcW w:w="1402" w:type="dxa"/>
            <w:tcBorders>
              <w:top w:val="single" w:sz="2" w:space="0" w:color="auto"/>
              <w:left w:val="single" w:sz="2" w:space="0" w:color="auto"/>
              <w:bottom w:val="single" w:sz="2" w:space="0" w:color="auto"/>
              <w:right w:val="single" w:sz="2" w:space="0" w:color="auto"/>
            </w:tcBorders>
            <w:vAlign w:val="center"/>
          </w:tcPr>
          <w:p w:rsidR="00BA0365" w:rsidRDefault="00F3790B">
            <w:pPr>
              <w:spacing w:line="240" w:lineRule="exact"/>
              <w:rPr>
                <w:rFonts w:ascii="宋体" w:eastAsia="宋体" w:hAnsi="宋体" w:cs="宋体"/>
                <w:sz w:val="18"/>
                <w:szCs w:val="18"/>
              </w:rPr>
            </w:pPr>
            <w:r>
              <w:rPr>
                <w:rFonts w:ascii="宋体" w:eastAsia="宋体" w:hAnsi="宋体" w:cs="宋体" w:hint="eastAsia"/>
                <w:sz w:val="18"/>
                <w:szCs w:val="18"/>
              </w:rPr>
              <w:t>-</w:t>
            </w:r>
          </w:p>
        </w:tc>
        <w:tc>
          <w:tcPr>
            <w:tcW w:w="160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是</w:t>
            </w:r>
          </w:p>
        </w:tc>
      </w:tr>
      <w:tr w:rsidR="00157EA0" w:rsidTr="00F3790B">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王</w:t>
            </w:r>
            <w:proofErr w:type="gramStart"/>
            <w:r>
              <w:rPr>
                <w:rFonts w:ascii="宋体" w:eastAsia="宋体" w:hAnsi="宋体" w:cs="宋体"/>
                <w:sz w:val="18"/>
                <w:szCs w:val="18"/>
              </w:rPr>
              <w:t>荭</w:t>
            </w:r>
            <w:proofErr w:type="gramEnd"/>
          </w:p>
        </w:tc>
        <w:tc>
          <w:tcPr>
            <w:tcW w:w="269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山东力久电机股份有限公司</w:t>
            </w:r>
          </w:p>
        </w:tc>
        <w:tc>
          <w:tcPr>
            <w:tcW w:w="14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独立董事</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F3790B">
            <w:pPr>
              <w:spacing w:line="240" w:lineRule="exact"/>
              <w:rPr>
                <w:rFonts w:ascii="宋体" w:eastAsia="宋体" w:hAnsi="宋体" w:cs="宋体"/>
                <w:sz w:val="18"/>
                <w:szCs w:val="18"/>
              </w:rPr>
            </w:pPr>
            <w:r>
              <w:rPr>
                <w:rFonts w:ascii="宋体" w:eastAsia="宋体" w:hAnsi="宋体" w:cs="宋体" w:hint="eastAsia"/>
                <w:sz w:val="18"/>
                <w:szCs w:val="18"/>
              </w:rPr>
              <w:t>-</w:t>
            </w:r>
          </w:p>
        </w:tc>
        <w:tc>
          <w:tcPr>
            <w:tcW w:w="1402" w:type="dxa"/>
            <w:tcBorders>
              <w:top w:val="single" w:sz="2" w:space="0" w:color="auto"/>
              <w:left w:val="single" w:sz="2" w:space="0" w:color="auto"/>
              <w:bottom w:val="single" w:sz="2" w:space="0" w:color="auto"/>
              <w:right w:val="single" w:sz="2" w:space="0" w:color="auto"/>
            </w:tcBorders>
            <w:vAlign w:val="center"/>
          </w:tcPr>
          <w:p w:rsidR="00BA0365" w:rsidRDefault="00F3790B">
            <w:pPr>
              <w:spacing w:line="240" w:lineRule="exact"/>
              <w:rPr>
                <w:rFonts w:ascii="宋体" w:eastAsia="宋体" w:hAnsi="宋体" w:cs="宋体"/>
                <w:sz w:val="18"/>
                <w:szCs w:val="18"/>
              </w:rPr>
            </w:pPr>
            <w:r>
              <w:rPr>
                <w:rFonts w:ascii="宋体" w:eastAsia="宋体" w:hAnsi="宋体" w:cs="宋体" w:hint="eastAsia"/>
                <w:sz w:val="18"/>
                <w:szCs w:val="18"/>
              </w:rPr>
              <w:t>-</w:t>
            </w:r>
          </w:p>
        </w:tc>
        <w:tc>
          <w:tcPr>
            <w:tcW w:w="160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是</w:t>
            </w:r>
          </w:p>
        </w:tc>
      </w:tr>
      <w:tr w:rsidR="00157EA0" w:rsidTr="00F3790B">
        <w:trPr>
          <w:trHeight w:val="240"/>
        </w:trPr>
        <w:tc>
          <w:tcPr>
            <w:tcW w:w="95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在其他单位任职情况的说明</w:t>
            </w:r>
          </w:p>
        </w:tc>
        <w:tc>
          <w:tcPr>
            <w:tcW w:w="8680" w:type="dxa"/>
            <w:gridSpan w:val="5"/>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无</w:t>
            </w:r>
          </w:p>
        </w:tc>
      </w:tr>
    </w:tbl>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公司现任及报告期内离任董事、监事和高级管理人员近三年证券监管机构处罚的情况</w:t>
      </w:r>
    </w:p>
    <w:p w:rsidR="00BA0365" w:rsidRPr="007370FD" w:rsidRDefault="008D4B2E">
      <w:pPr>
        <w:spacing w:before="100" w:after="100" w:line="240" w:lineRule="exact"/>
        <w:rPr>
          <w:rFonts w:ascii="宋体" w:eastAsia="宋体" w:hAnsi="宋体" w:cs="宋体"/>
          <w:sz w:val="18"/>
          <w:szCs w:val="18"/>
        </w:rPr>
      </w:pPr>
      <w:r w:rsidRPr="007370FD">
        <w:rPr>
          <w:rFonts w:ascii="宋体" w:eastAsia="宋体" w:hAnsi="宋体" w:cs="宋体"/>
          <w:sz w:val="18"/>
          <w:szCs w:val="18"/>
        </w:rPr>
        <w:sym w:font="Wingdings 2" w:char="F052"/>
      </w:r>
      <w:r w:rsidRPr="007370FD">
        <w:rPr>
          <w:rFonts w:ascii="宋体" w:eastAsia="宋体" w:hAnsi="宋体" w:cs="宋体"/>
          <w:sz w:val="18"/>
          <w:szCs w:val="18"/>
        </w:rPr>
        <w:t>适用 □不适用</w:t>
      </w:r>
    </w:p>
    <w:p w:rsidR="008D4B2E" w:rsidRDefault="008D4B2E" w:rsidP="00F3790B">
      <w:pPr>
        <w:pStyle w:val="a3"/>
        <w:spacing w:before="0" w:beforeAutospacing="0" w:after="0" w:afterAutospacing="0"/>
        <w:ind w:firstLine="360"/>
        <w:divId w:val="1479415760"/>
        <w:rPr>
          <w:sz w:val="18"/>
          <w:szCs w:val="18"/>
        </w:rPr>
      </w:pPr>
      <w:r w:rsidRPr="007370FD">
        <w:rPr>
          <w:rFonts w:cs="Times New Roman" w:hint="eastAsia"/>
          <w:sz w:val="18"/>
          <w:szCs w:val="18"/>
        </w:rPr>
        <w:t>公司于2023年11月收到中国证券监督管理委员会青岛监管局《关于对软控股份有限公司、张垚采取出具警示函措施的决定》（</w:t>
      </w:r>
      <w:r w:rsidRPr="007370FD">
        <w:rPr>
          <w:rFonts w:cs="Times New Roman"/>
          <w:sz w:val="18"/>
          <w:szCs w:val="18"/>
        </w:rPr>
        <w:t>[2023]20</w:t>
      </w:r>
      <w:r w:rsidRPr="007370FD">
        <w:rPr>
          <w:rFonts w:cs="Times New Roman" w:hint="eastAsia"/>
          <w:sz w:val="18"/>
          <w:szCs w:val="18"/>
        </w:rPr>
        <w:t>号，具体内容请详见2023年12月2日公司于深圳证券交易所官方网站及指定媒体披露的《关于收到青岛证监局警示函的公告》（公告编号：2023-075）。</w:t>
      </w:r>
    </w:p>
    <w:p w:rsidR="00BA0365" w:rsidRDefault="008D4B2E">
      <w:pPr>
        <w:pStyle w:val="3"/>
        <w:spacing w:line="280" w:lineRule="exact"/>
        <w:jc w:val="left"/>
        <w:rPr>
          <w:rFonts w:ascii="宋体" w:hAnsi="宋体" w:cs="宋体"/>
          <w:b/>
          <w:bCs/>
        </w:rPr>
      </w:pPr>
      <w:bookmarkStart w:id="65" w:name="_Toc988954"/>
      <w:r>
        <w:rPr>
          <w:rFonts w:ascii="宋体" w:hAnsi="宋体" w:cs="宋体"/>
          <w:b/>
          <w:bCs/>
        </w:rPr>
        <w:t>3、董事、监事、高级管理人员报酬情况</w:t>
      </w:r>
      <w:bookmarkEnd w:id="65"/>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董事、监事、高级管理人员报酬的决策程序、确定依据、实际支付情况</w:t>
      </w:r>
    </w:p>
    <w:p w:rsidR="008D4B2E" w:rsidRDefault="008D4B2E">
      <w:pPr>
        <w:pStyle w:val="a3"/>
        <w:spacing w:before="0" w:beforeAutospacing="0" w:after="0" w:afterAutospacing="0"/>
        <w:ind w:firstLine="360"/>
        <w:divId w:val="345716566"/>
      </w:pPr>
      <w:r>
        <w:rPr>
          <w:rFonts w:hint="eastAsia"/>
          <w:sz w:val="18"/>
          <w:szCs w:val="18"/>
        </w:rPr>
        <w:t>公司董事、监事、高级管理人员报酬的决策程序：董事会薪酬与考核委员会制订和管理公司高级管理人员薪酬方案，评估高级管理人员业绩指标的专门机构，主要负责公司高级管理人员薪酬制度制订、管理与考核的专门机构，向董事会报告工作并对董事会负责。依据相关法律、法规及《公司章程》的规定或董事会授权，薪酬委员会也可以拟订有关董事和非职工代表监事的薪酬制度或薪酬方案。薪酬委员会制定的高级管理人员工作岗位职责、业绩考核体系与业绩考核指标须经公司董事会批准后执行。薪酬委员会拟订的董事和股东代表出任的监事薪酬方案须经董事会审议后报股东大会批准，薪酬委员会制订的高级管理人员薪酬方案直接报董事会批准。</w:t>
      </w:r>
    </w:p>
    <w:p w:rsidR="008D4B2E" w:rsidRDefault="008D4B2E">
      <w:pPr>
        <w:pStyle w:val="a3"/>
        <w:spacing w:before="0" w:beforeAutospacing="0" w:after="0" w:afterAutospacing="0"/>
        <w:ind w:firstLine="360"/>
        <w:divId w:val="345716566"/>
      </w:pPr>
      <w:r>
        <w:rPr>
          <w:rFonts w:hint="eastAsia"/>
          <w:sz w:val="18"/>
          <w:szCs w:val="18"/>
        </w:rPr>
        <w:t>公司董事、监事、高级管理人员报酬的确定依据：在公司任职的内部董事、监事和高级管理人员按其行政岗位职务，根据公司现行的工资制度领取薪酬，高级管理人员实行年薪制、年薪与年度经营指标完成情况挂钩。</w:t>
      </w:r>
    </w:p>
    <w:p w:rsidR="008D4B2E" w:rsidRDefault="008D4B2E">
      <w:pPr>
        <w:pStyle w:val="a3"/>
        <w:spacing w:before="0" w:beforeAutospacing="0" w:after="0" w:afterAutospacing="0"/>
        <w:ind w:firstLine="360"/>
        <w:divId w:val="345716566"/>
      </w:pPr>
      <w:r>
        <w:rPr>
          <w:rFonts w:ascii="Times New Roman" w:hAnsi="Times New Roman" w:cs="Times New Roman"/>
          <w:sz w:val="18"/>
          <w:szCs w:val="18"/>
        </w:rPr>
        <w:t>2023</w:t>
      </w:r>
      <w:r>
        <w:rPr>
          <w:rFonts w:hint="eastAsia"/>
          <w:sz w:val="18"/>
          <w:szCs w:val="18"/>
        </w:rPr>
        <w:t>年</w:t>
      </w:r>
      <w:r>
        <w:rPr>
          <w:rFonts w:ascii="Times New Roman" w:hAnsi="Times New Roman" w:cs="Times New Roman"/>
          <w:sz w:val="18"/>
          <w:szCs w:val="18"/>
        </w:rPr>
        <w:t>4</w:t>
      </w:r>
      <w:r>
        <w:rPr>
          <w:rFonts w:hint="eastAsia"/>
          <w:sz w:val="18"/>
          <w:szCs w:val="18"/>
        </w:rPr>
        <w:t>月10日公司第八届董事会第六次会议、第八届监事会第七次会议审议通过了《关于</w:t>
      </w:r>
      <w:r>
        <w:rPr>
          <w:rFonts w:ascii="Times New Roman" w:hAnsi="Times New Roman" w:cs="Times New Roman"/>
          <w:sz w:val="18"/>
          <w:szCs w:val="18"/>
        </w:rPr>
        <w:t>2023</w:t>
      </w:r>
      <w:r>
        <w:rPr>
          <w:rFonts w:hint="eastAsia"/>
          <w:sz w:val="18"/>
          <w:szCs w:val="18"/>
        </w:rPr>
        <w:t>年度董事及高级管理人员薪酬方案的议案》《关于</w:t>
      </w:r>
      <w:r>
        <w:rPr>
          <w:rFonts w:ascii="Times New Roman" w:hAnsi="Times New Roman" w:cs="Times New Roman"/>
          <w:sz w:val="18"/>
          <w:szCs w:val="18"/>
        </w:rPr>
        <w:t>2023</w:t>
      </w:r>
      <w:r>
        <w:rPr>
          <w:rFonts w:hint="eastAsia"/>
          <w:sz w:val="18"/>
          <w:szCs w:val="18"/>
        </w:rPr>
        <w:t>年度监事薪酬方案的议案》，具体内容详见指定信息披露媒体巨潮资讯网（</w:t>
      </w:r>
      <w:r>
        <w:rPr>
          <w:rFonts w:ascii="Times New Roman" w:hAnsi="Times New Roman" w:cs="Times New Roman"/>
          <w:sz w:val="18"/>
          <w:szCs w:val="18"/>
        </w:rPr>
        <w:t>www.cninfo.com.cn</w:t>
      </w:r>
      <w:r>
        <w:rPr>
          <w:rFonts w:hint="eastAsia"/>
          <w:sz w:val="18"/>
          <w:szCs w:val="18"/>
        </w:rPr>
        <w:t>）及《证券时报》《中国证券报》《上海证券报》《证券日报》。</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公司报告期内董事、监事和高级管理人员报酬情况</w:t>
      </w:r>
    </w:p>
    <w:p w:rsidR="00BA0365" w:rsidRDefault="008D4B2E">
      <w:pPr>
        <w:spacing w:before="120" w:after="120" w:line="240" w:lineRule="exact"/>
        <w:jc w:val="right"/>
        <w:rPr>
          <w:rFonts w:ascii="宋体" w:eastAsia="宋体" w:hAnsi="宋体" w:cs="宋体"/>
          <w:sz w:val="18"/>
          <w:szCs w:val="18"/>
        </w:rPr>
      </w:pPr>
      <w:r>
        <w:rPr>
          <w:rFonts w:ascii="宋体" w:eastAsia="宋体" w:hAnsi="宋体" w:cs="宋体"/>
          <w:sz w:val="18"/>
          <w:szCs w:val="18"/>
        </w:rPr>
        <w:t>单位：万元</w:t>
      </w:r>
    </w:p>
    <w:tbl>
      <w:tblPr>
        <w:tblW w:w="9639" w:type="dxa"/>
        <w:tblLayout w:type="fixed"/>
        <w:tblLook w:val="04A0" w:firstRow="1" w:lastRow="0" w:firstColumn="1" w:lastColumn="0" w:noHBand="0" w:noVBand="1"/>
      </w:tblPr>
      <w:tblGrid>
        <w:gridCol w:w="959"/>
        <w:gridCol w:w="709"/>
        <w:gridCol w:w="992"/>
        <w:gridCol w:w="2848"/>
        <w:gridCol w:w="1377"/>
        <w:gridCol w:w="1377"/>
        <w:gridCol w:w="1377"/>
      </w:tblGrid>
      <w:tr w:rsidR="00157EA0" w:rsidTr="002A37F5">
        <w:trPr>
          <w:trHeight w:val="240"/>
        </w:trPr>
        <w:tc>
          <w:tcPr>
            <w:tcW w:w="95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姓名</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性别</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年龄</w:t>
            </w:r>
          </w:p>
        </w:tc>
        <w:tc>
          <w:tcPr>
            <w:tcW w:w="284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职务</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任职状态</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从公司获得的税前报酬总额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是否在公司关联方获取报酬</w:t>
            </w:r>
          </w:p>
        </w:tc>
      </w:tr>
      <w:tr w:rsidR="00157EA0" w:rsidTr="002A37F5">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官</w:t>
            </w:r>
            <w:proofErr w:type="gramStart"/>
            <w:r>
              <w:rPr>
                <w:rFonts w:ascii="宋体" w:eastAsia="宋体" w:hAnsi="宋体" w:cs="宋体"/>
                <w:sz w:val="18"/>
                <w:szCs w:val="18"/>
              </w:rPr>
              <w:t>炳</w:t>
            </w:r>
            <w:proofErr w:type="gramEnd"/>
            <w:r>
              <w:rPr>
                <w:rFonts w:ascii="宋体" w:eastAsia="宋体" w:hAnsi="宋体" w:cs="宋体"/>
                <w:sz w:val="18"/>
                <w:szCs w:val="18"/>
              </w:rPr>
              <w:t>政</w:t>
            </w:r>
          </w:p>
        </w:tc>
        <w:tc>
          <w:tcPr>
            <w:tcW w:w="70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男</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49</w:t>
            </w:r>
          </w:p>
        </w:tc>
        <w:tc>
          <w:tcPr>
            <w:tcW w:w="284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董事长、董事、总裁</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78.11</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rsidTr="002A37F5">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杨慧丽</w:t>
            </w:r>
          </w:p>
        </w:tc>
        <w:tc>
          <w:tcPr>
            <w:tcW w:w="70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女</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46</w:t>
            </w:r>
          </w:p>
        </w:tc>
        <w:tc>
          <w:tcPr>
            <w:tcW w:w="284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董事、副总裁</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66.02</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rsidTr="002A37F5">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李云涛</w:t>
            </w:r>
          </w:p>
        </w:tc>
        <w:tc>
          <w:tcPr>
            <w:tcW w:w="70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男</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42</w:t>
            </w:r>
          </w:p>
        </w:tc>
        <w:tc>
          <w:tcPr>
            <w:tcW w:w="284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董事</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9B6868">
            <w:pPr>
              <w:spacing w:line="240" w:lineRule="exact"/>
              <w:jc w:val="right"/>
              <w:rPr>
                <w:rFonts w:ascii="宋体" w:eastAsia="宋体" w:hAnsi="宋体" w:cs="宋体"/>
                <w:sz w:val="18"/>
                <w:szCs w:val="18"/>
              </w:rPr>
            </w:pPr>
            <w:r>
              <w:rPr>
                <w:rFonts w:ascii="宋体" w:eastAsia="宋体" w:hAnsi="宋体" w:cs="宋体"/>
                <w:sz w:val="18"/>
                <w:szCs w:val="18"/>
              </w:rPr>
              <w:t>48.47</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rsidTr="002A37F5">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张垚</w:t>
            </w:r>
          </w:p>
        </w:tc>
        <w:tc>
          <w:tcPr>
            <w:tcW w:w="70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男</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36</w:t>
            </w:r>
          </w:p>
        </w:tc>
        <w:tc>
          <w:tcPr>
            <w:tcW w:w="284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董事、董事会秘书、财务总监</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66.6</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rsidTr="002A37F5">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班耀波</w:t>
            </w:r>
          </w:p>
        </w:tc>
        <w:tc>
          <w:tcPr>
            <w:tcW w:w="70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男</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63</w:t>
            </w:r>
          </w:p>
        </w:tc>
        <w:tc>
          <w:tcPr>
            <w:tcW w:w="284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独立董事</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rsidTr="002A37F5">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王</w:t>
            </w:r>
            <w:proofErr w:type="gramStart"/>
            <w:r>
              <w:rPr>
                <w:rFonts w:ascii="宋体" w:eastAsia="宋体" w:hAnsi="宋体" w:cs="宋体"/>
                <w:sz w:val="18"/>
                <w:szCs w:val="18"/>
              </w:rPr>
              <w:t>荭</w:t>
            </w:r>
            <w:proofErr w:type="gramEnd"/>
          </w:p>
        </w:tc>
        <w:tc>
          <w:tcPr>
            <w:tcW w:w="70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女</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58</w:t>
            </w:r>
          </w:p>
        </w:tc>
        <w:tc>
          <w:tcPr>
            <w:tcW w:w="284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独立董事</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rsidTr="002A37F5">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张伟</w:t>
            </w:r>
          </w:p>
        </w:tc>
        <w:tc>
          <w:tcPr>
            <w:tcW w:w="70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男</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48</w:t>
            </w:r>
          </w:p>
        </w:tc>
        <w:tc>
          <w:tcPr>
            <w:tcW w:w="284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独立董事</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rsidTr="002A37F5">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孙志慧</w:t>
            </w:r>
          </w:p>
        </w:tc>
        <w:tc>
          <w:tcPr>
            <w:tcW w:w="70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女</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42</w:t>
            </w:r>
          </w:p>
        </w:tc>
        <w:tc>
          <w:tcPr>
            <w:tcW w:w="284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监事会主席</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离任</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rsidP="009B6868">
            <w:pPr>
              <w:spacing w:line="240" w:lineRule="exact"/>
              <w:jc w:val="right"/>
              <w:rPr>
                <w:rFonts w:ascii="宋体" w:eastAsia="宋体" w:hAnsi="宋体" w:cs="宋体"/>
                <w:sz w:val="18"/>
                <w:szCs w:val="18"/>
              </w:rPr>
            </w:pPr>
            <w:r>
              <w:rPr>
                <w:rFonts w:ascii="宋体" w:eastAsia="宋体" w:hAnsi="宋体" w:cs="宋体"/>
                <w:sz w:val="18"/>
                <w:szCs w:val="18"/>
              </w:rPr>
              <w:t>26.</w:t>
            </w:r>
            <w:r w:rsidR="009B6868">
              <w:rPr>
                <w:rFonts w:ascii="宋体" w:eastAsia="宋体" w:hAnsi="宋体" w:cs="宋体"/>
                <w:sz w:val="18"/>
                <w:szCs w:val="18"/>
              </w:rPr>
              <w:t>51</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rsidTr="002A37F5">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张秀梅</w:t>
            </w:r>
          </w:p>
        </w:tc>
        <w:tc>
          <w:tcPr>
            <w:tcW w:w="70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女</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50</w:t>
            </w:r>
          </w:p>
        </w:tc>
        <w:tc>
          <w:tcPr>
            <w:tcW w:w="284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监事会主席</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rsidP="009B6868">
            <w:pPr>
              <w:spacing w:line="240" w:lineRule="exact"/>
              <w:jc w:val="right"/>
              <w:rPr>
                <w:rFonts w:ascii="宋体" w:eastAsia="宋体" w:hAnsi="宋体" w:cs="宋体"/>
                <w:sz w:val="18"/>
                <w:szCs w:val="18"/>
              </w:rPr>
            </w:pPr>
            <w:r>
              <w:rPr>
                <w:rFonts w:ascii="宋体" w:eastAsia="宋体" w:hAnsi="宋体" w:cs="宋体"/>
                <w:sz w:val="18"/>
                <w:szCs w:val="18"/>
              </w:rPr>
              <w:t>23.</w:t>
            </w:r>
            <w:r w:rsidR="009B6868">
              <w:rPr>
                <w:rFonts w:ascii="宋体" w:eastAsia="宋体" w:hAnsi="宋体" w:cs="宋体"/>
                <w:sz w:val="18"/>
                <w:szCs w:val="18"/>
              </w:rPr>
              <w:t>78</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rsidTr="002A37F5">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李永连</w:t>
            </w:r>
          </w:p>
        </w:tc>
        <w:tc>
          <w:tcPr>
            <w:tcW w:w="70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男</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46</w:t>
            </w:r>
          </w:p>
        </w:tc>
        <w:tc>
          <w:tcPr>
            <w:tcW w:w="284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监事</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9B6868">
            <w:pPr>
              <w:spacing w:line="240" w:lineRule="exact"/>
              <w:jc w:val="right"/>
              <w:rPr>
                <w:rFonts w:ascii="宋体" w:eastAsia="宋体" w:hAnsi="宋体" w:cs="宋体"/>
                <w:sz w:val="18"/>
                <w:szCs w:val="18"/>
              </w:rPr>
            </w:pPr>
            <w:r>
              <w:rPr>
                <w:rFonts w:ascii="宋体" w:eastAsia="宋体" w:hAnsi="宋体" w:cs="宋体"/>
                <w:sz w:val="18"/>
                <w:szCs w:val="18"/>
              </w:rPr>
              <w:t>42.52</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rsidTr="002A37F5">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周丹丹</w:t>
            </w:r>
          </w:p>
        </w:tc>
        <w:tc>
          <w:tcPr>
            <w:tcW w:w="70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女</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42</w:t>
            </w:r>
          </w:p>
        </w:tc>
        <w:tc>
          <w:tcPr>
            <w:tcW w:w="284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监事</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rsidP="009B6868">
            <w:pPr>
              <w:spacing w:line="240" w:lineRule="exact"/>
              <w:jc w:val="right"/>
              <w:rPr>
                <w:rFonts w:ascii="宋体" w:eastAsia="宋体" w:hAnsi="宋体" w:cs="宋体"/>
                <w:sz w:val="18"/>
                <w:szCs w:val="18"/>
              </w:rPr>
            </w:pPr>
            <w:r>
              <w:rPr>
                <w:rFonts w:ascii="宋体" w:eastAsia="宋体" w:hAnsi="宋体" w:cs="宋体"/>
                <w:sz w:val="18"/>
                <w:szCs w:val="18"/>
              </w:rPr>
              <w:t>51.</w:t>
            </w:r>
            <w:r w:rsidR="009B6868">
              <w:rPr>
                <w:rFonts w:ascii="宋体" w:eastAsia="宋体" w:hAnsi="宋体" w:cs="宋体"/>
                <w:sz w:val="18"/>
                <w:szCs w:val="18"/>
              </w:rPr>
              <w:t>40</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rsidTr="002A37F5">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向坤宏</w:t>
            </w:r>
          </w:p>
        </w:tc>
        <w:tc>
          <w:tcPr>
            <w:tcW w:w="70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男</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51</w:t>
            </w:r>
          </w:p>
        </w:tc>
        <w:tc>
          <w:tcPr>
            <w:tcW w:w="284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副总裁</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70.91</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rsidTr="002A37F5">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刘峰</w:t>
            </w:r>
          </w:p>
        </w:tc>
        <w:tc>
          <w:tcPr>
            <w:tcW w:w="70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男</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44</w:t>
            </w:r>
          </w:p>
        </w:tc>
        <w:tc>
          <w:tcPr>
            <w:tcW w:w="284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副总裁</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70.91</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rsidTr="002A37F5">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鲁丽娜</w:t>
            </w:r>
          </w:p>
        </w:tc>
        <w:tc>
          <w:tcPr>
            <w:tcW w:w="70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女</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44</w:t>
            </w:r>
          </w:p>
        </w:tc>
        <w:tc>
          <w:tcPr>
            <w:tcW w:w="284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副总裁</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66.1</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rsidTr="002A37F5">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武守涛</w:t>
            </w:r>
          </w:p>
        </w:tc>
        <w:tc>
          <w:tcPr>
            <w:tcW w:w="70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男</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42</w:t>
            </w:r>
          </w:p>
        </w:tc>
        <w:tc>
          <w:tcPr>
            <w:tcW w:w="284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副总裁</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65.82</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rsidTr="002A37F5">
        <w:trPr>
          <w:trHeight w:val="240"/>
        </w:trPr>
        <w:tc>
          <w:tcPr>
            <w:tcW w:w="9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王志明</w:t>
            </w:r>
          </w:p>
        </w:tc>
        <w:tc>
          <w:tcPr>
            <w:tcW w:w="70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男</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46</w:t>
            </w:r>
          </w:p>
        </w:tc>
        <w:tc>
          <w:tcPr>
            <w:tcW w:w="284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副总裁</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现任</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112.62</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rsidTr="002A37F5">
        <w:trPr>
          <w:trHeight w:val="240"/>
        </w:trPr>
        <w:tc>
          <w:tcPr>
            <w:tcW w:w="95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284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rsidP="009B6868">
            <w:pPr>
              <w:spacing w:line="240" w:lineRule="exact"/>
              <w:jc w:val="right"/>
              <w:rPr>
                <w:rFonts w:ascii="宋体" w:eastAsia="宋体" w:hAnsi="宋体" w:cs="宋体"/>
                <w:sz w:val="18"/>
                <w:szCs w:val="18"/>
              </w:rPr>
            </w:pPr>
            <w:r>
              <w:rPr>
                <w:rFonts w:ascii="宋体" w:eastAsia="宋体" w:hAnsi="宋体" w:cs="宋体"/>
                <w:sz w:val="18"/>
                <w:szCs w:val="18"/>
              </w:rPr>
              <w:t>80</w:t>
            </w:r>
            <w:r w:rsidR="009B6868">
              <w:rPr>
                <w:rFonts w:ascii="宋体" w:eastAsia="宋体" w:hAnsi="宋体" w:cs="宋体"/>
                <w:sz w:val="18"/>
                <w:szCs w:val="18"/>
              </w:rPr>
              <w:t>7.77</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bl>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其他情况说明</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pStyle w:val="2"/>
        <w:spacing w:before="300" w:after="300" w:line="320" w:lineRule="exact"/>
        <w:rPr>
          <w:rFonts w:ascii="宋体" w:eastAsia="宋体" w:hAnsi="宋体" w:cs="宋体"/>
          <w:b/>
          <w:bCs/>
          <w:sz w:val="24"/>
          <w:szCs w:val="24"/>
        </w:rPr>
      </w:pPr>
      <w:bookmarkStart w:id="66" w:name="_Toc988955"/>
      <w:r>
        <w:rPr>
          <w:rFonts w:ascii="宋体" w:eastAsia="宋体" w:hAnsi="宋体" w:cs="宋体"/>
          <w:b/>
          <w:bCs/>
          <w:sz w:val="24"/>
          <w:szCs w:val="24"/>
        </w:rPr>
        <w:t>六、报告期内董事履行职责的情况</w:t>
      </w:r>
      <w:bookmarkEnd w:id="66"/>
    </w:p>
    <w:p w:rsidR="00BA0365" w:rsidRDefault="008D4B2E">
      <w:pPr>
        <w:pStyle w:val="3"/>
        <w:spacing w:line="280" w:lineRule="exact"/>
        <w:jc w:val="left"/>
        <w:rPr>
          <w:rFonts w:ascii="宋体" w:hAnsi="宋体" w:cs="宋体"/>
          <w:b/>
          <w:bCs/>
        </w:rPr>
      </w:pPr>
      <w:bookmarkStart w:id="67" w:name="_Toc988956"/>
      <w:r>
        <w:rPr>
          <w:rFonts w:ascii="宋体" w:hAnsi="宋体" w:cs="宋体"/>
          <w:b/>
          <w:bCs/>
        </w:rPr>
        <w:t>1、本报告期董事会情况</w:t>
      </w:r>
      <w:bookmarkEnd w:id="67"/>
    </w:p>
    <w:tbl>
      <w:tblPr>
        <w:tblW w:w="9639" w:type="dxa"/>
        <w:tblLayout w:type="fixed"/>
        <w:tblLook w:val="04A0" w:firstRow="1" w:lastRow="0" w:firstColumn="1" w:lastColumn="0" w:noHBand="0" w:noVBand="1"/>
      </w:tblPr>
      <w:tblGrid>
        <w:gridCol w:w="2409"/>
        <w:gridCol w:w="1243"/>
        <w:gridCol w:w="1276"/>
        <w:gridCol w:w="4711"/>
      </w:tblGrid>
      <w:tr w:rsidR="00157EA0" w:rsidTr="002A37F5">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会议届次</w:t>
            </w:r>
          </w:p>
        </w:tc>
        <w:tc>
          <w:tcPr>
            <w:tcW w:w="124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召开日期</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披露日期</w:t>
            </w:r>
          </w:p>
        </w:tc>
        <w:tc>
          <w:tcPr>
            <w:tcW w:w="471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会议决议</w:t>
            </w:r>
          </w:p>
        </w:tc>
      </w:tr>
      <w:tr w:rsidR="00157EA0" w:rsidTr="002A37F5">
        <w:trPr>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软控股份有限公司</w:t>
            </w:r>
            <w:proofErr w:type="gramEnd"/>
            <w:r>
              <w:rPr>
                <w:rFonts w:ascii="宋体" w:eastAsia="宋体" w:hAnsi="宋体" w:cs="宋体"/>
                <w:sz w:val="18"/>
                <w:szCs w:val="18"/>
              </w:rPr>
              <w:t>第八届董事会第六次会议</w:t>
            </w:r>
          </w:p>
        </w:tc>
        <w:tc>
          <w:tcPr>
            <w:tcW w:w="124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2023年04月10日</w:t>
            </w:r>
          </w:p>
        </w:tc>
        <w:tc>
          <w:tcPr>
            <w:tcW w:w="12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2023年04月12日</w:t>
            </w:r>
          </w:p>
        </w:tc>
        <w:tc>
          <w:tcPr>
            <w:tcW w:w="471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《第八届董事会第六次会议决议公告》（公告编号：2023-003）详见巨潮资讯网及公司指定的信息披露媒体</w:t>
            </w:r>
          </w:p>
        </w:tc>
      </w:tr>
      <w:tr w:rsidR="00157EA0" w:rsidTr="002A37F5">
        <w:trPr>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软控股份有限公司</w:t>
            </w:r>
            <w:proofErr w:type="gramEnd"/>
            <w:r>
              <w:rPr>
                <w:rFonts w:ascii="宋体" w:eastAsia="宋体" w:hAnsi="宋体" w:cs="宋体"/>
                <w:sz w:val="18"/>
                <w:szCs w:val="18"/>
              </w:rPr>
              <w:t>第八届董事会第七次会议</w:t>
            </w:r>
          </w:p>
        </w:tc>
        <w:tc>
          <w:tcPr>
            <w:tcW w:w="124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2023年04月25日</w:t>
            </w:r>
          </w:p>
        </w:tc>
        <w:tc>
          <w:tcPr>
            <w:tcW w:w="12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2023年04月26日</w:t>
            </w:r>
          </w:p>
        </w:tc>
        <w:tc>
          <w:tcPr>
            <w:tcW w:w="471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《第八届董事会第七次会议决议公告》（公告编号：2023-023）详见巨潮资讯网及公司指定的信息披露媒体</w:t>
            </w:r>
          </w:p>
        </w:tc>
      </w:tr>
      <w:tr w:rsidR="00157EA0" w:rsidTr="002A37F5">
        <w:trPr>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软控股份有限公司</w:t>
            </w:r>
            <w:proofErr w:type="gramEnd"/>
            <w:r>
              <w:rPr>
                <w:rFonts w:ascii="宋体" w:eastAsia="宋体" w:hAnsi="宋体" w:cs="宋体"/>
                <w:sz w:val="18"/>
                <w:szCs w:val="18"/>
              </w:rPr>
              <w:t>第八届董事会第八次会议</w:t>
            </w:r>
          </w:p>
        </w:tc>
        <w:tc>
          <w:tcPr>
            <w:tcW w:w="124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2023年06月29日</w:t>
            </w:r>
          </w:p>
        </w:tc>
        <w:tc>
          <w:tcPr>
            <w:tcW w:w="12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2023年06月30日</w:t>
            </w:r>
          </w:p>
        </w:tc>
        <w:tc>
          <w:tcPr>
            <w:tcW w:w="471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《第八届董事会第八次会议决议公告》（公告编号：2023-033）详见巨潮资讯网及公司指定的信息披露媒体</w:t>
            </w:r>
          </w:p>
        </w:tc>
      </w:tr>
      <w:tr w:rsidR="00157EA0" w:rsidTr="002A37F5">
        <w:trPr>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软控股份有限公司</w:t>
            </w:r>
            <w:proofErr w:type="gramEnd"/>
            <w:r>
              <w:rPr>
                <w:rFonts w:ascii="宋体" w:eastAsia="宋体" w:hAnsi="宋体" w:cs="宋体"/>
                <w:sz w:val="18"/>
                <w:szCs w:val="18"/>
              </w:rPr>
              <w:t>第八届董事会第九次会议</w:t>
            </w:r>
          </w:p>
        </w:tc>
        <w:tc>
          <w:tcPr>
            <w:tcW w:w="124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2023年07月13日</w:t>
            </w:r>
          </w:p>
        </w:tc>
        <w:tc>
          <w:tcPr>
            <w:tcW w:w="12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2023年07月14日</w:t>
            </w:r>
          </w:p>
        </w:tc>
        <w:tc>
          <w:tcPr>
            <w:tcW w:w="471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《第八届董事会第九次会议决议公告》（公告编号：2023-036）详见巨潮资讯网及公司指定的信息披露媒体</w:t>
            </w:r>
          </w:p>
        </w:tc>
      </w:tr>
      <w:tr w:rsidR="00157EA0" w:rsidTr="002A37F5">
        <w:trPr>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软控股份有限公司</w:t>
            </w:r>
            <w:proofErr w:type="gramEnd"/>
            <w:r>
              <w:rPr>
                <w:rFonts w:ascii="宋体" w:eastAsia="宋体" w:hAnsi="宋体" w:cs="宋体"/>
                <w:sz w:val="18"/>
                <w:szCs w:val="18"/>
              </w:rPr>
              <w:t>第八届董事会第十次会议</w:t>
            </w:r>
          </w:p>
        </w:tc>
        <w:tc>
          <w:tcPr>
            <w:tcW w:w="124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2023年08月25日</w:t>
            </w:r>
          </w:p>
        </w:tc>
        <w:tc>
          <w:tcPr>
            <w:tcW w:w="12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2023年08月28日</w:t>
            </w:r>
          </w:p>
        </w:tc>
        <w:tc>
          <w:tcPr>
            <w:tcW w:w="471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《第八届董事会第十次会议决议公告》（公告编号：2023-047）详见巨潮资讯网及公司指定的信息披露媒体</w:t>
            </w:r>
          </w:p>
        </w:tc>
      </w:tr>
      <w:tr w:rsidR="00157EA0" w:rsidTr="002A37F5">
        <w:trPr>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软控股份有限公司</w:t>
            </w:r>
            <w:proofErr w:type="gramEnd"/>
            <w:r>
              <w:rPr>
                <w:rFonts w:ascii="宋体" w:eastAsia="宋体" w:hAnsi="宋体" w:cs="宋体"/>
                <w:sz w:val="18"/>
                <w:szCs w:val="18"/>
              </w:rPr>
              <w:t>第八届董事会第十一次会议</w:t>
            </w:r>
          </w:p>
        </w:tc>
        <w:tc>
          <w:tcPr>
            <w:tcW w:w="124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2023年08月28日</w:t>
            </w:r>
          </w:p>
        </w:tc>
        <w:tc>
          <w:tcPr>
            <w:tcW w:w="12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2023年08月30日</w:t>
            </w:r>
          </w:p>
        </w:tc>
        <w:tc>
          <w:tcPr>
            <w:tcW w:w="471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《第八届董事会第十一次会议决议公告》（公告编号：2023-052）详见巨潮资讯网及公司指定的信息披露媒体</w:t>
            </w:r>
          </w:p>
        </w:tc>
      </w:tr>
      <w:tr w:rsidR="00157EA0" w:rsidTr="002A37F5">
        <w:trPr>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软控股份有限公司</w:t>
            </w:r>
            <w:proofErr w:type="gramEnd"/>
            <w:r>
              <w:rPr>
                <w:rFonts w:ascii="宋体" w:eastAsia="宋体" w:hAnsi="宋体" w:cs="宋体"/>
                <w:sz w:val="18"/>
                <w:szCs w:val="18"/>
              </w:rPr>
              <w:t>第八届董事会第十二次会议</w:t>
            </w:r>
          </w:p>
        </w:tc>
        <w:tc>
          <w:tcPr>
            <w:tcW w:w="124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2023年09月20日</w:t>
            </w:r>
          </w:p>
        </w:tc>
        <w:tc>
          <w:tcPr>
            <w:tcW w:w="12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2023年09月21日</w:t>
            </w:r>
          </w:p>
        </w:tc>
        <w:tc>
          <w:tcPr>
            <w:tcW w:w="471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《第八届董事会第十二次会议决议公告》（公告编号：2023-056）详见巨潮资讯网及公司指定的信息披露媒体</w:t>
            </w:r>
          </w:p>
        </w:tc>
      </w:tr>
      <w:tr w:rsidR="00157EA0" w:rsidTr="002A37F5">
        <w:trPr>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软控股份有限公司</w:t>
            </w:r>
            <w:proofErr w:type="gramEnd"/>
            <w:r>
              <w:rPr>
                <w:rFonts w:ascii="宋体" w:eastAsia="宋体" w:hAnsi="宋体" w:cs="宋体"/>
                <w:sz w:val="18"/>
                <w:szCs w:val="18"/>
              </w:rPr>
              <w:t>第八届董事会第十三次会议</w:t>
            </w:r>
          </w:p>
        </w:tc>
        <w:tc>
          <w:tcPr>
            <w:tcW w:w="124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2023年10月23日</w:t>
            </w:r>
          </w:p>
        </w:tc>
        <w:tc>
          <w:tcPr>
            <w:tcW w:w="12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2023年10月24日</w:t>
            </w:r>
          </w:p>
        </w:tc>
        <w:tc>
          <w:tcPr>
            <w:tcW w:w="471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《第八届董事会第十三次会议决议公告》（公告编号：2023-066）详见巨潮资讯网及公司指定的信息披露媒体</w:t>
            </w:r>
          </w:p>
        </w:tc>
      </w:tr>
      <w:tr w:rsidR="00157EA0" w:rsidTr="002A37F5">
        <w:trPr>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软控股份有限公司</w:t>
            </w:r>
            <w:proofErr w:type="gramEnd"/>
            <w:r>
              <w:rPr>
                <w:rFonts w:ascii="宋体" w:eastAsia="宋体" w:hAnsi="宋体" w:cs="宋体"/>
                <w:sz w:val="18"/>
                <w:szCs w:val="18"/>
              </w:rPr>
              <w:t>第八届董事会第十四次会议</w:t>
            </w:r>
          </w:p>
        </w:tc>
        <w:tc>
          <w:tcPr>
            <w:tcW w:w="124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2023年12月01日</w:t>
            </w:r>
          </w:p>
        </w:tc>
        <w:tc>
          <w:tcPr>
            <w:tcW w:w="12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2023年12月02日</w:t>
            </w:r>
          </w:p>
        </w:tc>
        <w:tc>
          <w:tcPr>
            <w:tcW w:w="471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《第八届董事会第十四次会议决议公告》（公告编号：2023-072）详见巨潮资讯网及公司指定的信息披露媒体</w:t>
            </w:r>
          </w:p>
        </w:tc>
      </w:tr>
      <w:tr w:rsidR="00157EA0" w:rsidTr="002A37F5">
        <w:trPr>
          <w:trHeight w:val="240"/>
        </w:trPr>
        <w:tc>
          <w:tcPr>
            <w:tcW w:w="240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软控股份有限公司</w:t>
            </w:r>
            <w:proofErr w:type="gramEnd"/>
            <w:r>
              <w:rPr>
                <w:rFonts w:ascii="宋体" w:eastAsia="宋体" w:hAnsi="宋体" w:cs="宋体"/>
                <w:sz w:val="18"/>
                <w:szCs w:val="18"/>
              </w:rPr>
              <w:t>第八届董事会第十五次会议</w:t>
            </w:r>
          </w:p>
        </w:tc>
        <w:tc>
          <w:tcPr>
            <w:tcW w:w="124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2023年12月13日</w:t>
            </w:r>
          </w:p>
        </w:tc>
        <w:tc>
          <w:tcPr>
            <w:tcW w:w="12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2023年12月14日</w:t>
            </w:r>
          </w:p>
        </w:tc>
        <w:tc>
          <w:tcPr>
            <w:tcW w:w="471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《第八届董事会第十五次会议决议公告》（公告编号：2023-076）详见巨潮资讯网及公司指定的信息披露媒体</w:t>
            </w:r>
          </w:p>
        </w:tc>
      </w:tr>
    </w:tbl>
    <w:p w:rsidR="00BA0365" w:rsidRDefault="008D4B2E">
      <w:pPr>
        <w:pStyle w:val="3"/>
        <w:spacing w:line="280" w:lineRule="exact"/>
        <w:jc w:val="left"/>
        <w:rPr>
          <w:rFonts w:ascii="宋体" w:hAnsi="宋体" w:cs="宋体"/>
          <w:b/>
          <w:bCs/>
        </w:rPr>
      </w:pPr>
      <w:bookmarkStart w:id="68" w:name="_Toc988957"/>
      <w:r>
        <w:rPr>
          <w:rFonts w:ascii="宋体" w:hAnsi="宋体" w:cs="宋体"/>
          <w:b/>
          <w:bCs/>
        </w:rPr>
        <w:t>2、董事出席董事会及股东大会的情况</w:t>
      </w:r>
      <w:bookmarkEnd w:id="68"/>
    </w:p>
    <w:tbl>
      <w:tblPr>
        <w:tblW w:w="9639" w:type="dxa"/>
        <w:tblLayout w:type="fixed"/>
        <w:tblLook w:val="04A0" w:firstRow="1" w:lastRow="0" w:firstColumn="1" w:lastColumn="0" w:noHBand="0" w:noVBand="1"/>
      </w:tblPr>
      <w:tblGrid>
        <w:gridCol w:w="1204"/>
        <w:gridCol w:w="1205"/>
        <w:gridCol w:w="1205"/>
        <w:gridCol w:w="1205"/>
        <w:gridCol w:w="1205"/>
        <w:gridCol w:w="1205"/>
        <w:gridCol w:w="1384"/>
        <w:gridCol w:w="1026"/>
      </w:tblGrid>
      <w:tr w:rsidR="00157EA0">
        <w:trPr>
          <w:trHeight w:val="240"/>
        </w:trPr>
        <w:tc>
          <w:tcPr>
            <w:tcW w:w="9639"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董事出席董事会及股东大会的情况</w:t>
            </w:r>
          </w:p>
        </w:tc>
      </w:tr>
      <w:tr w:rsidR="00157EA0" w:rsidTr="002A37F5">
        <w:trPr>
          <w:trHeight w:val="240"/>
        </w:trPr>
        <w:tc>
          <w:tcPr>
            <w:tcW w:w="1204"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董事姓名</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本报告期应参加董事会次数</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现场出席董事会次数</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以通讯方式参加董事会次数</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委托出席董事会次数</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缺席董事会次数</w:t>
            </w:r>
          </w:p>
        </w:tc>
        <w:tc>
          <w:tcPr>
            <w:tcW w:w="1384"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是否连续两次未亲自参加董事会会议</w:t>
            </w:r>
          </w:p>
        </w:tc>
        <w:tc>
          <w:tcPr>
            <w:tcW w:w="102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出席股东大会次数</w:t>
            </w:r>
          </w:p>
        </w:tc>
      </w:tr>
      <w:tr w:rsidR="00157EA0" w:rsidTr="002A37F5">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官</w:t>
            </w:r>
            <w:proofErr w:type="gramStart"/>
            <w:r>
              <w:rPr>
                <w:rFonts w:ascii="宋体" w:eastAsia="宋体" w:hAnsi="宋体" w:cs="宋体"/>
                <w:sz w:val="18"/>
                <w:szCs w:val="18"/>
              </w:rPr>
              <w:t>炳</w:t>
            </w:r>
            <w:proofErr w:type="gramEnd"/>
            <w:r>
              <w:rPr>
                <w:rFonts w:ascii="宋体" w:eastAsia="宋体" w:hAnsi="宋体" w:cs="宋体"/>
                <w:sz w:val="18"/>
                <w:szCs w:val="18"/>
              </w:rPr>
              <w:t>政</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38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102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w:t>
            </w:r>
          </w:p>
        </w:tc>
      </w:tr>
      <w:tr w:rsidR="00157EA0" w:rsidTr="002A37F5">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张垚</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38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102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w:t>
            </w:r>
          </w:p>
        </w:tc>
      </w:tr>
      <w:tr w:rsidR="00157EA0" w:rsidTr="002A37F5">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李云涛</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38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102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w:t>
            </w:r>
          </w:p>
        </w:tc>
      </w:tr>
      <w:tr w:rsidR="00157EA0" w:rsidTr="002A37F5">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杨慧丽</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38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102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w:t>
            </w:r>
          </w:p>
        </w:tc>
      </w:tr>
      <w:tr w:rsidR="00157EA0" w:rsidTr="002A37F5">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班耀波</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38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102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w:t>
            </w:r>
          </w:p>
        </w:tc>
      </w:tr>
      <w:tr w:rsidR="00157EA0" w:rsidTr="002A37F5">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张伟</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38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102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w:t>
            </w:r>
          </w:p>
        </w:tc>
      </w:tr>
      <w:tr w:rsidR="00157EA0" w:rsidTr="002A37F5">
        <w:trPr>
          <w:trHeight w:val="240"/>
        </w:trPr>
        <w:tc>
          <w:tcPr>
            <w:tcW w:w="120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王</w:t>
            </w:r>
            <w:proofErr w:type="gramStart"/>
            <w:r>
              <w:rPr>
                <w:rFonts w:ascii="宋体" w:eastAsia="宋体" w:hAnsi="宋体" w:cs="宋体"/>
                <w:sz w:val="18"/>
                <w:szCs w:val="18"/>
              </w:rPr>
              <w:t>荭</w:t>
            </w:r>
            <w:proofErr w:type="gramEnd"/>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38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102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w:t>
            </w:r>
          </w:p>
        </w:tc>
      </w:tr>
    </w:tbl>
    <w:p w:rsidR="00F3790B" w:rsidRDefault="008D4B2E" w:rsidP="00F3790B">
      <w:pPr>
        <w:spacing w:before="100" w:after="100" w:line="240" w:lineRule="exact"/>
        <w:rPr>
          <w:rFonts w:ascii="宋体" w:eastAsia="宋体" w:hAnsi="宋体" w:cs="宋体"/>
          <w:sz w:val="18"/>
          <w:szCs w:val="18"/>
        </w:rPr>
      </w:pPr>
      <w:r>
        <w:rPr>
          <w:rFonts w:ascii="宋体" w:eastAsia="宋体" w:hAnsi="宋体" w:cs="宋体"/>
          <w:sz w:val="18"/>
          <w:szCs w:val="18"/>
        </w:rPr>
        <w:t>连续两次未亲自出席董事会的说明</w:t>
      </w:r>
    </w:p>
    <w:p w:rsidR="008D4B2E" w:rsidRPr="00F3790B" w:rsidRDefault="008D4B2E" w:rsidP="00F3790B">
      <w:pPr>
        <w:spacing w:before="100" w:after="100" w:line="240" w:lineRule="exact"/>
        <w:rPr>
          <w:rFonts w:ascii="宋体" w:eastAsia="宋体" w:hAnsi="宋体" w:cs="宋体"/>
          <w:sz w:val="18"/>
          <w:szCs w:val="18"/>
        </w:rPr>
      </w:pPr>
      <w:r>
        <w:rPr>
          <w:rFonts w:hint="eastAsia"/>
          <w:sz w:val="18"/>
          <w:szCs w:val="18"/>
        </w:rPr>
        <w:t>不适用</w:t>
      </w:r>
    </w:p>
    <w:p w:rsidR="00BA0365" w:rsidRDefault="008D4B2E">
      <w:pPr>
        <w:pStyle w:val="3"/>
        <w:spacing w:line="280" w:lineRule="exact"/>
        <w:jc w:val="left"/>
        <w:rPr>
          <w:rFonts w:ascii="宋体" w:hAnsi="宋体" w:cs="宋体"/>
          <w:b/>
          <w:bCs/>
        </w:rPr>
      </w:pPr>
      <w:bookmarkStart w:id="69" w:name="_Toc988958"/>
      <w:r>
        <w:rPr>
          <w:rFonts w:ascii="宋体" w:hAnsi="宋体" w:cs="宋体"/>
          <w:b/>
          <w:bCs/>
        </w:rPr>
        <w:t>3、董事对公司有关事项提出异议的情况</w:t>
      </w:r>
      <w:bookmarkEnd w:id="69"/>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董事对公司有关事项是否提出异议</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报告期内董事对公司有关事项未提出异议。</w:t>
      </w:r>
    </w:p>
    <w:p w:rsidR="00BA0365" w:rsidRDefault="008D4B2E">
      <w:pPr>
        <w:pStyle w:val="3"/>
        <w:spacing w:line="280" w:lineRule="exact"/>
        <w:jc w:val="left"/>
        <w:rPr>
          <w:rFonts w:ascii="宋体" w:hAnsi="宋体" w:cs="宋体"/>
          <w:b/>
          <w:bCs/>
        </w:rPr>
      </w:pPr>
      <w:bookmarkStart w:id="70" w:name="_Toc988959"/>
      <w:r>
        <w:rPr>
          <w:rFonts w:ascii="宋体" w:hAnsi="宋体" w:cs="宋体"/>
          <w:b/>
          <w:bCs/>
        </w:rPr>
        <w:lastRenderedPageBreak/>
        <w:t>4、董事履行职责的其他说明</w:t>
      </w:r>
      <w:bookmarkEnd w:id="70"/>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董事对公司有关建议是否被采纳</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是 □否</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董事对公司有关建议被采纳或未被采纳的说明</w:t>
      </w:r>
    </w:p>
    <w:p w:rsidR="008D4B2E" w:rsidRDefault="008D4B2E">
      <w:pPr>
        <w:pStyle w:val="a3"/>
        <w:spacing w:before="0" w:beforeAutospacing="0" w:after="0" w:afterAutospacing="0"/>
        <w:ind w:firstLine="360"/>
        <w:divId w:val="881408707"/>
      </w:pPr>
      <w:r>
        <w:rPr>
          <w:rFonts w:hint="eastAsia"/>
          <w:sz w:val="18"/>
          <w:szCs w:val="18"/>
        </w:rPr>
        <w:t>公司董事会董事均能按照《公司章程》《公司董事会议事规则》《公司独立董事工作制度》《独立董事专门会议工作制度》的相关规定规范运行。各位董事均按要求出席董事会，关注董事会审议事项的决策程序，特别关注相关事项的提议程序、决策权限、表决程序和回避事宜，认真审议各项议案，勤勉尽责。</w:t>
      </w:r>
    </w:p>
    <w:p w:rsidR="00BA0365" w:rsidRDefault="008D4B2E">
      <w:pPr>
        <w:pStyle w:val="2"/>
        <w:spacing w:before="300" w:after="300" w:line="320" w:lineRule="exact"/>
        <w:rPr>
          <w:rFonts w:ascii="宋体" w:eastAsia="宋体" w:hAnsi="宋体" w:cs="宋体"/>
          <w:b/>
          <w:bCs/>
          <w:sz w:val="24"/>
          <w:szCs w:val="24"/>
        </w:rPr>
      </w:pPr>
      <w:bookmarkStart w:id="71" w:name="_Toc988960"/>
      <w:r>
        <w:rPr>
          <w:rFonts w:ascii="宋体" w:eastAsia="宋体" w:hAnsi="宋体" w:cs="宋体"/>
          <w:b/>
          <w:bCs/>
          <w:sz w:val="24"/>
          <w:szCs w:val="24"/>
        </w:rPr>
        <w:t>七、董事会下设专门委员会在报告期内的情况</w:t>
      </w:r>
      <w:bookmarkEnd w:id="71"/>
    </w:p>
    <w:tbl>
      <w:tblPr>
        <w:tblW w:w="9639" w:type="dxa"/>
        <w:tblLayout w:type="fixed"/>
        <w:tblLook w:val="04A0" w:firstRow="1" w:lastRow="0" w:firstColumn="1" w:lastColumn="0" w:noHBand="0" w:noVBand="1"/>
      </w:tblPr>
      <w:tblGrid>
        <w:gridCol w:w="1204"/>
        <w:gridCol w:w="1205"/>
        <w:gridCol w:w="1205"/>
        <w:gridCol w:w="1205"/>
        <w:gridCol w:w="1205"/>
        <w:gridCol w:w="1205"/>
        <w:gridCol w:w="1205"/>
        <w:gridCol w:w="1205"/>
      </w:tblGrid>
      <w:tr w:rsidR="00157EA0">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委员会名称</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成员情况</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召开会议次数</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召开日期</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会议内容</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提出的重要意见和建议</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其他履行职责的情况</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异议事项具体情况（如有）</w:t>
            </w:r>
          </w:p>
        </w:tc>
      </w:tr>
      <w:tr w:rsidR="00157EA0">
        <w:trPr>
          <w:trHeight w:val="240"/>
        </w:trPr>
        <w:tc>
          <w:tcPr>
            <w:tcW w:w="1205" w:type="dxa"/>
            <w:vMerge w:val="restart"/>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审计委员会</w:t>
            </w:r>
          </w:p>
        </w:tc>
        <w:tc>
          <w:tcPr>
            <w:tcW w:w="1205" w:type="dxa"/>
            <w:vMerge w:val="restart"/>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王</w:t>
            </w:r>
            <w:proofErr w:type="gramStart"/>
            <w:r>
              <w:rPr>
                <w:rFonts w:ascii="宋体" w:eastAsia="宋体" w:hAnsi="宋体" w:cs="宋体"/>
                <w:sz w:val="18"/>
                <w:szCs w:val="18"/>
              </w:rPr>
              <w:t>荭</w:t>
            </w:r>
            <w:proofErr w:type="gramEnd"/>
            <w:r>
              <w:rPr>
                <w:rFonts w:ascii="宋体" w:eastAsia="宋体" w:hAnsi="宋体" w:cs="宋体"/>
                <w:sz w:val="18"/>
                <w:szCs w:val="18"/>
              </w:rPr>
              <w:t>、张伟、张垚、李云涛</w:t>
            </w:r>
          </w:p>
        </w:tc>
        <w:tc>
          <w:tcPr>
            <w:tcW w:w="1205" w:type="dxa"/>
            <w:vMerge w:val="restart"/>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2023年04月07日</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审议了《关于公司2022年年度报告的议案》《关于公司内审部2022年审计报告的议案》《关于公司续聘中兴华会计师事务所（特殊普通合伙）为公司2023年度审计机构的议案》</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议案全票通过</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无</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无</w:t>
            </w:r>
          </w:p>
        </w:tc>
      </w:tr>
      <w:tr w:rsidR="00157EA0">
        <w:trPr>
          <w:trHeight w:val="240"/>
        </w:trPr>
        <w:tc>
          <w:tcPr>
            <w:tcW w:w="1205" w:type="dxa"/>
            <w:vMerge/>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审计委员会</w:t>
            </w:r>
          </w:p>
        </w:tc>
        <w:tc>
          <w:tcPr>
            <w:tcW w:w="1205" w:type="dxa"/>
            <w:vMerge/>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王</w:t>
            </w:r>
            <w:proofErr w:type="gramStart"/>
            <w:r>
              <w:rPr>
                <w:rFonts w:ascii="宋体" w:eastAsia="宋体" w:hAnsi="宋体" w:cs="宋体"/>
                <w:sz w:val="18"/>
                <w:szCs w:val="18"/>
              </w:rPr>
              <w:t>荭</w:t>
            </w:r>
            <w:proofErr w:type="gramEnd"/>
            <w:r>
              <w:rPr>
                <w:rFonts w:ascii="宋体" w:eastAsia="宋体" w:hAnsi="宋体" w:cs="宋体"/>
                <w:sz w:val="18"/>
                <w:szCs w:val="18"/>
              </w:rPr>
              <w:t>、张伟、张垚、李云涛</w:t>
            </w:r>
          </w:p>
        </w:tc>
        <w:tc>
          <w:tcPr>
            <w:tcW w:w="1205" w:type="dxa"/>
            <w:vMerge/>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2023年04月24日</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《关于公司2023年第一季度报告的议案》《关于公司内审部2023年第一季度审计报告的议案》。</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议案全票通过</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无</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无</w:t>
            </w:r>
          </w:p>
        </w:tc>
      </w:tr>
      <w:tr w:rsidR="00157EA0">
        <w:trPr>
          <w:trHeight w:val="240"/>
        </w:trPr>
        <w:tc>
          <w:tcPr>
            <w:tcW w:w="1205" w:type="dxa"/>
            <w:vMerge/>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审计委员会</w:t>
            </w:r>
          </w:p>
        </w:tc>
        <w:tc>
          <w:tcPr>
            <w:tcW w:w="1205" w:type="dxa"/>
            <w:vMerge/>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王</w:t>
            </w:r>
            <w:proofErr w:type="gramStart"/>
            <w:r>
              <w:rPr>
                <w:rFonts w:ascii="宋体" w:eastAsia="宋体" w:hAnsi="宋体" w:cs="宋体"/>
                <w:sz w:val="18"/>
                <w:szCs w:val="18"/>
              </w:rPr>
              <w:t>荭</w:t>
            </w:r>
            <w:proofErr w:type="gramEnd"/>
            <w:r>
              <w:rPr>
                <w:rFonts w:ascii="宋体" w:eastAsia="宋体" w:hAnsi="宋体" w:cs="宋体"/>
                <w:sz w:val="18"/>
                <w:szCs w:val="18"/>
              </w:rPr>
              <w:t>、张伟、张垚、李云涛</w:t>
            </w:r>
          </w:p>
        </w:tc>
        <w:tc>
          <w:tcPr>
            <w:tcW w:w="1205" w:type="dxa"/>
            <w:vMerge/>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2023年08月24日</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审议了《关于公司2023年半年度报告的议案》《关于公司内审部2023年半年度审计报告的议案》。</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议案全票通过</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无</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无</w:t>
            </w:r>
          </w:p>
        </w:tc>
      </w:tr>
      <w:tr w:rsidR="00157EA0">
        <w:trPr>
          <w:trHeight w:val="240"/>
        </w:trPr>
        <w:tc>
          <w:tcPr>
            <w:tcW w:w="1205" w:type="dxa"/>
            <w:vMerge/>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审计委员会</w:t>
            </w:r>
          </w:p>
        </w:tc>
        <w:tc>
          <w:tcPr>
            <w:tcW w:w="1205" w:type="dxa"/>
            <w:vMerge/>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王</w:t>
            </w:r>
            <w:proofErr w:type="gramStart"/>
            <w:r>
              <w:rPr>
                <w:rFonts w:ascii="宋体" w:eastAsia="宋体" w:hAnsi="宋体" w:cs="宋体"/>
                <w:sz w:val="18"/>
                <w:szCs w:val="18"/>
              </w:rPr>
              <w:t>荭</w:t>
            </w:r>
            <w:proofErr w:type="gramEnd"/>
            <w:r>
              <w:rPr>
                <w:rFonts w:ascii="宋体" w:eastAsia="宋体" w:hAnsi="宋体" w:cs="宋体"/>
                <w:sz w:val="18"/>
                <w:szCs w:val="18"/>
              </w:rPr>
              <w:t>、张伟、张垚、李云涛</w:t>
            </w:r>
          </w:p>
        </w:tc>
        <w:tc>
          <w:tcPr>
            <w:tcW w:w="1205" w:type="dxa"/>
            <w:vMerge/>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2023年10月20日</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审议了《关于公司2023年第三季度报告的议案》《关于公司内审部</w:t>
            </w:r>
            <w:r>
              <w:rPr>
                <w:rFonts w:ascii="宋体" w:eastAsia="宋体" w:hAnsi="宋体" w:cs="宋体"/>
                <w:sz w:val="18"/>
                <w:szCs w:val="18"/>
              </w:rPr>
              <w:lastRenderedPageBreak/>
              <w:t>2023年第三季度审计报告的议案》。</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lastRenderedPageBreak/>
              <w:t>议案全票通过</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无</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无</w:t>
            </w:r>
          </w:p>
        </w:tc>
      </w:tr>
      <w:tr w:rsidR="00157EA0">
        <w:trPr>
          <w:trHeight w:val="240"/>
        </w:trPr>
        <w:tc>
          <w:tcPr>
            <w:tcW w:w="1205" w:type="dxa"/>
            <w:vMerge w:val="restart"/>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lastRenderedPageBreak/>
              <w:t>薪酬与考核委员会</w:t>
            </w:r>
          </w:p>
        </w:tc>
        <w:tc>
          <w:tcPr>
            <w:tcW w:w="1205" w:type="dxa"/>
            <w:vMerge w:val="restart"/>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班耀波、杨慧丽、王</w:t>
            </w:r>
            <w:proofErr w:type="gramStart"/>
            <w:r>
              <w:rPr>
                <w:rFonts w:ascii="宋体" w:eastAsia="宋体" w:hAnsi="宋体" w:cs="宋体"/>
                <w:sz w:val="18"/>
                <w:szCs w:val="18"/>
              </w:rPr>
              <w:t>荭</w:t>
            </w:r>
            <w:proofErr w:type="gramEnd"/>
          </w:p>
        </w:tc>
        <w:tc>
          <w:tcPr>
            <w:tcW w:w="1205" w:type="dxa"/>
            <w:vMerge w:val="restart"/>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2023年04月07日</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审议了《关于2023年度董事、监事及高级管理人员薪酬方案的议案》</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议案全票通过</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无</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无</w:t>
            </w:r>
          </w:p>
        </w:tc>
      </w:tr>
      <w:tr w:rsidR="00157EA0">
        <w:trPr>
          <w:trHeight w:val="240"/>
        </w:trPr>
        <w:tc>
          <w:tcPr>
            <w:tcW w:w="1205" w:type="dxa"/>
            <w:vMerge/>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薪酬与考核委员会</w:t>
            </w:r>
          </w:p>
        </w:tc>
        <w:tc>
          <w:tcPr>
            <w:tcW w:w="1205" w:type="dxa"/>
            <w:vMerge/>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班耀波、杨慧丽、王</w:t>
            </w:r>
            <w:proofErr w:type="gramStart"/>
            <w:r>
              <w:rPr>
                <w:rFonts w:ascii="宋体" w:eastAsia="宋体" w:hAnsi="宋体" w:cs="宋体"/>
                <w:sz w:val="18"/>
                <w:szCs w:val="18"/>
              </w:rPr>
              <w:t>荭</w:t>
            </w:r>
            <w:proofErr w:type="gramEnd"/>
          </w:p>
        </w:tc>
        <w:tc>
          <w:tcPr>
            <w:tcW w:w="1205" w:type="dxa"/>
            <w:vMerge/>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2023年07月12日</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审议了《关于&lt;软控股份有限公司2023年股票限制性股票激励计划（草案）&gt;及其摘要的议案》《关于&lt;软控股股份有限公司2023年限制性股票激励计划实施考核管理办法&gt;的议案》</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议案全票通过</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无</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无</w:t>
            </w:r>
          </w:p>
        </w:tc>
      </w:tr>
      <w:tr w:rsidR="00157EA0">
        <w:trPr>
          <w:trHeight w:val="240"/>
        </w:trPr>
        <w:tc>
          <w:tcPr>
            <w:tcW w:w="1205" w:type="dxa"/>
            <w:vMerge/>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薪酬与考核委员会</w:t>
            </w:r>
          </w:p>
        </w:tc>
        <w:tc>
          <w:tcPr>
            <w:tcW w:w="1205" w:type="dxa"/>
            <w:vMerge/>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班耀波、杨慧丽、王</w:t>
            </w:r>
            <w:proofErr w:type="gramStart"/>
            <w:r>
              <w:rPr>
                <w:rFonts w:ascii="宋体" w:eastAsia="宋体" w:hAnsi="宋体" w:cs="宋体"/>
                <w:sz w:val="18"/>
                <w:szCs w:val="18"/>
              </w:rPr>
              <w:t>荭</w:t>
            </w:r>
            <w:proofErr w:type="gramEnd"/>
          </w:p>
        </w:tc>
        <w:tc>
          <w:tcPr>
            <w:tcW w:w="1205" w:type="dxa"/>
            <w:vMerge/>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2023年09月19日</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审议了《关于公司2022年股票期权与限制性股票激励计划第一个解除限售期限制性股票解除限售条件成就的议案》《关于公司2022年股票期权与限制性股票激励计划第一个行权期期权行权条件成就的议案》。</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议案全票通过</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无</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无</w:t>
            </w:r>
          </w:p>
        </w:tc>
      </w:tr>
      <w:tr w:rsidR="00157EA0">
        <w:trPr>
          <w:trHeight w:val="240"/>
        </w:trPr>
        <w:tc>
          <w:tcPr>
            <w:tcW w:w="1205" w:type="dxa"/>
            <w:vMerge/>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薪酬与考核委员会</w:t>
            </w:r>
          </w:p>
        </w:tc>
        <w:tc>
          <w:tcPr>
            <w:tcW w:w="1205" w:type="dxa"/>
            <w:vMerge/>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班耀波、杨慧丽、王</w:t>
            </w:r>
            <w:proofErr w:type="gramStart"/>
            <w:r>
              <w:rPr>
                <w:rFonts w:ascii="宋体" w:eastAsia="宋体" w:hAnsi="宋体" w:cs="宋体"/>
                <w:sz w:val="18"/>
                <w:szCs w:val="18"/>
              </w:rPr>
              <w:t>荭</w:t>
            </w:r>
            <w:proofErr w:type="gramEnd"/>
          </w:p>
        </w:tc>
        <w:tc>
          <w:tcPr>
            <w:tcW w:w="1205" w:type="dxa"/>
            <w:vMerge/>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2023年10月20日</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审议了《关于公司2021年限制性股票激励计划第二个解除限售期解除限售条件成就的议案》。</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议案全票通过</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无</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无</w:t>
            </w:r>
          </w:p>
        </w:tc>
      </w:tr>
      <w:tr w:rsidR="00157EA0">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战略委员会</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官</w:t>
            </w:r>
            <w:proofErr w:type="gramStart"/>
            <w:r>
              <w:rPr>
                <w:rFonts w:ascii="宋体" w:eastAsia="宋体" w:hAnsi="宋体" w:cs="宋体"/>
                <w:sz w:val="18"/>
                <w:szCs w:val="18"/>
              </w:rPr>
              <w:t>炳</w:t>
            </w:r>
            <w:proofErr w:type="gramEnd"/>
            <w:r>
              <w:rPr>
                <w:rFonts w:ascii="宋体" w:eastAsia="宋体" w:hAnsi="宋体" w:cs="宋体"/>
                <w:sz w:val="18"/>
                <w:szCs w:val="18"/>
              </w:rPr>
              <w:t>政、张伟、王</w:t>
            </w:r>
            <w:proofErr w:type="gramStart"/>
            <w:r>
              <w:rPr>
                <w:rFonts w:ascii="宋体" w:eastAsia="宋体" w:hAnsi="宋体" w:cs="宋体"/>
                <w:sz w:val="18"/>
                <w:szCs w:val="18"/>
              </w:rPr>
              <w:t>荭</w:t>
            </w:r>
            <w:proofErr w:type="gramEnd"/>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2023年04月07日</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审议了《关于2022年</w:t>
            </w:r>
            <w:r>
              <w:rPr>
                <w:rFonts w:ascii="宋体" w:eastAsia="宋体" w:hAnsi="宋体" w:cs="宋体"/>
                <w:sz w:val="18"/>
                <w:szCs w:val="18"/>
              </w:rPr>
              <w:lastRenderedPageBreak/>
              <w:t>度总裁工作报告的议案》</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lastRenderedPageBreak/>
              <w:t>议案全票通过</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无</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无</w:t>
            </w:r>
          </w:p>
        </w:tc>
      </w:tr>
    </w:tbl>
    <w:p w:rsidR="00BA0365" w:rsidRDefault="008D4B2E">
      <w:pPr>
        <w:pStyle w:val="2"/>
        <w:spacing w:before="300" w:after="300" w:line="320" w:lineRule="exact"/>
        <w:rPr>
          <w:rFonts w:ascii="宋体" w:eastAsia="宋体" w:hAnsi="宋体" w:cs="宋体"/>
          <w:b/>
          <w:bCs/>
          <w:sz w:val="24"/>
          <w:szCs w:val="24"/>
        </w:rPr>
      </w:pPr>
      <w:bookmarkStart w:id="72" w:name="_Toc988961"/>
      <w:r>
        <w:rPr>
          <w:rFonts w:ascii="宋体" w:eastAsia="宋体" w:hAnsi="宋体" w:cs="宋体"/>
          <w:b/>
          <w:bCs/>
          <w:sz w:val="24"/>
          <w:szCs w:val="24"/>
        </w:rPr>
        <w:lastRenderedPageBreak/>
        <w:t>八、监事会工作情况</w:t>
      </w:r>
      <w:bookmarkEnd w:id="72"/>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监事会在报告期内的监督活动中发现公司是否存在风险</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监事会对报告期内的监督事项无异议。</w:t>
      </w:r>
    </w:p>
    <w:p w:rsidR="00BA0365" w:rsidRDefault="008D4B2E">
      <w:pPr>
        <w:pStyle w:val="2"/>
        <w:spacing w:before="300" w:after="300" w:line="320" w:lineRule="exact"/>
        <w:rPr>
          <w:rFonts w:ascii="宋体" w:eastAsia="宋体" w:hAnsi="宋体" w:cs="宋体"/>
          <w:b/>
          <w:bCs/>
          <w:sz w:val="24"/>
          <w:szCs w:val="24"/>
        </w:rPr>
      </w:pPr>
      <w:bookmarkStart w:id="73" w:name="_Toc988962"/>
      <w:r>
        <w:rPr>
          <w:rFonts w:ascii="宋体" w:eastAsia="宋体" w:hAnsi="宋体" w:cs="宋体"/>
          <w:b/>
          <w:bCs/>
          <w:sz w:val="24"/>
          <w:szCs w:val="24"/>
        </w:rPr>
        <w:t>九、公司员工情况</w:t>
      </w:r>
      <w:bookmarkEnd w:id="73"/>
    </w:p>
    <w:p w:rsidR="00BA0365" w:rsidRDefault="008D4B2E">
      <w:pPr>
        <w:pStyle w:val="3"/>
        <w:spacing w:line="280" w:lineRule="exact"/>
        <w:jc w:val="left"/>
        <w:rPr>
          <w:rFonts w:ascii="宋体" w:hAnsi="宋体" w:cs="宋体"/>
          <w:b/>
          <w:bCs/>
        </w:rPr>
      </w:pPr>
      <w:bookmarkStart w:id="74" w:name="_Toc988963"/>
      <w:r>
        <w:rPr>
          <w:rFonts w:ascii="宋体" w:hAnsi="宋体" w:cs="宋体"/>
          <w:b/>
          <w:bCs/>
        </w:rPr>
        <w:t>1、员工数量、专业构成及教育程度</w:t>
      </w:r>
      <w:bookmarkEnd w:id="74"/>
    </w:p>
    <w:tbl>
      <w:tblPr>
        <w:tblW w:w="9639" w:type="dxa"/>
        <w:tblLayout w:type="fixed"/>
        <w:tblLook w:val="04A0" w:firstRow="1" w:lastRow="0" w:firstColumn="1" w:lastColumn="0" w:noHBand="0" w:noVBand="1"/>
      </w:tblPr>
      <w:tblGrid>
        <w:gridCol w:w="4820"/>
        <w:gridCol w:w="4819"/>
      </w:tblGrid>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报告期末母公司在职员工的数量（人）</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1,605</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报告期末主要子公司在职员工的数量（人）</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2,458</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报告期末在职员工的数量合计（人）</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4,063</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当期领取薪酬员工总人数（人）</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4,063</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母公司及主要子公司需承担费用的离退休职工人数（人）</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w:t>
            </w:r>
          </w:p>
        </w:tc>
      </w:tr>
      <w:tr w:rsidR="00157EA0">
        <w:trPr>
          <w:trHeight w:val="240"/>
        </w:trPr>
        <w:tc>
          <w:tcPr>
            <w:tcW w:w="963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专业构成</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专业构成类别</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专业构成人数（人）</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生产人员</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2,539</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销售人员</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137</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技术人员</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997</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财务人员</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103</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行政人员</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287</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4,063</w:t>
            </w:r>
          </w:p>
        </w:tc>
      </w:tr>
      <w:tr w:rsidR="00157EA0">
        <w:trPr>
          <w:trHeight w:val="240"/>
        </w:trPr>
        <w:tc>
          <w:tcPr>
            <w:tcW w:w="963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教育程度</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教育程度类别</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数量（人）</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硕士</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236</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本科</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1,301</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大专</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1,078</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大专以下</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1,448</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4,063</w:t>
            </w:r>
          </w:p>
        </w:tc>
      </w:tr>
    </w:tbl>
    <w:p w:rsidR="00BA0365" w:rsidRDefault="008D4B2E">
      <w:pPr>
        <w:pStyle w:val="3"/>
        <w:spacing w:line="280" w:lineRule="exact"/>
        <w:jc w:val="left"/>
        <w:rPr>
          <w:rFonts w:ascii="宋体" w:hAnsi="宋体" w:cs="宋体"/>
          <w:b/>
          <w:bCs/>
        </w:rPr>
      </w:pPr>
      <w:bookmarkStart w:id="75" w:name="_Toc988964"/>
      <w:r>
        <w:rPr>
          <w:rFonts w:ascii="宋体" w:hAnsi="宋体" w:cs="宋体"/>
          <w:b/>
          <w:bCs/>
        </w:rPr>
        <w:t>2、薪酬政策</w:t>
      </w:r>
      <w:bookmarkEnd w:id="75"/>
    </w:p>
    <w:p w:rsidR="008D4B2E" w:rsidRDefault="008D4B2E">
      <w:pPr>
        <w:pStyle w:val="a3"/>
        <w:spacing w:before="0" w:beforeAutospacing="0" w:after="0" w:afterAutospacing="0"/>
        <w:ind w:firstLine="360"/>
        <w:divId w:val="1793553072"/>
      </w:pPr>
      <w:r>
        <w:rPr>
          <w:rFonts w:hint="eastAsia"/>
          <w:sz w:val="18"/>
          <w:szCs w:val="18"/>
        </w:rPr>
        <w:t>公司为员工提供有市场竞争力的薪酬水平，确保对人才的吸引与保留。通过岗位价值评估设置分配档次，以价值贡献为参照拉开收入差距，以市场水准为依据充分体现薪酬激励，实现薪酬制度的有理有据，公平、公正、透明。</w:t>
      </w:r>
    </w:p>
    <w:p w:rsidR="00BA0365" w:rsidRDefault="008D4B2E">
      <w:pPr>
        <w:pStyle w:val="3"/>
        <w:spacing w:line="280" w:lineRule="exact"/>
        <w:jc w:val="left"/>
        <w:rPr>
          <w:rFonts w:ascii="宋体" w:hAnsi="宋体" w:cs="宋体"/>
          <w:b/>
          <w:bCs/>
        </w:rPr>
      </w:pPr>
      <w:bookmarkStart w:id="76" w:name="_Toc988965"/>
      <w:r>
        <w:rPr>
          <w:rFonts w:ascii="宋体" w:hAnsi="宋体" w:cs="宋体"/>
          <w:b/>
          <w:bCs/>
        </w:rPr>
        <w:t>3、培训计划</w:t>
      </w:r>
      <w:bookmarkEnd w:id="76"/>
    </w:p>
    <w:p w:rsidR="008D4B2E" w:rsidRDefault="008D4B2E">
      <w:pPr>
        <w:pStyle w:val="a3"/>
        <w:spacing w:before="0" w:beforeAutospacing="0" w:after="0" w:afterAutospacing="0"/>
        <w:ind w:firstLine="360"/>
        <w:divId w:val="1954246323"/>
      </w:pPr>
      <w:r>
        <w:rPr>
          <w:rFonts w:hint="eastAsia"/>
          <w:sz w:val="18"/>
          <w:szCs w:val="18"/>
        </w:rPr>
        <w:t>公司立足组织能力提升和员工个人成长，将人才发展工作作为公司持续发展、战略实现的重要保障之一。在夯实培训体系搭建的基础上，探索并形成了关键人才培养项目的新模式。</w:t>
      </w:r>
    </w:p>
    <w:p w:rsidR="008D4B2E" w:rsidRDefault="008D4B2E">
      <w:pPr>
        <w:pStyle w:val="a3"/>
        <w:spacing w:before="0" w:beforeAutospacing="0" w:after="0" w:afterAutospacing="0"/>
        <w:ind w:firstLine="360"/>
        <w:divId w:val="1954246323"/>
      </w:pPr>
      <w:r>
        <w:rPr>
          <w:rFonts w:hint="eastAsia"/>
          <w:sz w:val="18"/>
          <w:szCs w:val="18"/>
        </w:rPr>
        <w:t>在人才培养项目方面。首先，面向干部培养，公司依据领导</w:t>
      </w:r>
      <w:proofErr w:type="gramStart"/>
      <w:r>
        <w:rPr>
          <w:rFonts w:hint="eastAsia"/>
          <w:sz w:val="18"/>
          <w:szCs w:val="18"/>
        </w:rPr>
        <w:t>力素质</w:t>
      </w:r>
      <w:proofErr w:type="gramEnd"/>
      <w:r>
        <w:rPr>
          <w:rFonts w:hint="eastAsia"/>
          <w:sz w:val="18"/>
          <w:szCs w:val="18"/>
        </w:rPr>
        <w:t>模型及现状盘点，结合</w:t>
      </w:r>
      <w:proofErr w:type="gramStart"/>
      <w:r>
        <w:rPr>
          <w:rFonts w:hint="eastAsia"/>
          <w:sz w:val="18"/>
          <w:szCs w:val="18"/>
        </w:rPr>
        <w:t>软控实际</w:t>
      </w:r>
      <w:proofErr w:type="gramEnd"/>
      <w:r>
        <w:rPr>
          <w:rFonts w:hint="eastAsia"/>
          <w:sz w:val="18"/>
          <w:szCs w:val="18"/>
        </w:rPr>
        <w:t>需要，面向高级管理者和中级管理者制定出相应的学习地图，并形成项目化的培养方案，培养一批人，激活一个班子，从而影响一个组织。</w:t>
      </w:r>
      <w:r>
        <w:rPr>
          <w:rFonts w:hint="eastAsia"/>
          <w:sz w:val="18"/>
          <w:szCs w:val="18"/>
        </w:rPr>
        <w:lastRenderedPageBreak/>
        <w:t>其次，面向关键群体，如营销序列人员、研发设计人员、生产管理人员</w:t>
      </w:r>
      <w:proofErr w:type="gramStart"/>
      <w:r>
        <w:rPr>
          <w:rFonts w:hint="eastAsia"/>
          <w:sz w:val="18"/>
          <w:szCs w:val="18"/>
        </w:rPr>
        <w:t>及校招新</w:t>
      </w:r>
      <w:proofErr w:type="gramEnd"/>
      <w:r>
        <w:rPr>
          <w:rFonts w:hint="eastAsia"/>
          <w:sz w:val="18"/>
          <w:szCs w:val="18"/>
        </w:rPr>
        <w:t>员工，均有针对性的策划出相应的培养方案，形成可迭代可沉淀的人才培养项目，持续助推人员的高效成长。</w:t>
      </w:r>
    </w:p>
    <w:p w:rsidR="008D4B2E" w:rsidRDefault="008D4B2E">
      <w:pPr>
        <w:pStyle w:val="a3"/>
        <w:spacing w:before="0" w:beforeAutospacing="0" w:after="0" w:afterAutospacing="0"/>
        <w:ind w:firstLine="360"/>
        <w:divId w:val="1954246323"/>
      </w:pPr>
      <w:r>
        <w:rPr>
          <w:rFonts w:hint="eastAsia"/>
          <w:sz w:val="18"/>
          <w:szCs w:val="18"/>
        </w:rPr>
        <w:t>在人才发展体系建设上面。公司在保障</w:t>
      </w:r>
      <w:proofErr w:type="gramStart"/>
      <w:r>
        <w:rPr>
          <w:rFonts w:hint="eastAsia"/>
          <w:sz w:val="18"/>
          <w:szCs w:val="18"/>
        </w:rPr>
        <w:t>内训师</w:t>
      </w:r>
      <w:proofErr w:type="gramEnd"/>
      <w:r>
        <w:rPr>
          <w:rFonts w:hint="eastAsia"/>
          <w:sz w:val="18"/>
          <w:szCs w:val="18"/>
        </w:rPr>
        <w:t>队伍持续健康发展的基础上，立足于企业核心价值观深植，组建企业内部体验</w:t>
      </w:r>
      <w:proofErr w:type="gramStart"/>
      <w:r>
        <w:rPr>
          <w:rFonts w:hint="eastAsia"/>
          <w:sz w:val="18"/>
          <w:szCs w:val="18"/>
        </w:rPr>
        <w:t>式引导</w:t>
      </w:r>
      <w:proofErr w:type="gramEnd"/>
      <w:r>
        <w:rPr>
          <w:rFonts w:hint="eastAsia"/>
          <w:sz w:val="18"/>
          <w:szCs w:val="18"/>
        </w:rPr>
        <w:t>师团队，注入体验</w:t>
      </w:r>
      <w:proofErr w:type="gramStart"/>
      <w:r>
        <w:rPr>
          <w:rFonts w:hint="eastAsia"/>
          <w:sz w:val="18"/>
          <w:szCs w:val="18"/>
        </w:rPr>
        <w:t>式引导</w:t>
      </w:r>
      <w:proofErr w:type="gramEnd"/>
      <w:r>
        <w:rPr>
          <w:rFonts w:hint="eastAsia"/>
          <w:sz w:val="18"/>
          <w:szCs w:val="18"/>
        </w:rPr>
        <w:t>的新活力，引入线上线下相结合的混合式学习模式，有效促进人才培养的效果落地，推动公司人才队伍的立体化发展。</w:t>
      </w:r>
    </w:p>
    <w:p w:rsidR="00BA0365" w:rsidRDefault="008D4B2E">
      <w:pPr>
        <w:pStyle w:val="3"/>
        <w:spacing w:line="280" w:lineRule="exact"/>
        <w:jc w:val="left"/>
        <w:rPr>
          <w:rFonts w:ascii="宋体" w:hAnsi="宋体" w:cs="宋体"/>
          <w:b/>
          <w:bCs/>
        </w:rPr>
      </w:pPr>
      <w:bookmarkStart w:id="77" w:name="_Toc988966"/>
      <w:r>
        <w:rPr>
          <w:rFonts w:ascii="宋体" w:hAnsi="宋体" w:cs="宋体"/>
          <w:b/>
          <w:bCs/>
        </w:rPr>
        <w:t>4、劳务外包情况</w:t>
      </w:r>
      <w:bookmarkEnd w:id="77"/>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pStyle w:val="2"/>
        <w:spacing w:before="300" w:after="300" w:line="320" w:lineRule="exact"/>
        <w:rPr>
          <w:rFonts w:ascii="宋体" w:eastAsia="宋体" w:hAnsi="宋体" w:cs="宋体"/>
          <w:b/>
          <w:bCs/>
          <w:sz w:val="24"/>
          <w:szCs w:val="24"/>
        </w:rPr>
      </w:pPr>
      <w:bookmarkStart w:id="78" w:name="_Toc988967"/>
      <w:r>
        <w:rPr>
          <w:rFonts w:ascii="宋体" w:eastAsia="宋体" w:hAnsi="宋体" w:cs="宋体"/>
          <w:b/>
          <w:bCs/>
          <w:sz w:val="24"/>
          <w:szCs w:val="24"/>
        </w:rPr>
        <w:t>十、公司利润分配及资本公积金转增股本情况</w:t>
      </w:r>
      <w:bookmarkEnd w:id="78"/>
    </w:p>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报告期</w:t>
      </w:r>
      <w:proofErr w:type="gramStart"/>
      <w:r>
        <w:rPr>
          <w:rFonts w:ascii="宋体" w:eastAsia="宋体" w:hAnsi="宋体" w:cs="宋体"/>
          <w:sz w:val="18"/>
          <w:szCs w:val="18"/>
        </w:rPr>
        <w:t>内利润</w:t>
      </w:r>
      <w:proofErr w:type="gramEnd"/>
      <w:r>
        <w:rPr>
          <w:rFonts w:ascii="宋体" w:eastAsia="宋体" w:hAnsi="宋体" w:cs="宋体"/>
          <w:sz w:val="18"/>
          <w:szCs w:val="18"/>
        </w:rPr>
        <w:t>分配政策，特别是现金分红政策的制定、执行或调整情况</w:t>
      </w:r>
    </w:p>
    <w:p w:rsidR="00C067EE" w:rsidRDefault="008D4B2E" w:rsidP="00C067EE">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021783" w:rsidRDefault="008D4B2E" w:rsidP="00C067EE">
      <w:pPr>
        <w:pStyle w:val="a3"/>
        <w:spacing w:before="0" w:beforeAutospacing="0" w:after="0" w:afterAutospacing="0"/>
        <w:ind w:firstLine="360"/>
        <w:rPr>
          <w:rFonts w:cs="Times New Roman"/>
          <w:sz w:val="18"/>
          <w:szCs w:val="18"/>
        </w:rPr>
      </w:pPr>
      <w:r w:rsidRPr="00C067EE">
        <w:rPr>
          <w:rFonts w:cs="Times New Roman" w:hint="eastAsia"/>
          <w:sz w:val="18"/>
          <w:szCs w:val="18"/>
        </w:rPr>
        <w:t>2023年4月10日召开第八届董事会第六次会议及第八届监事会第七次会议，审议通过《公司2022年度利润分配的预案》，经</w:t>
      </w:r>
      <w:proofErr w:type="gramStart"/>
      <w:r w:rsidRPr="00C067EE">
        <w:rPr>
          <w:rFonts w:cs="Times New Roman" w:hint="eastAsia"/>
          <w:sz w:val="18"/>
          <w:szCs w:val="18"/>
        </w:rPr>
        <w:t>中兴华</w:t>
      </w:r>
      <w:proofErr w:type="gramEnd"/>
      <w:r w:rsidRPr="00C067EE">
        <w:rPr>
          <w:rFonts w:cs="Times New Roman" w:hint="eastAsia"/>
          <w:sz w:val="18"/>
          <w:szCs w:val="18"/>
        </w:rPr>
        <w:t>事务所审计，母公司2022年度实现的净利润为23,064,446.85元,根据《公司章程》规定，本年度计提法定盈余公积2,306,444.69元，加上上年度转入本年度的可供股东分配利润2,212,829,254.49元，母公司本年度的可供股东分配的利润累计为2,233,587,256.65元。在符合利润分配原则、保证公司正常经营和</w:t>
      </w:r>
      <w:proofErr w:type="gramStart"/>
      <w:r w:rsidRPr="00C067EE">
        <w:rPr>
          <w:rFonts w:cs="Times New Roman" w:hint="eastAsia"/>
          <w:sz w:val="18"/>
          <w:szCs w:val="18"/>
        </w:rPr>
        <w:t>可</w:t>
      </w:r>
      <w:proofErr w:type="gramEnd"/>
      <w:r w:rsidRPr="00C067EE">
        <w:rPr>
          <w:rFonts w:cs="Times New Roman" w:hint="eastAsia"/>
          <w:sz w:val="18"/>
          <w:szCs w:val="18"/>
        </w:rPr>
        <w:t>持续性发展，兼顾股东利益的前提下，公司提出2022年度利润分配预案为：以2022年12月31日的总股本969,506,674股为基数，向全体股东每10股派发现金红利0.46 元（含税），不送红股，共派发现金红利44,597,307.00元，剩余未分配利润2,188,989,949.65元，暂时用于补充流动资金或公司发展，结转以后年度分配。2022年度不进行资本公积金转增股本。</w:t>
      </w:r>
    </w:p>
    <w:p w:rsidR="008D4B2E" w:rsidRPr="00C067EE" w:rsidRDefault="008D4B2E" w:rsidP="00C067EE">
      <w:pPr>
        <w:pStyle w:val="a3"/>
        <w:spacing w:before="0" w:beforeAutospacing="0" w:after="0" w:afterAutospacing="0"/>
        <w:ind w:firstLine="360"/>
        <w:rPr>
          <w:rFonts w:cs="Times New Roman"/>
          <w:sz w:val="18"/>
          <w:szCs w:val="18"/>
        </w:rPr>
      </w:pPr>
      <w:r w:rsidRPr="00C067EE">
        <w:rPr>
          <w:rFonts w:cs="Times New Roman" w:hint="eastAsia"/>
          <w:sz w:val="18"/>
          <w:szCs w:val="18"/>
        </w:rPr>
        <w:t>公司2022年度利润分配预案是依据公司经营发展的实际情况制订，该利润分配预案有利于公司长远发展，不存在损害公司和股东利益的情形，符合《公司章程》中现金分红的规定：公司应优先采用现金分红的方式进行利润分配，最近三年以现金累计分配的利润不少于最近三年实现的年均可分配利润的百分之三十。《公司2022年度利润分配的预案》 已经2022年度股东大会审议通过。详见巨潮资讯网（</w:t>
      </w:r>
      <w:hyperlink r:id="rId9" w:history="1">
        <w:r w:rsidRPr="00C067EE">
          <w:rPr>
            <w:rFonts w:cs="Times New Roman"/>
            <w:sz w:val="18"/>
            <w:szCs w:val="18"/>
          </w:rPr>
          <w:t>http://www.cninfo.com.cn</w:t>
        </w:r>
      </w:hyperlink>
      <w:r w:rsidRPr="00C067EE">
        <w:rPr>
          <w:rFonts w:cs="Times New Roman" w:hint="eastAsia"/>
          <w:sz w:val="18"/>
          <w:szCs w:val="18"/>
        </w:rPr>
        <w:t>）及《证券时报》《中国证券报》《上海证券报》《证券日报》。 </w:t>
      </w:r>
    </w:p>
    <w:tbl>
      <w:tblPr>
        <w:tblW w:w="9639" w:type="dxa"/>
        <w:tblLayout w:type="fixed"/>
        <w:tblLook w:val="04A0" w:firstRow="1" w:lastRow="0" w:firstColumn="1" w:lastColumn="0" w:noHBand="0" w:noVBand="1"/>
      </w:tblPr>
      <w:tblGrid>
        <w:gridCol w:w="4820"/>
        <w:gridCol w:w="4819"/>
      </w:tblGrid>
      <w:tr w:rsidR="00157EA0">
        <w:trPr>
          <w:trHeight w:val="240"/>
        </w:trPr>
        <w:tc>
          <w:tcPr>
            <w:tcW w:w="963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现金分红政策的专项说明</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是否符合公司章程的规定或股东大会决议的要求：</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C067EE">
            <w:pPr>
              <w:spacing w:line="240" w:lineRule="exact"/>
              <w:jc w:val="right"/>
              <w:rPr>
                <w:rFonts w:ascii="宋体" w:eastAsia="宋体" w:hAnsi="宋体" w:cs="宋体"/>
                <w:sz w:val="18"/>
                <w:szCs w:val="18"/>
              </w:rPr>
            </w:pPr>
            <w:r>
              <w:rPr>
                <w:rFonts w:ascii="宋体" w:eastAsia="宋体" w:hAnsi="宋体" w:cs="宋体"/>
                <w:sz w:val="18"/>
                <w:szCs w:val="18"/>
              </w:rPr>
              <w:t>是</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分红标准和比例是否明确和清晰：</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C067EE">
            <w:pPr>
              <w:spacing w:line="240" w:lineRule="exact"/>
              <w:jc w:val="right"/>
              <w:rPr>
                <w:rFonts w:ascii="宋体" w:eastAsia="宋体" w:hAnsi="宋体" w:cs="宋体"/>
                <w:sz w:val="18"/>
                <w:szCs w:val="18"/>
              </w:rPr>
            </w:pPr>
            <w:r>
              <w:rPr>
                <w:rFonts w:ascii="宋体" w:eastAsia="宋体" w:hAnsi="宋体" w:cs="宋体"/>
                <w:sz w:val="18"/>
                <w:szCs w:val="18"/>
              </w:rPr>
              <w:t>是</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相关的决策程序和机制是否完备：</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C067EE">
            <w:pPr>
              <w:spacing w:line="240" w:lineRule="exact"/>
              <w:jc w:val="right"/>
              <w:rPr>
                <w:rFonts w:ascii="宋体" w:eastAsia="宋体" w:hAnsi="宋体" w:cs="宋体"/>
                <w:sz w:val="18"/>
                <w:szCs w:val="18"/>
              </w:rPr>
            </w:pPr>
            <w:r>
              <w:rPr>
                <w:rFonts w:ascii="宋体" w:eastAsia="宋体" w:hAnsi="宋体" w:cs="宋体"/>
                <w:sz w:val="18"/>
                <w:szCs w:val="18"/>
              </w:rPr>
              <w:t>是</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独立董事是否履职尽责并发挥了应有的作用：</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C067EE">
            <w:pPr>
              <w:spacing w:line="240" w:lineRule="exact"/>
              <w:jc w:val="right"/>
              <w:rPr>
                <w:rFonts w:ascii="宋体" w:eastAsia="宋体" w:hAnsi="宋体" w:cs="宋体"/>
                <w:sz w:val="18"/>
                <w:szCs w:val="18"/>
              </w:rPr>
            </w:pPr>
            <w:r>
              <w:rPr>
                <w:rFonts w:ascii="宋体" w:eastAsia="宋体" w:hAnsi="宋体" w:cs="宋体"/>
                <w:sz w:val="18"/>
                <w:szCs w:val="18"/>
              </w:rPr>
              <w:t>是</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公司未进行现金分红的，应当披露具体原因，以及下一步为增强投资者回报水平拟采取的举措：</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C067EE">
            <w:pPr>
              <w:spacing w:line="240" w:lineRule="exact"/>
              <w:jc w:val="right"/>
              <w:rPr>
                <w:rFonts w:ascii="宋体" w:eastAsia="宋体" w:hAnsi="宋体" w:cs="宋体"/>
                <w:sz w:val="18"/>
                <w:szCs w:val="18"/>
              </w:rPr>
            </w:pPr>
            <w:r>
              <w:rPr>
                <w:rFonts w:ascii="宋体" w:eastAsia="宋体" w:hAnsi="宋体" w:cs="宋体"/>
                <w:sz w:val="18"/>
                <w:szCs w:val="18"/>
              </w:rPr>
              <w:t>不适用</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中小股东是否有充分表达意见和诉求的机会，其合法权益是否得到了充分保护：</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C067EE">
            <w:pPr>
              <w:spacing w:line="240" w:lineRule="exact"/>
              <w:jc w:val="right"/>
              <w:rPr>
                <w:rFonts w:ascii="宋体" w:eastAsia="宋体" w:hAnsi="宋体" w:cs="宋体"/>
                <w:sz w:val="18"/>
                <w:szCs w:val="18"/>
              </w:rPr>
            </w:pPr>
            <w:r>
              <w:rPr>
                <w:rFonts w:ascii="宋体" w:eastAsia="宋体" w:hAnsi="宋体" w:cs="宋体"/>
                <w:sz w:val="18"/>
                <w:szCs w:val="18"/>
              </w:rPr>
              <w:t>是</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现金分红政策进行调整或变更的，条件及程序是否合</w:t>
            </w:r>
            <w:proofErr w:type="gramStart"/>
            <w:r>
              <w:rPr>
                <w:rFonts w:ascii="宋体" w:eastAsia="宋体" w:hAnsi="宋体" w:cs="宋体"/>
                <w:sz w:val="18"/>
                <w:szCs w:val="18"/>
              </w:rPr>
              <w:t>规</w:t>
            </w:r>
            <w:proofErr w:type="gramEnd"/>
            <w:r>
              <w:rPr>
                <w:rFonts w:ascii="宋体" w:eastAsia="宋体" w:hAnsi="宋体" w:cs="宋体"/>
                <w:sz w:val="18"/>
                <w:szCs w:val="18"/>
              </w:rPr>
              <w:t>、透明：</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C067EE">
            <w:pPr>
              <w:spacing w:line="240" w:lineRule="exact"/>
              <w:jc w:val="right"/>
              <w:rPr>
                <w:rFonts w:ascii="宋体" w:eastAsia="宋体" w:hAnsi="宋体" w:cs="宋体"/>
                <w:sz w:val="18"/>
                <w:szCs w:val="18"/>
              </w:rPr>
            </w:pPr>
            <w:r>
              <w:rPr>
                <w:rFonts w:ascii="宋体" w:eastAsia="宋体" w:hAnsi="宋体" w:cs="宋体"/>
                <w:sz w:val="18"/>
                <w:szCs w:val="18"/>
              </w:rPr>
              <w:t>不适用</w:t>
            </w:r>
          </w:p>
        </w:tc>
      </w:tr>
    </w:tbl>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公司报告期内</w:t>
      </w:r>
      <w:proofErr w:type="gramStart"/>
      <w:r>
        <w:rPr>
          <w:rFonts w:ascii="宋体" w:eastAsia="宋体" w:hAnsi="宋体" w:cs="宋体"/>
          <w:sz w:val="18"/>
          <w:szCs w:val="18"/>
        </w:rPr>
        <w:t>盈利且母公司</w:t>
      </w:r>
      <w:proofErr w:type="gramEnd"/>
      <w:r>
        <w:rPr>
          <w:rFonts w:ascii="宋体" w:eastAsia="宋体" w:hAnsi="宋体" w:cs="宋体"/>
          <w:sz w:val="18"/>
          <w:szCs w:val="18"/>
        </w:rPr>
        <w:t>可供股东分配利润</w:t>
      </w:r>
      <w:proofErr w:type="gramStart"/>
      <w:r>
        <w:rPr>
          <w:rFonts w:ascii="宋体" w:eastAsia="宋体" w:hAnsi="宋体" w:cs="宋体"/>
          <w:sz w:val="18"/>
          <w:szCs w:val="18"/>
        </w:rPr>
        <w:t>为正但未</w:t>
      </w:r>
      <w:proofErr w:type="gramEnd"/>
      <w:r>
        <w:rPr>
          <w:rFonts w:ascii="宋体" w:eastAsia="宋体" w:hAnsi="宋体" w:cs="宋体"/>
          <w:sz w:val="18"/>
          <w:szCs w:val="18"/>
        </w:rPr>
        <w:t>提出现金红利分配预案</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本报告期利润分配及资本公积金转增股本情况</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Layout w:type="fixed"/>
        <w:tblLook w:val="04A0" w:firstRow="1" w:lastRow="0" w:firstColumn="1" w:lastColumn="0" w:noHBand="0" w:noVBand="1"/>
      </w:tblPr>
      <w:tblGrid>
        <w:gridCol w:w="4820"/>
        <w:gridCol w:w="4819"/>
      </w:tblGrid>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每10股送红股数（股）</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每10股派息数（元）（含税）</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C067EE">
            <w:pPr>
              <w:spacing w:line="240" w:lineRule="exact"/>
              <w:jc w:val="right"/>
              <w:rPr>
                <w:rFonts w:ascii="宋体" w:eastAsia="宋体" w:hAnsi="宋体" w:cs="宋体"/>
                <w:sz w:val="18"/>
                <w:szCs w:val="18"/>
              </w:rPr>
            </w:pPr>
            <w:r>
              <w:rPr>
                <w:rFonts w:ascii="宋体" w:eastAsia="宋体" w:hAnsi="宋体" w:cs="宋体"/>
                <w:sz w:val="18"/>
                <w:szCs w:val="18"/>
              </w:rPr>
              <w:t>1.00</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分配预案的股本基数（股）</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C067EE">
            <w:pPr>
              <w:spacing w:line="240" w:lineRule="exact"/>
              <w:jc w:val="right"/>
              <w:rPr>
                <w:rFonts w:ascii="宋体" w:eastAsia="宋体" w:hAnsi="宋体" w:cs="宋体"/>
                <w:sz w:val="18"/>
                <w:szCs w:val="18"/>
              </w:rPr>
            </w:pPr>
            <w:r>
              <w:rPr>
                <w:rFonts w:ascii="宋体" w:eastAsia="宋体" w:hAnsi="宋体" w:cs="宋体"/>
                <w:sz w:val="18"/>
                <w:szCs w:val="18"/>
              </w:rPr>
              <w:t> 1,012,096,504.00</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lastRenderedPageBreak/>
              <w:t>现金分红金额（元）（含税）</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C067EE">
            <w:pPr>
              <w:spacing w:line="240" w:lineRule="exact"/>
              <w:jc w:val="right"/>
              <w:rPr>
                <w:rFonts w:ascii="宋体" w:eastAsia="宋体" w:hAnsi="宋体" w:cs="宋体"/>
                <w:sz w:val="18"/>
                <w:szCs w:val="18"/>
              </w:rPr>
            </w:pPr>
            <w:r>
              <w:rPr>
                <w:rFonts w:ascii="宋体" w:eastAsia="宋体" w:hAnsi="宋体" w:cs="宋体"/>
                <w:sz w:val="18"/>
                <w:szCs w:val="18"/>
              </w:rPr>
              <w:t>101,209,650.40</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以其他方式（如回购股份）现金分红金额（元）</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C067EE">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现金分红总额（含其他方式）（元）</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C067EE">
            <w:pPr>
              <w:spacing w:line="240" w:lineRule="exact"/>
              <w:jc w:val="right"/>
              <w:rPr>
                <w:rFonts w:ascii="宋体" w:eastAsia="宋体" w:hAnsi="宋体" w:cs="宋体"/>
                <w:sz w:val="18"/>
                <w:szCs w:val="18"/>
              </w:rPr>
            </w:pPr>
            <w:r>
              <w:rPr>
                <w:rFonts w:ascii="宋体" w:eastAsia="宋体" w:hAnsi="宋体" w:cs="宋体"/>
                <w:sz w:val="18"/>
                <w:szCs w:val="18"/>
              </w:rPr>
              <w:t>101,209,650.40</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可分配利润（元）</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C067EE">
            <w:pPr>
              <w:spacing w:line="240" w:lineRule="exact"/>
              <w:jc w:val="right"/>
              <w:rPr>
                <w:rFonts w:ascii="宋体" w:eastAsia="宋体" w:hAnsi="宋体" w:cs="宋体"/>
                <w:sz w:val="18"/>
                <w:szCs w:val="18"/>
              </w:rPr>
            </w:pPr>
            <w:r>
              <w:rPr>
                <w:rFonts w:ascii="宋体" w:eastAsia="宋体" w:hAnsi="宋体" w:cs="宋体"/>
                <w:sz w:val="18"/>
                <w:szCs w:val="18"/>
              </w:rPr>
              <w:t>2,245,983,571.39</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现金分红总额（含其他方式）占利润分配总额的比例</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C067EE">
            <w:pPr>
              <w:spacing w:line="240" w:lineRule="exact"/>
              <w:jc w:val="right"/>
              <w:rPr>
                <w:rFonts w:ascii="宋体" w:eastAsia="宋体" w:hAnsi="宋体" w:cs="宋体"/>
                <w:sz w:val="18"/>
                <w:szCs w:val="18"/>
              </w:rPr>
            </w:pPr>
            <w:r>
              <w:rPr>
                <w:rFonts w:ascii="宋体" w:eastAsia="宋体" w:hAnsi="宋体" w:cs="宋体"/>
                <w:sz w:val="18"/>
                <w:szCs w:val="18"/>
              </w:rPr>
              <w:t>100%</w:t>
            </w:r>
          </w:p>
        </w:tc>
      </w:tr>
      <w:tr w:rsidR="00157EA0">
        <w:trPr>
          <w:trHeight w:val="240"/>
        </w:trPr>
        <w:tc>
          <w:tcPr>
            <w:tcW w:w="963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本次现金分红情况</w:t>
            </w:r>
          </w:p>
        </w:tc>
      </w:tr>
      <w:tr w:rsidR="00157EA0">
        <w:trPr>
          <w:trHeight w:val="240"/>
        </w:trPr>
        <w:tc>
          <w:tcPr>
            <w:tcW w:w="9639" w:type="dxa"/>
            <w:gridSpan w:val="2"/>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其他</w:t>
            </w:r>
          </w:p>
        </w:tc>
      </w:tr>
      <w:tr w:rsidR="00157EA0">
        <w:trPr>
          <w:trHeight w:val="240"/>
        </w:trPr>
        <w:tc>
          <w:tcPr>
            <w:tcW w:w="963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利润分配或资本公积金转增预案的详细情况说明</w:t>
            </w:r>
          </w:p>
        </w:tc>
      </w:tr>
      <w:tr w:rsidR="00157EA0">
        <w:trPr>
          <w:trHeight w:val="240"/>
        </w:trPr>
        <w:tc>
          <w:tcPr>
            <w:tcW w:w="9639" w:type="dxa"/>
            <w:gridSpan w:val="2"/>
            <w:tcBorders>
              <w:top w:val="single" w:sz="2" w:space="0" w:color="auto"/>
              <w:left w:val="single" w:sz="2" w:space="0" w:color="auto"/>
              <w:bottom w:val="single" w:sz="2" w:space="0" w:color="auto"/>
              <w:right w:val="single" w:sz="2" w:space="0" w:color="auto"/>
            </w:tcBorders>
            <w:vAlign w:val="center"/>
          </w:tcPr>
          <w:p w:rsidR="00BA0365" w:rsidRDefault="008D4B2E" w:rsidP="00C067EE">
            <w:pPr>
              <w:spacing w:line="240" w:lineRule="exact"/>
              <w:ind w:firstLineChars="200" w:firstLine="360"/>
              <w:rPr>
                <w:rFonts w:ascii="宋体" w:eastAsia="宋体" w:hAnsi="宋体" w:cs="宋体"/>
                <w:sz w:val="18"/>
                <w:szCs w:val="18"/>
              </w:rPr>
            </w:pPr>
            <w:r>
              <w:rPr>
                <w:rFonts w:ascii="宋体" w:eastAsia="宋体" w:hAnsi="宋体" w:cs="宋体"/>
                <w:sz w:val="18"/>
                <w:szCs w:val="18"/>
              </w:rPr>
              <w:t>经</w:t>
            </w:r>
            <w:proofErr w:type="gramStart"/>
            <w:r>
              <w:rPr>
                <w:rFonts w:ascii="宋体" w:eastAsia="宋体" w:hAnsi="宋体" w:cs="宋体"/>
                <w:sz w:val="18"/>
                <w:szCs w:val="18"/>
              </w:rPr>
              <w:t>中兴华</w:t>
            </w:r>
            <w:proofErr w:type="gramEnd"/>
            <w:r>
              <w:rPr>
                <w:rFonts w:ascii="宋体" w:eastAsia="宋体" w:hAnsi="宋体" w:cs="宋体"/>
                <w:sz w:val="18"/>
                <w:szCs w:val="18"/>
              </w:rPr>
              <w:t>事务所审计，母公司2023年度实现的净利润为63,243,855.27元,根据《公司章程》规定，本年度计提法定盈余公积6,324,385.53元，支付利润分配普通股股利44,523,155.00元，加上上年度转入本年度的可供股东分配利润2,233,587,256.65元，母公司本年度的可供股东分配的利润累计为2,245,983,571.39元。</w:t>
            </w:r>
          </w:p>
          <w:p w:rsidR="00BA0365" w:rsidRDefault="008D4B2E">
            <w:pPr>
              <w:spacing w:line="240" w:lineRule="exact"/>
              <w:rPr>
                <w:rFonts w:ascii="宋体" w:eastAsia="宋体" w:hAnsi="宋体" w:cs="宋体"/>
                <w:sz w:val="18"/>
                <w:szCs w:val="18"/>
              </w:rPr>
            </w:pPr>
            <w:r>
              <w:rPr>
                <w:rFonts w:ascii="宋体" w:eastAsia="宋体" w:hAnsi="宋体" w:cs="宋体"/>
                <w:sz w:val="18"/>
                <w:szCs w:val="18"/>
              </w:rPr>
              <w:t>根据《公司章程》关于利润分配政策的相关规定，公司拟进行2023年度利润分配，具体分配预案为：以公司2023年12月31日总股本1,012,096,504股为基数，向全体股东每10股派发现金红利1.00元（含税），送红股0股（含税），不以公积金转增股本。</w:t>
            </w:r>
          </w:p>
          <w:p w:rsidR="00BA0365" w:rsidRDefault="008D4B2E" w:rsidP="00C067EE">
            <w:pPr>
              <w:spacing w:line="240" w:lineRule="exact"/>
              <w:ind w:firstLineChars="200" w:firstLine="360"/>
              <w:rPr>
                <w:rFonts w:ascii="宋体" w:eastAsia="宋体" w:hAnsi="宋体" w:cs="宋体"/>
                <w:sz w:val="18"/>
                <w:szCs w:val="18"/>
              </w:rPr>
            </w:pPr>
            <w:r>
              <w:rPr>
                <w:rFonts w:ascii="宋体" w:eastAsia="宋体" w:hAnsi="宋体" w:cs="宋体"/>
                <w:sz w:val="18"/>
                <w:szCs w:val="18"/>
              </w:rPr>
              <w:t>如在利润分配预案披露之日起至权益分派实施股权登记日期间，因股份回购、股权激励行权等原因导致公司可参与权益分派的总股本发生变化的，公司将按照每</w:t>
            </w:r>
            <w:proofErr w:type="gramStart"/>
            <w:r>
              <w:rPr>
                <w:rFonts w:ascii="宋体" w:eastAsia="宋体" w:hAnsi="宋体" w:cs="宋体"/>
                <w:sz w:val="18"/>
                <w:szCs w:val="18"/>
              </w:rPr>
              <w:t>股分配金额</w:t>
            </w:r>
            <w:proofErr w:type="gramEnd"/>
            <w:r>
              <w:rPr>
                <w:rFonts w:ascii="宋体" w:eastAsia="宋体" w:hAnsi="宋体" w:cs="宋体"/>
                <w:sz w:val="18"/>
                <w:szCs w:val="18"/>
              </w:rPr>
              <w:t>不变的原则，相应调整分配总额。</w:t>
            </w:r>
          </w:p>
        </w:tc>
      </w:tr>
    </w:tbl>
    <w:p w:rsidR="00BA0365" w:rsidRDefault="008D4B2E">
      <w:pPr>
        <w:pStyle w:val="2"/>
        <w:spacing w:before="300" w:after="300" w:line="320" w:lineRule="exact"/>
        <w:rPr>
          <w:rFonts w:ascii="宋体" w:eastAsia="宋体" w:hAnsi="宋体" w:cs="宋体"/>
          <w:b/>
          <w:bCs/>
          <w:sz w:val="24"/>
          <w:szCs w:val="24"/>
        </w:rPr>
      </w:pPr>
      <w:bookmarkStart w:id="79" w:name="_Toc988968"/>
      <w:r>
        <w:rPr>
          <w:rFonts w:ascii="宋体" w:eastAsia="宋体" w:hAnsi="宋体" w:cs="宋体"/>
          <w:b/>
          <w:bCs/>
          <w:sz w:val="24"/>
          <w:szCs w:val="24"/>
        </w:rPr>
        <w:t>十一、公司股权激励计划、员工持股计划或其他员工激励措施的实施情况</w:t>
      </w:r>
      <w:bookmarkEnd w:id="79"/>
    </w:p>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BA0365" w:rsidRDefault="008D4B2E">
      <w:pPr>
        <w:pStyle w:val="3"/>
        <w:spacing w:line="280" w:lineRule="exact"/>
        <w:jc w:val="left"/>
        <w:rPr>
          <w:rFonts w:ascii="宋体" w:hAnsi="宋体" w:cs="宋体"/>
          <w:b/>
          <w:bCs/>
        </w:rPr>
      </w:pPr>
      <w:bookmarkStart w:id="80" w:name="_Toc988969"/>
      <w:r>
        <w:rPr>
          <w:rFonts w:ascii="宋体" w:hAnsi="宋体" w:cs="宋体"/>
          <w:b/>
          <w:bCs/>
        </w:rPr>
        <w:t>1、股权激励</w:t>
      </w:r>
      <w:bookmarkEnd w:id="80"/>
    </w:p>
    <w:p w:rsidR="008D4B2E" w:rsidRPr="00C067EE" w:rsidRDefault="008D4B2E">
      <w:pPr>
        <w:pStyle w:val="a3"/>
        <w:spacing w:before="0" w:beforeAutospacing="0" w:after="0" w:afterAutospacing="0"/>
        <w:ind w:firstLine="360"/>
        <w:jc w:val="both"/>
        <w:divId w:val="1296642429"/>
        <w:rPr>
          <w:rFonts w:cs="Times New Roman"/>
          <w:sz w:val="18"/>
          <w:szCs w:val="18"/>
        </w:rPr>
      </w:pPr>
      <w:r w:rsidRPr="00C067EE">
        <w:rPr>
          <w:rFonts w:cs="Times New Roman" w:hint="eastAsia"/>
          <w:sz w:val="18"/>
          <w:szCs w:val="18"/>
        </w:rPr>
        <w:t>2023年4月10日，公司召开第八届董事会第六次会议与第八届监事会第七次会议，审议通过了《关于注销部分股票期权和回购注销部分限制性股票的议案》，因3名激励对象离职，同意对其</w:t>
      </w:r>
      <w:proofErr w:type="gramStart"/>
      <w:r w:rsidRPr="00C067EE">
        <w:rPr>
          <w:rFonts w:cs="Times New Roman" w:hint="eastAsia"/>
          <w:sz w:val="18"/>
          <w:szCs w:val="18"/>
        </w:rPr>
        <w:t>已获授但尚未</w:t>
      </w:r>
      <w:proofErr w:type="gramEnd"/>
      <w:r w:rsidRPr="00C067EE">
        <w:rPr>
          <w:rFonts w:cs="Times New Roman" w:hint="eastAsia"/>
          <w:sz w:val="18"/>
          <w:szCs w:val="18"/>
        </w:rPr>
        <w:t>解除限售的限制性股票合计10,000股予以回购注销，其</w:t>
      </w:r>
      <w:proofErr w:type="gramStart"/>
      <w:r w:rsidRPr="00C067EE">
        <w:rPr>
          <w:rFonts w:cs="Times New Roman" w:hint="eastAsia"/>
          <w:sz w:val="18"/>
          <w:szCs w:val="18"/>
        </w:rPr>
        <w:t>已获授但尚未</w:t>
      </w:r>
      <w:proofErr w:type="gramEnd"/>
      <w:r w:rsidRPr="00C067EE">
        <w:rPr>
          <w:rFonts w:cs="Times New Roman" w:hint="eastAsia"/>
          <w:sz w:val="18"/>
          <w:szCs w:val="18"/>
        </w:rPr>
        <w:t>行权的股票期权合计200,000份予以注销。2023年5月8日，公司召开2022年度股东大会，审议通过《关于注销部分股票期权和回购注销部分限制性股票的议案》。截至2023年07月18日，公司已在中国证券登记结算有限责任公司深圳分公司办理完成上述限制性股票的回购注销以及股票期权的注销手续，并于同日披露了《关于注销部分股票期权和回购注销部分限制性股票完成的公告》（公告编号：2023-041）。</w:t>
      </w:r>
    </w:p>
    <w:p w:rsidR="008D4B2E" w:rsidRPr="00C067EE" w:rsidRDefault="008D4B2E">
      <w:pPr>
        <w:pStyle w:val="a3"/>
        <w:spacing w:before="0" w:beforeAutospacing="0" w:after="0" w:afterAutospacing="0"/>
        <w:ind w:firstLine="360"/>
        <w:jc w:val="both"/>
        <w:divId w:val="1296642429"/>
        <w:rPr>
          <w:rFonts w:cs="Times New Roman"/>
          <w:sz w:val="18"/>
          <w:szCs w:val="18"/>
        </w:rPr>
      </w:pPr>
      <w:r w:rsidRPr="00C067EE">
        <w:rPr>
          <w:rFonts w:cs="Times New Roman" w:hint="eastAsia"/>
          <w:sz w:val="18"/>
          <w:szCs w:val="18"/>
        </w:rPr>
        <w:t>2023年7月13日，公司第八届董事会第九次会议审议通过了《关于〈软控股份有限公司2023年限制性股票激励计划（草案）〉及其摘要的议案》《关于〈软控股份有限公司2023年限制性股票激励计划实施考核管理办法〉的议案》《关于提请股东大会授权董事会办理股权激励相关事宜的议案》。独立董事就本激励计划相关议案发表了同意的独立意见。同日，公司召开了第八届监事会第十次会议审议通过了《关于〈软控股份有限公司2023年限制性股票激励计划（草案）〉及其摘要的议案》《关于〈软控股份有限公司2023年限制性股票激励计划实施考核管理办法〉的议案》及《关于核查〈软控股份有限公司2023年限制性股票激励计划激励对象名单〉的议案》，监事会对本次激励计划的激励对象进行了核查，认为激励对象的主体资格合法、有效。</w:t>
      </w:r>
    </w:p>
    <w:p w:rsidR="008D4B2E" w:rsidRPr="00C067EE" w:rsidRDefault="008D4B2E">
      <w:pPr>
        <w:pStyle w:val="a3"/>
        <w:spacing w:before="0" w:beforeAutospacing="0" w:after="0" w:afterAutospacing="0"/>
        <w:ind w:firstLine="360"/>
        <w:jc w:val="both"/>
        <w:divId w:val="1296642429"/>
        <w:rPr>
          <w:rFonts w:cs="Times New Roman"/>
          <w:sz w:val="18"/>
          <w:szCs w:val="18"/>
        </w:rPr>
      </w:pPr>
      <w:r w:rsidRPr="00C067EE">
        <w:rPr>
          <w:rFonts w:cs="Times New Roman" w:hint="eastAsia"/>
          <w:sz w:val="18"/>
          <w:szCs w:val="18"/>
        </w:rPr>
        <w:t>2023年7月17日至2023年7月27日，公司对《软控股份有限公司2023年限制性股票激励计划激励对象名单》在公司内部进行了公示。公示期满，监事会未收到任何异议。公司于2023年8月11日披露了《软控股份有限公司第八届监事会第十一次会议决议公告》（公告编号：2023-042）《监事会关于2023年限制性股票激励计划激励对象名单的公示情况说明及核查意见的公告》（公告编号：2023-043）。</w:t>
      </w:r>
    </w:p>
    <w:p w:rsidR="008D4B2E" w:rsidRPr="00C067EE" w:rsidRDefault="008D4B2E">
      <w:pPr>
        <w:pStyle w:val="a3"/>
        <w:spacing w:before="0" w:beforeAutospacing="0" w:after="0" w:afterAutospacing="0"/>
        <w:ind w:firstLine="360"/>
        <w:jc w:val="both"/>
        <w:divId w:val="1296642429"/>
        <w:rPr>
          <w:rFonts w:cs="Times New Roman"/>
          <w:sz w:val="18"/>
          <w:szCs w:val="18"/>
        </w:rPr>
      </w:pPr>
      <w:r w:rsidRPr="00C067EE">
        <w:rPr>
          <w:rFonts w:cs="Times New Roman" w:hint="eastAsia"/>
          <w:sz w:val="18"/>
          <w:szCs w:val="18"/>
        </w:rPr>
        <w:t>2023年8月15日，公司召开2023年第一次临时股东大会，审议并通过了《关于〈软控股份有限公司2023年限制性股票激励计划（草案）〉及其摘要的议案》《关于〈软控股份有限公司2023年限制性股票激励计划实施考核管理办法〉的议案》《关于提请股东大会授权董事会办理股权激励相关事宜的议案》。公司就本激励计划内幕信息知情人及激励对象在本激励计划草案公开披露前6个月内买卖公司股票的情况进行了自查，并于2023年8月16日披露了《关于2023年限制性股票激励计划内幕信息知情人及激励对象买卖公司股票情况的自查报告》（公告编号：2023-046）。</w:t>
      </w:r>
    </w:p>
    <w:p w:rsidR="008D4B2E" w:rsidRPr="00C067EE" w:rsidRDefault="008D4B2E">
      <w:pPr>
        <w:pStyle w:val="a3"/>
        <w:spacing w:before="0" w:beforeAutospacing="0" w:after="0" w:afterAutospacing="0"/>
        <w:ind w:firstLine="360"/>
        <w:jc w:val="both"/>
        <w:divId w:val="1296642429"/>
        <w:rPr>
          <w:rFonts w:cs="Times New Roman"/>
          <w:sz w:val="18"/>
          <w:szCs w:val="18"/>
        </w:rPr>
      </w:pPr>
      <w:r w:rsidRPr="00C067EE">
        <w:rPr>
          <w:rFonts w:cs="Times New Roman" w:hint="eastAsia"/>
          <w:sz w:val="18"/>
          <w:szCs w:val="18"/>
        </w:rPr>
        <w:t>2023年8月28日，公司召开第八届董事会第十一次会议和第八届监事会第十三次会议，审议通过了《关于向激励对象授予限制性股票的议案》。根据公司2023年第一次临时股东大会的授权，董事会确定本激励计划的授予日为2023年8月</w:t>
      </w:r>
      <w:r w:rsidRPr="00C067EE">
        <w:rPr>
          <w:rFonts w:cs="Times New Roman" w:hint="eastAsia"/>
          <w:sz w:val="18"/>
          <w:szCs w:val="18"/>
        </w:rPr>
        <w:lastRenderedPageBreak/>
        <w:t>28日，向符合条件的51名激励对象授予3,750.00万股限制性股票，授予价格为4.00元/股。公司独立董事对此发表了独立意见，公司监事会对授予的激励对象名单及授予事项进行审核并发表了核查意见。</w:t>
      </w:r>
    </w:p>
    <w:p w:rsidR="008D4B2E" w:rsidRPr="00C067EE" w:rsidRDefault="008D4B2E">
      <w:pPr>
        <w:pStyle w:val="a3"/>
        <w:spacing w:before="0" w:beforeAutospacing="0" w:after="0" w:afterAutospacing="0"/>
        <w:ind w:firstLine="360"/>
        <w:jc w:val="both"/>
        <w:divId w:val="1296642429"/>
        <w:rPr>
          <w:rFonts w:cs="Times New Roman"/>
          <w:sz w:val="18"/>
          <w:szCs w:val="18"/>
        </w:rPr>
      </w:pPr>
      <w:r w:rsidRPr="00C067EE">
        <w:rPr>
          <w:rFonts w:cs="Times New Roman" w:hint="eastAsia"/>
          <w:sz w:val="18"/>
          <w:szCs w:val="18"/>
        </w:rPr>
        <w:t>2023年9月20日，公司召开第八届董事会第十二次会议和第八届监事会第十四次会议，审议通过了《关于公司2022年股票期权与限制性股票激励计划第一个行权期行权条件成就及调整行权价格的议案》《关于公司2022年股票期权与限制性股票激励计划第一个解除限售期解除限售条件成就的议案》，董事会认为本次激励计划第一个行权期行权条件及第一个解除限售期解除限售条件已经成就，本次符合行权条件的激励对象共248人，可行权的股票期权数量为947.20万份；本次符合解除限售条件的激励对象共244人，可解除限售的限制性股票数量为636.40万股。公司独立董事对相关事项发表了同意的独立意见,监事会对相关事项并发表了核查意见。</w:t>
      </w:r>
    </w:p>
    <w:p w:rsidR="008D4B2E" w:rsidRPr="00C067EE" w:rsidRDefault="008D4B2E">
      <w:pPr>
        <w:pStyle w:val="a3"/>
        <w:spacing w:before="0" w:beforeAutospacing="0" w:after="0" w:afterAutospacing="0"/>
        <w:ind w:firstLine="360"/>
        <w:jc w:val="both"/>
        <w:divId w:val="1296642429"/>
        <w:rPr>
          <w:rFonts w:cs="Times New Roman"/>
          <w:sz w:val="18"/>
          <w:szCs w:val="18"/>
        </w:rPr>
      </w:pPr>
      <w:r w:rsidRPr="00C067EE">
        <w:rPr>
          <w:rFonts w:cs="Times New Roman" w:hint="eastAsia"/>
          <w:sz w:val="18"/>
          <w:szCs w:val="18"/>
        </w:rPr>
        <w:t>2023年10月23日，公司召开第八届董事会第十三次会议和第八届监事会第十五次会议，审议通过了《关于公司2021年限制性股票激励计划第二个解除限售期解除限售条件成就的议案》，董事会认为公司2021年限制性股票激励计划第二个解除限售期解除限售条件已成就，本次符合解除限售条件的激励对象共20人，可解除限售的限制性股票数量为588.00万股。公司监事会对相关事项并发表了核查意见。</w:t>
      </w:r>
    </w:p>
    <w:p w:rsidR="008D4B2E" w:rsidRDefault="008D4B2E">
      <w:pPr>
        <w:pStyle w:val="a3"/>
        <w:spacing w:before="0" w:beforeAutospacing="0" w:after="0" w:afterAutospacing="0"/>
        <w:ind w:firstLine="360"/>
        <w:jc w:val="both"/>
        <w:divId w:val="1296642429"/>
        <w:rPr>
          <w:rFonts w:ascii="Calibri" w:hAnsi="Calibri" w:cs="Calibri"/>
          <w:sz w:val="21"/>
          <w:szCs w:val="21"/>
        </w:rPr>
      </w:pPr>
      <w:r w:rsidRPr="00C067EE">
        <w:rPr>
          <w:rFonts w:cs="Times New Roman" w:hint="eastAsia"/>
          <w:sz w:val="18"/>
          <w:szCs w:val="18"/>
        </w:rPr>
        <w:t>2023年12月13日，公司召开第八届董事会第十五次会议与第八届监事会第十六次会议审议通过了《关于注销部分股票期权和回购注销部分限制性股票的议案》，因公司2022年股票期权与限制性股票激励计划，有2名激励对象离职，同意对其</w:t>
      </w:r>
      <w:proofErr w:type="gramStart"/>
      <w:r w:rsidRPr="00C067EE">
        <w:rPr>
          <w:rFonts w:cs="Times New Roman" w:hint="eastAsia"/>
          <w:sz w:val="18"/>
          <w:szCs w:val="18"/>
        </w:rPr>
        <w:t>已获授但尚未</w:t>
      </w:r>
      <w:proofErr w:type="gramEnd"/>
      <w:r w:rsidRPr="00C067EE">
        <w:rPr>
          <w:rFonts w:cs="Times New Roman" w:hint="eastAsia"/>
          <w:sz w:val="18"/>
          <w:szCs w:val="18"/>
        </w:rPr>
        <w:t>解除限售的限制性股票合计151,200股予以回购注销，其</w:t>
      </w:r>
      <w:proofErr w:type="gramStart"/>
      <w:r w:rsidRPr="00C067EE">
        <w:rPr>
          <w:rFonts w:cs="Times New Roman" w:hint="eastAsia"/>
          <w:sz w:val="18"/>
          <w:szCs w:val="18"/>
        </w:rPr>
        <w:t>已获授但尚未</w:t>
      </w:r>
      <w:proofErr w:type="gramEnd"/>
      <w:r w:rsidRPr="00C067EE">
        <w:rPr>
          <w:rFonts w:cs="Times New Roman" w:hint="eastAsia"/>
          <w:sz w:val="18"/>
          <w:szCs w:val="18"/>
        </w:rPr>
        <w:t>行权的股票期权合计226,800份予以注销。公司独立董事对此发表了独立意见，公司监事会对上述议案发表了核查意见。</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公司董事、高级管理人员获得的股权激励情况</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BA0365" w:rsidRDefault="008D4B2E">
      <w:pPr>
        <w:spacing w:before="120" w:after="120" w:line="240" w:lineRule="exact"/>
        <w:jc w:val="right"/>
        <w:rPr>
          <w:rFonts w:ascii="宋体" w:eastAsia="宋体" w:hAnsi="宋体" w:cs="宋体"/>
          <w:sz w:val="18"/>
          <w:szCs w:val="18"/>
        </w:rPr>
      </w:pPr>
      <w:r>
        <w:rPr>
          <w:rFonts w:ascii="宋体" w:eastAsia="宋体" w:hAnsi="宋体" w:cs="宋体"/>
          <w:sz w:val="18"/>
          <w:szCs w:val="18"/>
        </w:rPr>
        <w:t>单位：股</w:t>
      </w:r>
    </w:p>
    <w:tbl>
      <w:tblPr>
        <w:tblW w:w="9639" w:type="dxa"/>
        <w:tblLayout w:type="fixed"/>
        <w:tblLook w:val="04A0" w:firstRow="1" w:lastRow="0" w:firstColumn="1" w:lastColumn="0" w:noHBand="0" w:noVBand="1"/>
      </w:tblPr>
      <w:tblGrid>
        <w:gridCol w:w="689"/>
        <w:gridCol w:w="689"/>
        <w:gridCol w:w="689"/>
        <w:gridCol w:w="689"/>
        <w:gridCol w:w="689"/>
        <w:gridCol w:w="689"/>
        <w:gridCol w:w="689"/>
        <w:gridCol w:w="688"/>
        <w:gridCol w:w="688"/>
        <w:gridCol w:w="688"/>
        <w:gridCol w:w="688"/>
        <w:gridCol w:w="688"/>
        <w:gridCol w:w="688"/>
        <w:gridCol w:w="688"/>
      </w:tblGrid>
      <w:tr w:rsidR="00157EA0">
        <w:trPr>
          <w:trHeight w:val="240"/>
        </w:trPr>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姓名</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职务</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年初持有股票期权数量</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报告期新授予股票期权数量</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报告期内可行权股数</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报告期内已行权股数</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报告期内已行权股数行权价格（元/股）</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期末持有股票期权数量</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报告期末市价（元/股）</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期初持有限制性股票数量</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本期已解锁股份数量</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报告期新授予限制性股票数量</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限制性股票的授予价格（元/股）</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期末持有限制性股票数量</w:t>
            </w:r>
          </w:p>
        </w:tc>
      </w:tr>
      <w:tr w:rsidR="00157EA0">
        <w:trPr>
          <w:trHeight w:val="240"/>
        </w:trPr>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官</w:t>
            </w:r>
            <w:proofErr w:type="gramStart"/>
            <w:r>
              <w:rPr>
                <w:rFonts w:ascii="宋体" w:eastAsia="宋体" w:hAnsi="宋体" w:cs="宋体"/>
                <w:sz w:val="18"/>
                <w:szCs w:val="18"/>
              </w:rPr>
              <w:t>炳</w:t>
            </w:r>
            <w:proofErr w:type="gramEnd"/>
            <w:r>
              <w:rPr>
                <w:rFonts w:ascii="宋体" w:eastAsia="宋体" w:hAnsi="宋体" w:cs="宋体"/>
                <w:sz w:val="18"/>
                <w:szCs w:val="18"/>
              </w:rPr>
              <w:t>政</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董事长、总裁</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1,200,000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480,000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1,200,000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6.57</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1,700,000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680,000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5,000,000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6,500,000</w:t>
            </w:r>
          </w:p>
        </w:tc>
      </w:tr>
      <w:tr w:rsidR="00157EA0">
        <w:trPr>
          <w:trHeight w:val="240"/>
        </w:trPr>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张垚</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董事、董事会秘书、财务总监</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300,000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120,000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300,000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6.57</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950,000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380,000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1,000,000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1,900,000</w:t>
            </w:r>
          </w:p>
        </w:tc>
      </w:tr>
      <w:tr w:rsidR="00157EA0">
        <w:trPr>
          <w:trHeight w:val="240"/>
        </w:trPr>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杨慧丽</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董事、副总裁</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300,000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120,000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300,000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6.57</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950,000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380,000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1,000,000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1,900,000</w:t>
            </w:r>
          </w:p>
        </w:tc>
      </w:tr>
      <w:tr w:rsidR="00157EA0">
        <w:trPr>
          <w:trHeight w:val="240"/>
        </w:trPr>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李云涛</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董事</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300,000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120,000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300,000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6.57</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200,000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80,000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1,000,000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1,150,000</w:t>
            </w:r>
          </w:p>
        </w:tc>
      </w:tr>
      <w:tr w:rsidR="00157EA0">
        <w:trPr>
          <w:trHeight w:val="240"/>
        </w:trPr>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向坤宏</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副总裁</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300,000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120,000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300,000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6.57</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200,000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80,000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150,000</w:t>
            </w:r>
          </w:p>
        </w:tc>
      </w:tr>
      <w:tr w:rsidR="00157EA0">
        <w:trPr>
          <w:trHeight w:val="240"/>
        </w:trPr>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刘峰</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副总裁</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300,000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120,000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300,000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6.57</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200,000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80,000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150,000</w:t>
            </w:r>
          </w:p>
        </w:tc>
      </w:tr>
      <w:tr w:rsidR="00157EA0">
        <w:trPr>
          <w:trHeight w:val="240"/>
        </w:trPr>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鲁丽娜</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副总裁</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300,000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120,000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300,000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6.57</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254,600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80,000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204,600</w:t>
            </w:r>
          </w:p>
        </w:tc>
      </w:tr>
      <w:tr w:rsidR="00157EA0">
        <w:trPr>
          <w:trHeight w:val="240"/>
        </w:trPr>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lastRenderedPageBreak/>
              <w:t>武守涛</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副总裁</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300,000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120,000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300,000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6.57</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200,000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80,000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150,000</w:t>
            </w:r>
          </w:p>
        </w:tc>
      </w:tr>
      <w:tr w:rsidR="00157EA0">
        <w:trPr>
          <w:trHeight w:val="240"/>
        </w:trPr>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王志明</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副总裁</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300,000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120,000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300,000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6.57</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200,000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80,000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150,000</w:t>
            </w:r>
          </w:p>
        </w:tc>
      </w:tr>
      <w:tr w:rsidR="00157EA0">
        <w:trPr>
          <w:trHeight w:val="240"/>
        </w:trPr>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3,600,000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1,440,000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3,600,000</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4,854,600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1,920,000</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8,000,000</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12,254,600</w:t>
            </w:r>
          </w:p>
        </w:tc>
      </w:tr>
      <w:tr w:rsidR="00157EA0">
        <w:trPr>
          <w:trHeight w:val="240"/>
        </w:trPr>
        <w:tc>
          <w:tcPr>
            <w:tcW w:w="1377"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备注（如有）</w:t>
            </w:r>
          </w:p>
        </w:tc>
        <w:tc>
          <w:tcPr>
            <w:tcW w:w="8262" w:type="dxa"/>
            <w:gridSpan w:val="12"/>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无</w:t>
            </w:r>
          </w:p>
        </w:tc>
      </w:tr>
    </w:tbl>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高级管理人员的考评机制及激励情况</w:t>
      </w:r>
    </w:p>
    <w:p w:rsidR="008D4B2E" w:rsidRDefault="008D4B2E">
      <w:pPr>
        <w:pStyle w:val="a3"/>
        <w:spacing w:before="0" w:beforeAutospacing="0" w:after="0" w:afterAutospacing="0"/>
        <w:ind w:firstLine="360"/>
        <w:divId w:val="754130122"/>
      </w:pPr>
      <w:r>
        <w:rPr>
          <w:rFonts w:hint="eastAsia"/>
          <w:sz w:val="18"/>
          <w:szCs w:val="18"/>
        </w:rPr>
        <w:t>公司建立了完善的人力资源管理体系，包括招聘、培训、薪酬福利和绩效评估体系等。公司高级管理人员的收入与工作业绩直接挂钩。在公司领取薪酬的董事、监事和高级管理人员的报酬，依据《公司管理干部绩效考核办法》及《员工绩效考核管理办法》予以确定。薪酬与考核委员会负责对高级管理人员的工作能力、履职情况、责任目标完成情况进行考评，制定薪酬方案，并报公司董事会审议。</w:t>
      </w:r>
    </w:p>
    <w:p w:rsidR="008D4B2E" w:rsidRDefault="008D4B2E">
      <w:pPr>
        <w:pStyle w:val="a3"/>
        <w:spacing w:before="0" w:beforeAutospacing="0" w:after="0" w:afterAutospacing="0"/>
        <w:ind w:firstLine="360"/>
        <w:divId w:val="754130122"/>
      </w:pPr>
      <w:r>
        <w:rPr>
          <w:rFonts w:ascii="Times New Roman" w:hAnsi="Times New Roman" w:cs="Times New Roman"/>
          <w:sz w:val="18"/>
          <w:szCs w:val="18"/>
        </w:rPr>
        <w:t>2023</w:t>
      </w:r>
      <w:r>
        <w:rPr>
          <w:rFonts w:hint="eastAsia"/>
          <w:sz w:val="18"/>
          <w:szCs w:val="18"/>
        </w:rPr>
        <w:t>年公司高级管理人员能够严格按照《公司法》《公司章程》及国家有关法律法规认真履行职责，积极落实公司股东大会和董事会相关决议，认真履行工作职责。公司各项考评及激励机制执行情况良好，发挥了应有的激励和约束作用。</w:t>
      </w:r>
    </w:p>
    <w:p w:rsidR="00BA0365" w:rsidRDefault="008D4B2E">
      <w:pPr>
        <w:pStyle w:val="3"/>
        <w:spacing w:line="280" w:lineRule="exact"/>
        <w:jc w:val="left"/>
        <w:rPr>
          <w:rFonts w:ascii="宋体" w:hAnsi="宋体" w:cs="宋体"/>
          <w:b/>
          <w:bCs/>
        </w:rPr>
      </w:pPr>
      <w:bookmarkStart w:id="81" w:name="_Toc988970"/>
      <w:r>
        <w:rPr>
          <w:rFonts w:ascii="宋体" w:hAnsi="宋体" w:cs="宋体"/>
          <w:b/>
          <w:bCs/>
        </w:rPr>
        <w:t>2、员工持股计划的实施情况</w:t>
      </w:r>
      <w:bookmarkEnd w:id="81"/>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报告期内全部有效的员工持股计划情况</w:t>
      </w:r>
    </w:p>
    <w:tbl>
      <w:tblPr>
        <w:tblW w:w="9639" w:type="dxa"/>
        <w:tblLayout w:type="fixed"/>
        <w:tblLook w:val="04A0" w:firstRow="1" w:lastRow="0" w:firstColumn="1" w:lastColumn="0" w:noHBand="0" w:noVBand="1"/>
      </w:tblPr>
      <w:tblGrid>
        <w:gridCol w:w="1606"/>
        <w:gridCol w:w="629"/>
        <w:gridCol w:w="1134"/>
        <w:gridCol w:w="3685"/>
        <w:gridCol w:w="1418"/>
        <w:gridCol w:w="1167"/>
      </w:tblGrid>
      <w:tr w:rsidR="00157EA0" w:rsidTr="00C067EE">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员工的范围</w:t>
            </w:r>
          </w:p>
        </w:tc>
        <w:tc>
          <w:tcPr>
            <w:tcW w:w="62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员工人数</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持有的股票总数（股）</w:t>
            </w:r>
          </w:p>
        </w:tc>
        <w:tc>
          <w:tcPr>
            <w:tcW w:w="368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变更情况</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占上市公司股本总额的比例</w:t>
            </w:r>
          </w:p>
        </w:tc>
        <w:tc>
          <w:tcPr>
            <w:tcW w:w="116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实施计划的资金来源</w:t>
            </w:r>
          </w:p>
        </w:tc>
      </w:tr>
      <w:tr w:rsidR="00157EA0" w:rsidTr="00C067EE">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经董事会认定对公司发展有贡献的公司（含控股子公司）的董事、监事、高级管理人员、公司中高层管理人员、公司核心技术及其他员工</w:t>
            </w:r>
          </w:p>
        </w:tc>
        <w:tc>
          <w:tcPr>
            <w:tcW w:w="62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98</w:t>
            </w:r>
          </w:p>
        </w:tc>
        <w:tc>
          <w:tcPr>
            <w:tcW w:w="11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27,360,900</w:t>
            </w:r>
          </w:p>
        </w:tc>
        <w:tc>
          <w:tcPr>
            <w:tcW w:w="368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2020年4月17日召开第七届董事会第七次会议、第七届监事会第六次会议，审议通过了《关于修订2019年员工持股计划公司业绩考核指标的议案》，同意修订2019年员工持股计划公司业绩考核指标。并相应的修订了《员工持股计划草案》及《员工持股计划管理办法》。相关公告详见2020年4月21日的巨潮资讯网（http://www.cninfo.com.cn）及指定信息披露媒体。</w:t>
            </w:r>
          </w:p>
        </w:tc>
        <w:tc>
          <w:tcPr>
            <w:tcW w:w="14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2.70%</w:t>
            </w:r>
          </w:p>
        </w:tc>
        <w:tc>
          <w:tcPr>
            <w:tcW w:w="116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员工的合法薪酬、自筹资金等</w:t>
            </w:r>
          </w:p>
        </w:tc>
      </w:tr>
    </w:tbl>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报告期内董事、监事、高级管理人员在员工持股计划中的持股情况</w:t>
      </w:r>
    </w:p>
    <w:tbl>
      <w:tblPr>
        <w:tblW w:w="9639" w:type="dxa"/>
        <w:tblLayout w:type="fixed"/>
        <w:tblLook w:val="04A0" w:firstRow="1" w:lastRow="0" w:firstColumn="1" w:lastColumn="0" w:noHBand="0" w:noVBand="1"/>
      </w:tblPr>
      <w:tblGrid>
        <w:gridCol w:w="1101"/>
        <w:gridCol w:w="2754"/>
        <w:gridCol w:w="1928"/>
        <w:gridCol w:w="1928"/>
        <w:gridCol w:w="1928"/>
      </w:tblGrid>
      <w:tr w:rsidR="00157EA0" w:rsidTr="00280776">
        <w:trPr>
          <w:trHeight w:val="240"/>
        </w:trPr>
        <w:tc>
          <w:tcPr>
            <w:tcW w:w="110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姓名</w:t>
            </w:r>
          </w:p>
        </w:tc>
        <w:tc>
          <w:tcPr>
            <w:tcW w:w="2754"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职务</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报告期初持股数（股）</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报告期末持股数（股）</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占上市公司股本总额的比例</w:t>
            </w:r>
          </w:p>
        </w:tc>
      </w:tr>
      <w:tr w:rsidR="00157EA0" w:rsidTr="00280776">
        <w:trPr>
          <w:trHeight w:val="240"/>
        </w:trPr>
        <w:tc>
          <w:tcPr>
            <w:tcW w:w="11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何宁</w:t>
            </w:r>
          </w:p>
        </w:tc>
        <w:tc>
          <w:tcPr>
            <w:tcW w:w="275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高级顾问</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300,000</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57EA0" w:rsidTr="00280776">
        <w:trPr>
          <w:trHeight w:val="240"/>
        </w:trPr>
        <w:tc>
          <w:tcPr>
            <w:tcW w:w="11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官</w:t>
            </w:r>
            <w:proofErr w:type="gramStart"/>
            <w:r>
              <w:rPr>
                <w:rFonts w:ascii="宋体" w:eastAsia="宋体" w:hAnsi="宋体" w:cs="宋体"/>
                <w:sz w:val="18"/>
                <w:szCs w:val="18"/>
              </w:rPr>
              <w:t>炳</w:t>
            </w:r>
            <w:proofErr w:type="gramEnd"/>
            <w:r>
              <w:rPr>
                <w:rFonts w:ascii="宋体" w:eastAsia="宋体" w:hAnsi="宋体" w:cs="宋体"/>
                <w:sz w:val="18"/>
                <w:szCs w:val="18"/>
              </w:rPr>
              <w:t>政</w:t>
            </w:r>
          </w:p>
        </w:tc>
        <w:tc>
          <w:tcPr>
            <w:tcW w:w="275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董事长、总裁</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300,000</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57EA0" w:rsidTr="00280776">
        <w:trPr>
          <w:trHeight w:val="240"/>
        </w:trPr>
        <w:tc>
          <w:tcPr>
            <w:tcW w:w="11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张垚</w:t>
            </w:r>
          </w:p>
        </w:tc>
        <w:tc>
          <w:tcPr>
            <w:tcW w:w="275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董事、董事会秘书、财务总监</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54,000</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57EA0" w:rsidTr="00280776">
        <w:trPr>
          <w:trHeight w:val="240"/>
        </w:trPr>
        <w:tc>
          <w:tcPr>
            <w:tcW w:w="11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刘峰</w:t>
            </w:r>
          </w:p>
        </w:tc>
        <w:tc>
          <w:tcPr>
            <w:tcW w:w="275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副总裁</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300,000</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57EA0" w:rsidTr="00280776">
        <w:trPr>
          <w:trHeight w:val="240"/>
        </w:trPr>
        <w:tc>
          <w:tcPr>
            <w:tcW w:w="11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向坤宏</w:t>
            </w:r>
          </w:p>
        </w:tc>
        <w:tc>
          <w:tcPr>
            <w:tcW w:w="275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副总裁</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300,000</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57EA0" w:rsidTr="00280776">
        <w:trPr>
          <w:trHeight w:val="240"/>
        </w:trPr>
        <w:tc>
          <w:tcPr>
            <w:tcW w:w="11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鲁丽娜</w:t>
            </w:r>
          </w:p>
        </w:tc>
        <w:tc>
          <w:tcPr>
            <w:tcW w:w="275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副总裁</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300,000</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57EA0" w:rsidTr="00280776">
        <w:trPr>
          <w:trHeight w:val="240"/>
        </w:trPr>
        <w:tc>
          <w:tcPr>
            <w:tcW w:w="11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周丹丹</w:t>
            </w:r>
          </w:p>
        </w:tc>
        <w:tc>
          <w:tcPr>
            <w:tcW w:w="275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监事</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30,000</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r>
    </w:tbl>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报告期内资产管理机构的变更情况</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报告期内因持有人处置份额等引起的权益变动情况</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D4B2E" w:rsidRPr="007370FD" w:rsidRDefault="008D4B2E" w:rsidP="007370FD">
      <w:pPr>
        <w:spacing w:before="100" w:after="100" w:line="240" w:lineRule="exact"/>
        <w:rPr>
          <w:rFonts w:ascii="宋体" w:eastAsia="宋体" w:hAnsi="宋体" w:cs="宋体"/>
          <w:sz w:val="18"/>
          <w:szCs w:val="18"/>
        </w:rPr>
      </w:pPr>
      <w:r>
        <w:rPr>
          <w:rFonts w:ascii="宋体" w:eastAsia="宋体" w:hAnsi="宋体" w:cs="宋体"/>
          <w:sz w:val="18"/>
          <w:szCs w:val="18"/>
        </w:rPr>
        <w:t>报告期</w:t>
      </w:r>
      <w:proofErr w:type="gramStart"/>
      <w:r>
        <w:rPr>
          <w:rFonts w:ascii="宋体" w:eastAsia="宋体" w:hAnsi="宋体" w:cs="宋体"/>
          <w:sz w:val="18"/>
          <w:szCs w:val="18"/>
        </w:rPr>
        <w:t>内股东</w:t>
      </w:r>
      <w:proofErr w:type="gramEnd"/>
      <w:r>
        <w:rPr>
          <w:rFonts w:ascii="宋体" w:eastAsia="宋体" w:hAnsi="宋体" w:cs="宋体"/>
          <w:sz w:val="18"/>
          <w:szCs w:val="18"/>
        </w:rPr>
        <w:t>权利行使的情况</w:t>
      </w:r>
      <w:r w:rsidR="007370FD">
        <w:rPr>
          <w:rFonts w:ascii="宋体" w:eastAsia="宋体" w:hAnsi="宋体" w:cs="宋体"/>
          <w:sz w:val="18"/>
          <w:szCs w:val="18"/>
        </w:rPr>
        <w:t>：无</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报告期内员工持股计划的其他相关情形及说明</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员工持股计划管理委员会成员发生变化</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员工持股计划对报告</w:t>
      </w:r>
      <w:proofErr w:type="gramStart"/>
      <w:r>
        <w:rPr>
          <w:rFonts w:ascii="宋体" w:eastAsia="宋体" w:hAnsi="宋体" w:cs="宋体"/>
          <w:sz w:val="18"/>
          <w:szCs w:val="18"/>
        </w:rPr>
        <w:t>期上市</w:t>
      </w:r>
      <w:proofErr w:type="gramEnd"/>
      <w:r>
        <w:rPr>
          <w:rFonts w:ascii="宋体" w:eastAsia="宋体" w:hAnsi="宋体" w:cs="宋体"/>
          <w:sz w:val="18"/>
          <w:szCs w:val="18"/>
        </w:rPr>
        <w:t>公司的财务影响及相关会计处理</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报告期内员工持股计划终止的情况</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rsidR="008D4B2E" w:rsidRDefault="008D4B2E">
      <w:pPr>
        <w:pStyle w:val="a3"/>
        <w:spacing w:before="0" w:beforeAutospacing="0" w:after="0" w:afterAutospacing="0"/>
        <w:ind w:firstLine="360"/>
        <w:divId w:val="1575316270"/>
      </w:pPr>
      <w:r>
        <w:rPr>
          <w:rFonts w:ascii="Times New Roman" w:hAnsi="Times New Roman" w:cs="Times New Roman"/>
          <w:sz w:val="18"/>
          <w:szCs w:val="18"/>
        </w:rPr>
        <w:t>2023</w:t>
      </w:r>
      <w:r>
        <w:rPr>
          <w:rFonts w:hint="eastAsia"/>
          <w:sz w:val="18"/>
          <w:szCs w:val="18"/>
        </w:rPr>
        <w:t>年</w:t>
      </w:r>
      <w:r>
        <w:rPr>
          <w:rFonts w:ascii="Times New Roman" w:hAnsi="Times New Roman" w:cs="Times New Roman"/>
          <w:sz w:val="18"/>
          <w:szCs w:val="18"/>
        </w:rPr>
        <w:t>1</w:t>
      </w:r>
      <w:r>
        <w:rPr>
          <w:rFonts w:hint="eastAsia"/>
          <w:sz w:val="18"/>
          <w:szCs w:val="18"/>
        </w:rPr>
        <w:t>月</w:t>
      </w:r>
      <w:r>
        <w:rPr>
          <w:rFonts w:ascii="Times New Roman" w:hAnsi="Times New Roman" w:cs="Times New Roman"/>
          <w:sz w:val="18"/>
          <w:szCs w:val="18"/>
        </w:rPr>
        <w:t>20</w:t>
      </w:r>
      <w:r>
        <w:rPr>
          <w:rFonts w:hint="eastAsia"/>
          <w:sz w:val="18"/>
          <w:szCs w:val="18"/>
        </w:rPr>
        <w:t>日，公司</w:t>
      </w:r>
      <w:r>
        <w:rPr>
          <w:rFonts w:ascii="Times New Roman" w:hAnsi="Times New Roman" w:cs="Times New Roman"/>
          <w:sz w:val="18"/>
          <w:szCs w:val="18"/>
        </w:rPr>
        <w:t>2019</w:t>
      </w:r>
      <w:r>
        <w:rPr>
          <w:rFonts w:hint="eastAsia"/>
          <w:sz w:val="18"/>
          <w:szCs w:val="18"/>
        </w:rPr>
        <w:t>年员工持股计划第三个锁定期届满，第三批锁定期解锁数量为8,208,270股</w:t>
      </w:r>
      <w:r>
        <w:rPr>
          <w:rFonts w:ascii="Times New Roman" w:hAnsi="Times New Roman" w:cs="Times New Roman"/>
          <w:sz w:val="18"/>
          <w:szCs w:val="18"/>
        </w:rPr>
        <w:t>,</w:t>
      </w:r>
      <w:r>
        <w:rPr>
          <w:rFonts w:hint="eastAsia"/>
          <w:sz w:val="18"/>
          <w:szCs w:val="18"/>
        </w:rPr>
        <w:t>占公司目前总股本的0.81</w:t>
      </w:r>
      <w:r>
        <w:rPr>
          <w:rFonts w:ascii="Times New Roman" w:hAnsi="Times New Roman" w:cs="Times New Roman"/>
          <w:sz w:val="18"/>
          <w:szCs w:val="18"/>
        </w:rPr>
        <w:t>%</w:t>
      </w:r>
      <w:r>
        <w:rPr>
          <w:rFonts w:hint="eastAsia"/>
          <w:sz w:val="18"/>
          <w:szCs w:val="18"/>
        </w:rPr>
        <w:t>。相关公告详见</w:t>
      </w:r>
      <w:r>
        <w:rPr>
          <w:rFonts w:ascii="Times New Roman" w:hAnsi="Times New Roman" w:cs="Times New Roman"/>
          <w:sz w:val="18"/>
          <w:szCs w:val="18"/>
        </w:rPr>
        <w:t>2023</w:t>
      </w:r>
      <w:r>
        <w:rPr>
          <w:rFonts w:hint="eastAsia"/>
          <w:sz w:val="18"/>
          <w:szCs w:val="18"/>
        </w:rPr>
        <w:t>年</w:t>
      </w:r>
      <w:r>
        <w:rPr>
          <w:rFonts w:ascii="Times New Roman" w:hAnsi="Times New Roman" w:cs="Times New Roman"/>
          <w:sz w:val="18"/>
          <w:szCs w:val="18"/>
        </w:rPr>
        <w:t>1</w:t>
      </w:r>
      <w:r>
        <w:rPr>
          <w:rFonts w:hint="eastAsia"/>
          <w:sz w:val="18"/>
          <w:szCs w:val="18"/>
        </w:rPr>
        <w:t>月</w:t>
      </w:r>
      <w:r>
        <w:rPr>
          <w:rFonts w:ascii="Times New Roman" w:hAnsi="Times New Roman" w:cs="Times New Roman"/>
          <w:sz w:val="18"/>
          <w:szCs w:val="18"/>
        </w:rPr>
        <w:t>19</w:t>
      </w:r>
      <w:r>
        <w:rPr>
          <w:rFonts w:hint="eastAsia"/>
          <w:sz w:val="18"/>
          <w:szCs w:val="18"/>
        </w:rPr>
        <w:t>日的巨潮资讯网（</w:t>
      </w:r>
      <w:r>
        <w:rPr>
          <w:rFonts w:ascii="Times New Roman" w:hAnsi="Times New Roman" w:cs="Times New Roman"/>
          <w:sz w:val="18"/>
          <w:szCs w:val="18"/>
        </w:rPr>
        <w:t>http://www.cninfo.com.cn</w:t>
      </w:r>
      <w:r>
        <w:rPr>
          <w:rFonts w:hint="eastAsia"/>
          <w:sz w:val="18"/>
          <w:szCs w:val="18"/>
        </w:rPr>
        <w:t>）及《证券时报》《中国证券报》《上海证券报》《证券日报》。</w:t>
      </w:r>
    </w:p>
    <w:p w:rsidR="00BA0365" w:rsidRDefault="008D4B2E">
      <w:pPr>
        <w:pStyle w:val="3"/>
        <w:spacing w:line="280" w:lineRule="exact"/>
        <w:jc w:val="left"/>
        <w:rPr>
          <w:rFonts w:ascii="宋体" w:hAnsi="宋体" w:cs="宋体"/>
          <w:b/>
          <w:bCs/>
        </w:rPr>
      </w:pPr>
      <w:bookmarkStart w:id="82" w:name="_Toc988971"/>
      <w:r>
        <w:rPr>
          <w:rFonts w:ascii="宋体" w:hAnsi="宋体" w:cs="宋体"/>
          <w:b/>
          <w:bCs/>
        </w:rPr>
        <w:t>3、其他员工激励措施</w:t>
      </w:r>
      <w:bookmarkEnd w:id="82"/>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pStyle w:val="2"/>
        <w:spacing w:before="300" w:after="300" w:line="320" w:lineRule="exact"/>
        <w:rPr>
          <w:rFonts w:ascii="宋体" w:eastAsia="宋体" w:hAnsi="宋体" w:cs="宋体"/>
          <w:b/>
          <w:bCs/>
          <w:sz w:val="24"/>
          <w:szCs w:val="24"/>
        </w:rPr>
      </w:pPr>
      <w:bookmarkStart w:id="83" w:name="_Toc988972"/>
      <w:r>
        <w:rPr>
          <w:rFonts w:ascii="宋体" w:eastAsia="宋体" w:hAnsi="宋体" w:cs="宋体"/>
          <w:b/>
          <w:bCs/>
          <w:sz w:val="24"/>
          <w:szCs w:val="24"/>
        </w:rPr>
        <w:t>十二、报告期内的内部控制制度建设及实施情况</w:t>
      </w:r>
      <w:bookmarkEnd w:id="83"/>
    </w:p>
    <w:p w:rsidR="00BA0365" w:rsidRDefault="008D4B2E">
      <w:pPr>
        <w:pStyle w:val="3"/>
        <w:spacing w:line="280" w:lineRule="exact"/>
        <w:jc w:val="left"/>
        <w:rPr>
          <w:rFonts w:ascii="宋体" w:hAnsi="宋体" w:cs="宋体"/>
          <w:b/>
          <w:bCs/>
        </w:rPr>
      </w:pPr>
      <w:bookmarkStart w:id="84" w:name="_Toc988973"/>
      <w:r>
        <w:rPr>
          <w:rFonts w:ascii="宋体" w:hAnsi="宋体" w:cs="宋体"/>
          <w:b/>
          <w:bCs/>
        </w:rPr>
        <w:t>1、内部控制建设及实施情况</w:t>
      </w:r>
      <w:bookmarkEnd w:id="84"/>
    </w:p>
    <w:p w:rsidR="008D4B2E" w:rsidRDefault="008D4B2E">
      <w:pPr>
        <w:pStyle w:val="a3"/>
        <w:spacing w:before="0" w:beforeAutospacing="0" w:after="0" w:afterAutospacing="0"/>
        <w:ind w:firstLine="360"/>
        <w:divId w:val="1726753617"/>
      </w:pPr>
      <w:r>
        <w:rPr>
          <w:rFonts w:hint="eastAsia"/>
          <w:sz w:val="18"/>
          <w:szCs w:val="18"/>
        </w:rPr>
        <w:t>公司根据《公司法》《证券法》《企业内部控制基本规范》《深圳证券交易所股票上市规则》等法律、法规，建立健全和有效实施内部控制，合理保证了经营管理合法合</w:t>
      </w:r>
      <w:proofErr w:type="gramStart"/>
      <w:r>
        <w:rPr>
          <w:rFonts w:hint="eastAsia"/>
          <w:sz w:val="18"/>
          <w:szCs w:val="18"/>
        </w:rPr>
        <w:t>规</w:t>
      </w:r>
      <w:proofErr w:type="gramEnd"/>
      <w:r>
        <w:rPr>
          <w:rFonts w:hint="eastAsia"/>
          <w:sz w:val="18"/>
          <w:szCs w:val="18"/>
        </w:rPr>
        <w:t>、资产安全、财务报告及相关信息真实完整，提高经营效率和效果。公司及时修订、补充和完善日常经营管理规定，内控运行机制有效，达到了内部控制预期目标，保障了公司及全体股东的利益，为公司健康、快速的发展奠定了良好的制度基础。公司《</w:t>
      </w:r>
      <w:r>
        <w:rPr>
          <w:rFonts w:ascii="Times New Roman" w:hAnsi="Times New Roman" w:cs="Times New Roman"/>
          <w:sz w:val="18"/>
          <w:szCs w:val="18"/>
        </w:rPr>
        <w:t>2023</w:t>
      </w:r>
      <w:r>
        <w:rPr>
          <w:rFonts w:hint="eastAsia"/>
          <w:sz w:val="18"/>
          <w:szCs w:val="18"/>
        </w:rPr>
        <w:t>年度内部控制自我评价报告》全面、真实、准确地反映了公司内部控制的实际情况，报告期公司不存在内部控制重大缺陷和重要缺陷。</w:t>
      </w:r>
    </w:p>
    <w:p w:rsidR="00BA0365" w:rsidRDefault="008D4B2E">
      <w:pPr>
        <w:pStyle w:val="3"/>
        <w:spacing w:line="280" w:lineRule="exact"/>
        <w:jc w:val="left"/>
        <w:rPr>
          <w:rFonts w:ascii="宋体" w:hAnsi="宋体" w:cs="宋体"/>
          <w:b/>
          <w:bCs/>
        </w:rPr>
      </w:pPr>
      <w:bookmarkStart w:id="85" w:name="_Toc988974"/>
      <w:r>
        <w:rPr>
          <w:rFonts w:ascii="宋体" w:hAnsi="宋体" w:cs="宋体"/>
          <w:b/>
          <w:bCs/>
        </w:rPr>
        <w:t>2、报告期内发现的内部控制重大缺陷的具体情况</w:t>
      </w:r>
      <w:bookmarkEnd w:id="85"/>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BA0365" w:rsidRDefault="008D4B2E">
      <w:pPr>
        <w:pStyle w:val="2"/>
        <w:spacing w:before="300" w:after="300" w:line="320" w:lineRule="exact"/>
        <w:rPr>
          <w:rFonts w:ascii="宋体" w:eastAsia="宋体" w:hAnsi="宋体" w:cs="宋体"/>
          <w:b/>
          <w:bCs/>
          <w:sz w:val="24"/>
          <w:szCs w:val="24"/>
        </w:rPr>
      </w:pPr>
      <w:bookmarkStart w:id="86" w:name="_Toc988975"/>
      <w:r>
        <w:rPr>
          <w:rFonts w:ascii="宋体" w:eastAsia="宋体" w:hAnsi="宋体" w:cs="宋体"/>
          <w:b/>
          <w:bCs/>
          <w:sz w:val="24"/>
          <w:szCs w:val="24"/>
        </w:rPr>
        <w:t>十三、公司报告期内对子公司的管理控制情况</w:t>
      </w:r>
      <w:bookmarkEnd w:id="86"/>
    </w:p>
    <w:p w:rsidR="00280776" w:rsidRPr="00280776" w:rsidRDefault="00280776" w:rsidP="00280776">
      <w:pPr>
        <w:spacing w:before="100" w:after="100" w:line="240" w:lineRule="exact"/>
        <w:rPr>
          <w:rFonts w:ascii="宋体" w:eastAsia="宋体" w:hAnsi="宋体" w:cs="宋体"/>
          <w:sz w:val="18"/>
          <w:szCs w:val="18"/>
        </w:rPr>
      </w:pPr>
      <w:r>
        <w:rPr>
          <w:rFonts w:ascii="宋体" w:eastAsia="宋体" w:hAnsi="宋体" w:cs="宋体" w:hint="eastAsia"/>
          <w:sz w:val="18"/>
          <w:szCs w:val="18"/>
        </w:rPr>
        <w:t>不适用</w:t>
      </w:r>
    </w:p>
    <w:p w:rsidR="00BA0365" w:rsidRDefault="008D4B2E">
      <w:pPr>
        <w:pStyle w:val="2"/>
        <w:spacing w:before="300" w:after="300" w:line="320" w:lineRule="exact"/>
        <w:rPr>
          <w:rFonts w:ascii="宋体" w:eastAsia="宋体" w:hAnsi="宋体" w:cs="宋体"/>
          <w:b/>
          <w:bCs/>
          <w:sz w:val="24"/>
          <w:szCs w:val="24"/>
        </w:rPr>
      </w:pPr>
      <w:bookmarkStart w:id="87" w:name="_Toc988976"/>
      <w:r>
        <w:rPr>
          <w:rFonts w:ascii="宋体" w:eastAsia="宋体" w:hAnsi="宋体" w:cs="宋体"/>
          <w:b/>
          <w:bCs/>
          <w:sz w:val="24"/>
          <w:szCs w:val="24"/>
        </w:rPr>
        <w:t>十四、内部控制评价报告或内部控制审计报告</w:t>
      </w:r>
      <w:bookmarkEnd w:id="87"/>
    </w:p>
    <w:p w:rsidR="00BA0365" w:rsidRDefault="008D4B2E">
      <w:pPr>
        <w:pStyle w:val="3"/>
        <w:spacing w:line="280" w:lineRule="exact"/>
        <w:jc w:val="left"/>
        <w:rPr>
          <w:rFonts w:ascii="宋体" w:hAnsi="宋体" w:cs="宋体"/>
          <w:b/>
          <w:bCs/>
        </w:rPr>
      </w:pPr>
      <w:bookmarkStart w:id="88" w:name="_Toc988977"/>
      <w:r>
        <w:rPr>
          <w:rFonts w:ascii="宋体" w:hAnsi="宋体" w:cs="宋体"/>
          <w:b/>
          <w:bCs/>
        </w:rPr>
        <w:t>1、内控评价报告</w:t>
      </w:r>
      <w:bookmarkEnd w:id="88"/>
    </w:p>
    <w:tbl>
      <w:tblPr>
        <w:tblW w:w="9639" w:type="dxa"/>
        <w:tblLayout w:type="fixed"/>
        <w:tblLook w:val="04A0" w:firstRow="1" w:lastRow="0" w:firstColumn="1" w:lastColumn="0" w:noHBand="0" w:noVBand="1"/>
      </w:tblPr>
      <w:tblGrid>
        <w:gridCol w:w="2691"/>
        <w:gridCol w:w="4110"/>
        <w:gridCol w:w="2838"/>
      </w:tblGrid>
      <w:tr w:rsidR="00157EA0" w:rsidTr="007370FD">
        <w:trPr>
          <w:trHeight w:val="240"/>
        </w:trPr>
        <w:tc>
          <w:tcPr>
            <w:tcW w:w="269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内部控制评价报告全文披露日期</w:t>
            </w:r>
          </w:p>
        </w:tc>
        <w:tc>
          <w:tcPr>
            <w:tcW w:w="6948" w:type="dxa"/>
            <w:gridSpan w:val="2"/>
            <w:tcBorders>
              <w:top w:val="single" w:sz="2" w:space="0" w:color="auto"/>
              <w:left w:val="single" w:sz="2" w:space="0" w:color="auto"/>
              <w:bottom w:val="single" w:sz="2" w:space="0" w:color="auto"/>
              <w:right w:val="single" w:sz="2" w:space="0" w:color="auto"/>
            </w:tcBorders>
            <w:vAlign w:val="center"/>
          </w:tcPr>
          <w:p w:rsidR="00BA0365" w:rsidRDefault="008D4B2E" w:rsidP="00C067EE">
            <w:pPr>
              <w:spacing w:line="240" w:lineRule="exact"/>
              <w:jc w:val="right"/>
              <w:rPr>
                <w:rFonts w:ascii="宋体" w:eastAsia="宋体" w:hAnsi="宋体" w:cs="宋体"/>
                <w:sz w:val="18"/>
                <w:szCs w:val="18"/>
              </w:rPr>
            </w:pPr>
            <w:r>
              <w:rPr>
                <w:rFonts w:ascii="宋体" w:eastAsia="宋体" w:hAnsi="宋体" w:cs="宋体"/>
                <w:sz w:val="18"/>
                <w:szCs w:val="18"/>
              </w:rPr>
              <w:t>2024年04月03日</w:t>
            </w:r>
          </w:p>
        </w:tc>
      </w:tr>
      <w:tr w:rsidR="00157EA0" w:rsidTr="007370FD">
        <w:trPr>
          <w:trHeight w:val="240"/>
        </w:trPr>
        <w:tc>
          <w:tcPr>
            <w:tcW w:w="269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内部控制评价报告全文披露索引</w:t>
            </w:r>
          </w:p>
        </w:tc>
        <w:tc>
          <w:tcPr>
            <w:tcW w:w="6948" w:type="dxa"/>
            <w:gridSpan w:val="2"/>
            <w:tcBorders>
              <w:top w:val="single" w:sz="2" w:space="0" w:color="auto"/>
              <w:left w:val="single" w:sz="2" w:space="0" w:color="auto"/>
              <w:bottom w:val="single" w:sz="2" w:space="0" w:color="auto"/>
              <w:right w:val="single" w:sz="2" w:space="0" w:color="auto"/>
            </w:tcBorders>
            <w:vAlign w:val="center"/>
          </w:tcPr>
          <w:p w:rsidR="00BA0365" w:rsidRDefault="008D4B2E" w:rsidP="00C067EE">
            <w:pPr>
              <w:spacing w:line="240" w:lineRule="exact"/>
              <w:jc w:val="right"/>
              <w:rPr>
                <w:rFonts w:ascii="宋体" w:eastAsia="宋体" w:hAnsi="宋体" w:cs="宋体"/>
                <w:sz w:val="18"/>
                <w:szCs w:val="18"/>
              </w:rPr>
            </w:pPr>
            <w:r>
              <w:rPr>
                <w:rFonts w:ascii="宋体" w:eastAsia="宋体" w:hAnsi="宋体" w:cs="宋体"/>
                <w:sz w:val="18"/>
                <w:szCs w:val="18"/>
              </w:rPr>
              <w:t>《2023年度内部控制自我评价报告》详见"巨潮资讯网"（www.cninfo.com.cn）</w:t>
            </w:r>
          </w:p>
        </w:tc>
      </w:tr>
      <w:tr w:rsidR="00157EA0" w:rsidTr="007370FD">
        <w:trPr>
          <w:trHeight w:val="240"/>
        </w:trPr>
        <w:tc>
          <w:tcPr>
            <w:tcW w:w="269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纳入评价范围单位资产总额占公司合并财务报表资产总额的比例</w:t>
            </w:r>
          </w:p>
        </w:tc>
        <w:tc>
          <w:tcPr>
            <w:tcW w:w="6948" w:type="dxa"/>
            <w:gridSpan w:val="2"/>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w:t>
            </w:r>
          </w:p>
        </w:tc>
      </w:tr>
      <w:tr w:rsidR="00157EA0" w:rsidTr="007370FD">
        <w:trPr>
          <w:trHeight w:val="240"/>
        </w:trPr>
        <w:tc>
          <w:tcPr>
            <w:tcW w:w="269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纳入评价范围单位营业收入占公司合并财务报表营业收入的</w:t>
            </w:r>
            <w:r>
              <w:rPr>
                <w:rFonts w:ascii="宋体" w:eastAsia="宋体" w:hAnsi="宋体" w:cs="宋体"/>
                <w:sz w:val="18"/>
                <w:szCs w:val="18"/>
              </w:rPr>
              <w:lastRenderedPageBreak/>
              <w:t>比例</w:t>
            </w:r>
          </w:p>
        </w:tc>
        <w:tc>
          <w:tcPr>
            <w:tcW w:w="6948" w:type="dxa"/>
            <w:gridSpan w:val="2"/>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lastRenderedPageBreak/>
              <w:t>100.00%</w:t>
            </w:r>
          </w:p>
        </w:tc>
      </w:tr>
      <w:tr w:rsidR="00157EA0">
        <w:trPr>
          <w:trHeight w:val="240"/>
        </w:trPr>
        <w:tc>
          <w:tcPr>
            <w:tcW w:w="963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缺陷认定标准</w:t>
            </w:r>
          </w:p>
        </w:tc>
      </w:tr>
      <w:tr w:rsidR="00157EA0" w:rsidTr="007370FD">
        <w:trPr>
          <w:trHeight w:val="240"/>
        </w:trPr>
        <w:tc>
          <w:tcPr>
            <w:tcW w:w="269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41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财务报告</w:t>
            </w:r>
          </w:p>
        </w:tc>
        <w:tc>
          <w:tcPr>
            <w:tcW w:w="283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非财务报告</w:t>
            </w:r>
          </w:p>
        </w:tc>
      </w:tr>
      <w:tr w:rsidR="00157EA0" w:rsidTr="007370FD">
        <w:trPr>
          <w:trHeight w:val="240"/>
        </w:trPr>
        <w:tc>
          <w:tcPr>
            <w:tcW w:w="269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定性标准</w:t>
            </w:r>
          </w:p>
        </w:tc>
        <w:tc>
          <w:tcPr>
            <w:tcW w:w="41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重大缺陷的迹象包括：控制环境无效；公司董事、监事和高级管理人员的舞弊行为；公司更正已公布的财务报告、注册会计师发现的却未被公司内部控制识别的当期财务报告中的重大错报；审计委员会和审计部门对公司的对外财务报告和财务报告内部控制监督无效；其他可能影响报表使用者正确判断的缺陷。</w:t>
            </w:r>
          </w:p>
          <w:p w:rsidR="00BA0365" w:rsidRDefault="008D4B2E">
            <w:pPr>
              <w:spacing w:line="240" w:lineRule="exact"/>
              <w:rPr>
                <w:rFonts w:ascii="宋体" w:eastAsia="宋体" w:hAnsi="宋体" w:cs="宋体"/>
                <w:sz w:val="18"/>
                <w:szCs w:val="18"/>
              </w:rPr>
            </w:pPr>
            <w:r>
              <w:rPr>
                <w:rFonts w:ascii="宋体" w:eastAsia="宋体" w:hAnsi="宋体" w:cs="宋体"/>
                <w:sz w:val="18"/>
                <w:szCs w:val="18"/>
              </w:rPr>
              <w:t>2、重要缺陷的迹象包括：未依照公认会计准则选择和应用会计政策；未建立反舞弊程序和控制措施；对于非常规或特殊交易的账务处理没有建立相应的控制机制或没有实施且没有相应的补偿性控制；对于期末财务报告过程的控制存在一项或多项缺陷且不能合理保证编制的财务报表达到真实、准确的目标。</w:t>
            </w:r>
          </w:p>
          <w:p w:rsidR="00BA0365" w:rsidRDefault="008D4B2E">
            <w:pPr>
              <w:spacing w:line="240" w:lineRule="exact"/>
              <w:rPr>
                <w:rFonts w:ascii="宋体" w:eastAsia="宋体" w:hAnsi="宋体" w:cs="宋体"/>
                <w:sz w:val="18"/>
                <w:szCs w:val="18"/>
              </w:rPr>
            </w:pPr>
            <w:r>
              <w:rPr>
                <w:rFonts w:ascii="宋体" w:eastAsia="宋体" w:hAnsi="宋体" w:cs="宋体"/>
                <w:sz w:val="18"/>
                <w:szCs w:val="18"/>
              </w:rPr>
              <w:t>3、一般缺陷是指除上述重大缺陷、重要缺陷之外的其他控制缺陷。</w:t>
            </w:r>
          </w:p>
        </w:tc>
        <w:tc>
          <w:tcPr>
            <w:tcW w:w="283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非财务报告缺陷认定主要以缺陷对业务流程有效性的影响程度、发生的可能性作判定。如果缺陷发生的可能性较小，会降低工作效率或效果、或加大效果的不确定性、或使之偏离预期目标为一般缺陷；如果缺陷发生的可能性较高，会显著降低工作效率或效果、或显著加大效果的不确定性、或使之显著偏离预期目标为重要缺陷；如果缺陷发生的可能性高，会严重降低工作效率或效果、或严重加大效果的不确定性、或使之严重偏离预期目标为重大缺陷。</w:t>
            </w:r>
          </w:p>
        </w:tc>
      </w:tr>
      <w:tr w:rsidR="00157EA0" w:rsidTr="007370FD">
        <w:trPr>
          <w:trHeight w:val="240"/>
        </w:trPr>
        <w:tc>
          <w:tcPr>
            <w:tcW w:w="269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定量标准</w:t>
            </w:r>
          </w:p>
        </w:tc>
        <w:tc>
          <w:tcPr>
            <w:tcW w:w="41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重大缺陷：潜在错报金额≥资产总额1%；重要缺陷：资产总额0.5%≤潜在错报金额＜资产总额1%；一般缺陷：潜在错报金额＜资产总额0.5%</w:t>
            </w:r>
          </w:p>
        </w:tc>
        <w:tc>
          <w:tcPr>
            <w:tcW w:w="283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重大缺陷：1000万元以上；重要缺陷：500万元-1000万元；一般缺陷：500万元（含500万元）以下</w:t>
            </w:r>
          </w:p>
        </w:tc>
      </w:tr>
      <w:tr w:rsidR="00157EA0" w:rsidTr="007370FD">
        <w:trPr>
          <w:trHeight w:val="240"/>
        </w:trPr>
        <w:tc>
          <w:tcPr>
            <w:tcW w:w="269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财务报告重大缺陷数量（</w:t>
            </w:r>
            <w:proofErr w:type="gramStart"/>
            <w:r>
              <w:rPr>
                <w:rFonts w:ascii="宋体" w:eastAsia="宋体" w:hAnsi="宋体" w:cs="宋体"/>
                <w:sz w:val="18"/>
                <w:szCs w:val="18"/>
              </w:rPr>
              <w:t>个</w:t>
            </w:r>
            <w:proofErr w:type="gramEnd"/>
            <w:r>
              <w:rPr>
                <w:rFonts w:ascii="宋体" w:eastAsia="宋体" w:hAnsi="宋体" w:cs="宋体"/>
                <w:sz w:val="18"/>
                <w:szCs w:val="18"/>
              </w:rPr>
              <w:t>）</w:t>
            </w:r>
          </w:p>
        </w:tc>
        <w:tc>
          <w:tcPr>
            <w:tcW w:w="6948" w:type="dxa"/>
            <w:gridSpan w:val="2"/>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157EA0" w:rsidTr="007370FD">
        <w:trPr>
          <w:trHeight w:val="240"/>
        </w:trPr>
        <w:tc>
          <w:tcPr>
            <w:tcW w:w="269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非财务报告重大缺陷数量（</w:t>
            </w:r>
            <w:proofErr w:type="gramStart"/>
            <w:r>
              <w:rPr>
                <w:rFonts w:ascii="宋体" w:eastAsia="宋体" w:hAnsi="宋体" w:cs="宋体"/>
                <w:sz w:val="18"/>
                <w:szCs w:val="18"/>
              </w:rPr>
              <w:t>个</w:t>
            </w:r>
            <w:proofErr w:type="gramEnd"/>
            <w:r>
              <w:rPr>
                <w:rFonts w:ascii="宋体" w:eastAsia="宋体" w:hAnsi="宋体" w:cs="宋体"/>
                <w:sz w:val="18"/>
                <w:szCs w:val="18"/>
              </w:rPr>
              <w:t>）</w:t>
            </w:r>
          </w:p>
        </w:tc>
        <w:tc>
          <w:tcPr>
            <w:tcW w:w="6948" w:type="dxa"/>
            <w:gridSpan w:val="2"/>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157EA0" w:rsidTr="007370FD">
        <w:trPr>
          <w:trHeight w:val="240"/>
        </w:trPr>
        <w:tc>
          <w:tcPr>
            <w:tcW w:w="269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财务报告重要缺陷数量（</w:t>
            </w:r>
            <w:proofErr w:type="gramStart"/>
            <w:r>
              <w:rPr>
                <w:rFonts w:ascii="宋体" w:eastAsia="宋体" w:hAnsi="宋体" w:cs="宋体"/>
                <w:sz w:val="18"/>
                <w:szCs w:val="18"/>
              </w:rPr>
              <w:t>个</w:t>
            </w:r>
            <w:proofErr w:type="gramEnd"/>
            <w:r>
              <w:rPr>
                <w:rFonts w:ascii="宋体" w:eastAsia="宋体" w:hAnsi="宋体" w:cs="宋体"/>
                <w:sz w:val="18"/>
                <w:szCs w:val="18"/>
              </w:rPr>
              <w:t>）</w:t>
            </w:r>
          </w:p>
        </w:tc>
        <w:tc>
          <w:tcPr>
            <w:tcW w:w="6948" w:type="dxa"/>
            <w:gridSpan w:val="2"/>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157EA0" w:rsidTr="007370FD">
        <w:trPr>
          <w:trHeight w:val="240"/>
        </w:trPr>
        <w:tc>
          <w:tcPr>
            <w:tcW w:w="269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非财务报告重要缺陷数量（</w:t>
            </w:r>
            <w:proofErr w:type="gramStart"/>
            <w:r>
              <w:rPr>
                <w:rFonts w:ascii="宋体" w:eastAsia="宋体" w:hAnsi="宋体" w:cs="宋体"/>
                <w:sz w:val="18"/>
                <w:szCs w:val="18"/>
              </w:rPr>
              <w:t>个</w:t>
            </w:r>
            <w:proofErr w:type="gramEnd"/>
            <w:r>
              <w:rPr>
                <w:rFonts w:ascii="宋体" w:eastAsia="宋体" w:hAnsi="宋体" w:cs="宋体"/>
                <w:sz w:val="18"/>
                <w:szCs w:val="18"/>
              </w:rPr>
              <w:t>）</w:t>
            </w:r>
          </w:p>
        </w:tc>
        <w:tc>
          <w:tcPr>
            <w:tcW w:w="6948" w:type="dxa"/>
            <w:gridSpan w:val="2"/>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r>
    </w:tbl>
    <w:p w:rsidR="00BA0365" w:rsidRDefault="008D4B2E">
      <w:pPr>
        <w:pStyle w:val="3"/>
        <w:spacing w:line="280" w:lineRule="exact"/>
        <w:jc w:val="left"/>
        <w:rPr>
          <w:rFonts w:ascii="宋体" w:hAnsi="宋体" w:cs="宋体"/>
          <w:b/>
          <w:bCs/>
        </w:rPr>
      </w:pPr>
      <w:bookmarkStart w:id="89" w:name="_Toc988978"/>
      <w:r>
        <w:rPr>
          <w:rFonts w:ascii="宋体" w:hAnsi="宋体" w:cs="宋体"/>
          <w:b/>
          <w:bCs/>
        </w:rPr>
        <w:t>2、内部控制审计报告</w:t>
      </w:r>
      <w:bookmarkEnd w:id="89"/>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Layout w:type="fixed"/>
        <w:tblLook w:val="04A0" w:firstRow="1" w:lastRow="0" w:firstColumn="1" w:lastColumn="0" w:noHBand="0" w:noVBand="1"/>
      </w:tblPr>
      <w:tblGrid>
        <w:gridCol w:w="4820"/>
        <w:gridCol w:w="4819"/>
      </w:tblGrid>
      <w:tr w:rsidR="00157EA0">
        <w:trPr>
          <w:trHeight w:val="240"/>
        </w:trPr>
        <w:tc>
          <w:tcPr>
            <w:tcW w:w="963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内部控制审计报告中的审议意见段</w:t>
            </w:r>
          </w:p>
        </w:tc>
      </w:tr>
      <w:tr w:rsidR="00157EA0">
        <w:trPr>
          <w:trHeight w:val="240"/>
        </w:trPr>
        <w:tc>
          <w:tcPr>
            <w:tcW w:w="9639" w:type="dxa"/>
            <w:gridSpan w:val="2"/>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我们认为，公司于2023年12月31日按照《企业内部控制基本规范》和相关规定在所有重大方面保持了有效的财务报告内部控制。</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内控审计报告披露情况</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披露</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内部控制审计报告全文披露日期</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2024年04月03日</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内部控制审计报告全文披露索引</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巨潮资讯网：（http://www.cninfo.com.cn）</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内控审计报告意见类型</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标准无保留意见</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非财务报告是否存在重大缺陷</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bl>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会计师事务所是否出具非标准意见的内部控制审计报告</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会计师事务所出具的内部控制审计报告与董事会的自我评价报告意见是否一致</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是 □否</w:t>
      </w:r>
    </w:p>
    <w:p w:rsidR="00BA0365" w:rsidRDefault="008D4B2E">
      <w:pPr>
        <w:pStyle w:val="2"/>
        <w:spacing w:before="300" w:after="300" w:line="320" w:lineRule="exact"/>
        <w:rPr>
          <w:rFonts w:ascii="宋体" w:eastAsia="宋体" w:hAnsi="宋体" w:cs="宋体"/>
          <w:b/>
          <w:bCs/>
          <w:sz w:val="24"/>
          <w:szCs w:val="24"/>
        </w:rPr>
      </w:pPr>
      <w:bookmarkStart w:id="90" w:name="_Toc988979"/>
      <w:r>
        <w:rPr>
          <w:rFonts w:ascii="宋体" w:eastAsia="宋体" w:hAnsi="宋体" w:cs="宋体"/>
          <w:b/>
          <w:bCs/>
          <w:sz w:val="24"/>
          <w:szCs w:val="24"/>
        </w:rPr>
        <w:t>十五、上市公司治理专项行动自查问题整改情况</w:t>
      </w:r>
      <w:bookmarkEnd w:id="90"/>
    </w:p>
    <w:p w:rsidR="00BA0365" w:rsidRPr="007370FD" w:rsidRDefault="008D4B2E" w:rsidP="007370FD">
      <w:pPr>
        <w:pStyle w:val="a3"/>
        <w:divId w:val="1722711323"/>
        <w:rPr>
          <w:sz w:val="18"/>
          <w:szCs w:val="18"/>
        </w:rPr>
      </w:pPr>
      <w:r>
        <w:rPr>
          <w:rFonts w:hint="eastAsia"/>
          <w:sz w:val="18"/>
          <w:szCs w:val="18"/>
        </w:rPr>
        <w:t>不适用</w:t>
      </w:r>
    </w:p>
    <w:p w:rsidR="00BA0365" w:rsidRDefault="008D4B2E">
      <w:pPr>
        <w:pStyle w:val="headingh1"/>
        <w:spacing w:before="340" w:after="330" w:line="773" w:lineRule="exact"/>
        <w:jc w:val="center"/>
        <w:rPr>
          <w:rFonts w:ascii="宋体" w:eastAsia="宋体" w:hAnsi="宋体" w:cs="宋体"/>
          <w:b/>
          <w:bCs/>
          <w:sz w:val="32"/>
          <w:szCs w:val="32"/>
        </w:rPr>
      </w:pPr>
      <w:bookmarkStart w:id="91" w:name="_Toc988980"/>
      <w:r>
        <w:rPr>
          <w:rFonts w:ascii="宋体" w:eastAsia="宋体" w:hAnsi="宋体" w:cs="宋体"/>
          <w:b/>
          <w:bCs/>
          <w:sz w:val="32"/>
          <w:szCs w:val="32"/>
        </w:rPr>
        <w:lastRenderedPageBreak/>
        <w:t>第五节 环境和社会责任</w:t>
      </w:r>
      <w:bookmarkEnd w:id="91"/>
    </w:p>
    <w:p w:rsidR="00BA0365" w:rsidRDefault="008D4B2E">
      <w:pPr>
        <w:pStyle w:val="2"/>
        <w:spacing w:before="300" w:after="300" w:line="320" w:lineRule="exact"/>
        <w:rPr>
          <w:rFonts w:ascii="宋体" w:eastAsia="宋体" w:hAnsi="宋体" w:cs="宋体"/>
          <w:b/>
          <w:bCs/>
          <w:sz w:val="24"/>
          <w:szCs w:val="24"/>
        </w:rPr>
      </w:pPr>
      <w:bookmarkStart w:id="92" w:name="_Toc988981"/>
      <w:r>
        <w:rPr>
          <w:rFonts w:ascii="宋体" w:eastAsia="宋体" w:hAnsi="宋体" w:cs="宋体"/>
          <w:b/>
          <w:bCs/>
          <w:sz w:val="24"/>
          <w:szCs w:val="24"/>
        </w:rPr>
        <w:t>一、重大环保问题</w:t>
      </w:r>
      <w:bookmarkEnd w:id="92"/>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上市公司及其子公司是否属于环境保护部门公布的重点排污单位</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是 □否</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环境保护相关政策和行业标准</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国家法律法规及文件：</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《中华人民共和国环境保护法》；</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《中华人民共和国环境影响评价法》；</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《中华人民共和国水污染防治法》；</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《中华人民共和国大气污染防治法》；</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《中华人民共和国固体废物污染环境防治法》；</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《中华人民共和国噪声污染防治法》；</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《中华人民共和国放射性污染防治法》；</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《中华人民共和国节约能源法》；</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《放射环境管理办法》；</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《电磁辐射环境保护管理办法》；</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《放射性同位素与射线装置安全和防护条例》；</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《放射性同位素与射线装置安全许可管理办法》；</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《放射工作人员健康管理规定》；</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《放射事故管理规定》；</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《建设项目环境影响登记表备案管理办法》；</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《建设项目环境影响后评价管理办法》；</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《危险废物转移联单管理办法》；</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《排污许可管理条例</w:t>
      </w:r>
      <w:r>
        <w:rPr>
          <w:rFonts w:ascii="Calibri" w:hAnsi="Calibri" w:cs="Calibri"/>
          <w:sz w:val="18"/>
          <w:szCs w:val="18"/>
        </w:rPr>
        <w:t>(2021</w:t>
      </w:r>
      <w:r>
        <w:rPr>
          <w:rFonts w:cs="Calibri" w:hint="eastAsia"/>
          <w:sz w:val="18"/>
          <w:szCs w:val="18"/>
        </w:rPr>
        <w:t>版</w:t>
      </w:r>
      <w:r>
        <w:rPr>
          <w:rFonts w:ascii="Calibri" w:hAnsi="Calibri" w:cs="Calibri"/>
          <w:sz w:val="18"/>
          <w:szCs w:val="18"/>
        </w:rPr>
        <w:t>)</w:t>
      </w:r>
      <w:r>
        <w:rPr>
          <w:rFonts w:cs="Calibri" w:hint="eastAsia"/>
          <w:sz w:val="18"/>
          <w:szCs w:val="18"/>
        </w:rPr>
        <w:t>》；</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《企业环境信息依法披露管理办法》；</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《重点区域大气污染防治“十二五”规划》；</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《打赢蓝天保卫战三年行动计划》（国发</w:t>
      </w:r>
      <w:r>
        <w:rPr>
          <w:rFonts w:ascii="Calibri" w:hAnsi="Calibri" w:cs="Calibri"/>
          <w:sz w:val="18"/>
          <w:szCs w:val="18"/>
        </w:rPr>
        <w:t>[2018]22</w:t>
      </w:r>
      <w:r>
        <w:rPr>
          <w:rFonts w:cs="Calibri" w:hint="eastAsia"/>
          <w:sz w:val="18"/>
          <w:szCs w:val="18"/>
        </w:rPr>
        <w:t>号）；</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《挥发性有机物（</w:t>
      </w:r>
      <w:r>
        <w:rPr>
          <w:rFonts w:ascii="Calibri" w:hAnsi="Calibri" w:cs="Calibri"/>
          <w:sz w:val="18"/>
          <w:szCs w:val="18"/>
        </w:rPr>
        <w:t>VOCs</w:t>
      </w:r>
      <w:r>
        <w:rPr>
          <w:rFonts w:cs="Calibri" w:hint="eastAsia"/>
          <w:sz w:val="18"/>
          <w:szCs w:val="18"/>
        </w:rPr>
        <w:t>）污染防治技术政策》；</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《重点行业挥发性有机物综合治理方案》；</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《“十三五”挥发性有机物污染防治工作方案》；</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《石化行业挥发性有机污染物综合整治方案》；</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《石化行业泄漏检测与修复技术指南》；</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（《石化行业</w:t>
      </w:r>
      <w:r>
        <w:rPr>
          <w:rFonts w:ascii="Calibri" w:hAnsi="Calibri" w:cs="Calibri"/>
          <w:sz w:val="18"/>
          <w:szCs w:val="18"/>
        </w:rPr>
        <w:t xml:space="preserve">VOCs </w:t>
      </w:r>
      <w:r>
        <w:rPr>
          <w:rFonts w:cs="Calibri" w:hint="eastAsia"/>
          <w:sz w:val="18"/>
          <w:szCs w:val="18"/>
        </w:rPr>
        <w:t>污染源排查工作指南》。</w:t>
      </w:r>
    </w:p>
    <w:p w:rsidR="008D4B2E" w:rsidRDefault="008D4B2E">
      <w:pPr>
        <w:pStyle w:val="a3"/>
        <w:spacing w:before="0" w:beforeAutospacing="0" w:after="0" w:afterAutospacing="0"/>
        <w:divId w:val="829449152"/>
        <w:rPr>
          <w:rFonts w:ascii="Calibri" w:hAnsi="Calibri" w:cs="Calibri"/>
          <w:sz w:val="21"/>
          <w:szCs w:val="21"/>
        </w:rPr>
      </w:pPr>
      <w:r>
        <w:rPr>
          <w:rFonts w:ascii="Calibri" w:hAnsi="Calibri" w:cs="Calibri"/>
          <w:sz w:val="21"/>
          <w:szCs w:val="21"/>
        </w:rPr>
        <w:t> </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地方法规和文件：</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《辽宁省“十三五”挥发性有机物污染防治与削减工作实施方案》；</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《辽宁省大气污染防治行动计划实施方案》；</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《辽宁省人民政府办公厅关于蓝天工程的实施意见》；</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《辽宁省环境保护条例》（</w:t>
      </w:r>
      <w:r>
        <w:rPr>
          <w:rFonts w:ascii="Calibri" w:hAnsi="Calibri" w:cs="Calibri"/>
          <w:sz w:val="18"/>
          <w:szCs w:val="18"/>
        </w:rPr>
        <w:t>2010.7.30</w:t>
      </w:r>
      <w:r>
        <w:rPr>
          <w:rFonts w:cs="Calibri" w:hint="eastAsia"/>
          <w:sz w:val="18"/>
          <w:szCs w:val="18"/>
        </w:rPr>
        <w:t>修正）；</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《挥发性有机物排污收费试点办法》石化行业</w:t>
      </w:r>
      <w:r>
        <w:rPr>
          <w:rFonts w:ascii="Calibri" w:hAnsi="Calibri" w:cs="Calibri"/>
          <w:sz w:val="18"/>
          <w:szCs w:val="18"/>
        </w:rPr>
        <w:t>VOCs</w:t>
      </w:r>
      <w:r>
        <w:rPr>
          <w:rFonts w:cs="Calibri" w:hint="eastAsia"/>
          <w:sz w:val="18"/>
          <w:szCs w:val="18"/>
        </w:rPr>
        <w:t>排放量计算办法财税</w:t>
      </w:r>
      <w:r>
        <w:rPr>
          <w:rFonts w:ascii="Calibri" w:hAnsi="Calibri" w:cs="Calibri"/>
          <w:sz w:val="18"/>
          <w:szCs w:val="18"/>
        </w:rPr>
        <w:t>[2015]71</w:t>
      </w:r>
      <w:r>
        <w:rPr>
          <w:rFonts w:cs="Calibri" w:hint="eastAsia"/>
          <w:sz w:val="18"/>
          <w:szCs w:val="18"/>
        </w:rPr>
        <w:t>号；</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《关于</w:t>
      </w:r>
      <w:r>
        <w:rPr>
          <w:rFonts w:ascii="Calibri" w:hAnsi="Calibri" w:cs="Calibri"/>
          <w:sz w:val="18"/>
          <w:szCs w:val="18"/>
        </w:rPr>
        <w:t>〈</w:t>
      </w:r>
      <w:r>
        <w:rPr>
          <w:rFonts w:cs="Calibri" w:hint="eastAsia"/>
          <w:sz w:val="18"/>
          <w:szCs w:val="18"/>
        </w:rPr>
        <w:t>抚顺市“十三五”挥发性有机物污染防治与削减工作实施的方案</w:t>
      </w:r>
      <w:r>
        <w:rPr>
          <w:rFonts w:ascii="Calibri" w:hAnsi="Calibri" w:cs="Calibri"/>
          <w:sz w:val="18"/>
          <w:szCs w:val="18"/>
        </w:rPr>
        <w:t>〉</w:t>
      </w:r>
      <w:r>
        <w:rPr>
          <w:rFonts w:cs="Calibri" w:hint="eastAsia"/>
          <w:sz w:val="18"/>
          <w:szCs w:val="18"/>
        </w:rPr>
        <w:t>的通知》；</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lastRenderedPageBreak/>
        <w:t>《辽宁省打赢蓝天保卫战三年行动方案（</w:t>
      </w:r>
      <w:r>
        <w:rPr>
          <w:rFonts w:ascii="Calibri" w:hAnsi="Calibri" w:cs="Calibri"/>
          <w:sz w:val="18"/>
          <w:szCs w:val="18"/>
        </w:rPr>
        <w:t>2018-2020</w:t>
      </w:r>
      <w:r>
        <w:rPr>
          <w:rFonts w:cs="Calibri" w:hint="eastAsia"/>
          <w:sz w:val="18"/>
          <w:szCs w:val="18"/>
        </w:rPr>
        <w:t>）的通知》；</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《辽宁省大气污染防治行动计划实施方案的通知》；</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《山东省环境保护条例》</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《山东省大气污染防治条例》</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《山东省水污染防治条例》</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《山东省实施</w:t>
      </w:r>
      <w:r>
        <w:rPr>
          <w:rFonts w:ascii="Calibri" w:hAnsi="Calibri" w:cs="Calibri"/>
          <w:sz w:val="18"/>
          <w:szCs w:val="18"/>
        </w:rPr>
        <w:t>〈</w:t>
      </w:r>
      <w:r>
        <w:rPr>
          <w:rFonts w:cs="Calibri" w:hint="eastAsia"/>
          <w:sz w:val="18"/>
          <w:szCs w:val="18"/>
        </w:rPr>
        <w:t>中华人民共和国固体废物污染环境防治法</w:t>
      </w:r>
      <w:r>
        <w:rPr>
          <w:rFonts w:ascii="Calibri" w:hAnsi="Calibri" w:cs="Calibri"/>
          <w:sz w:val="18"/>
          <w:szCs w:val="18"/>
        </w:rPr>
        <w:t>〉</w:t>
      </w:r>
      <w:r>
        <w:rPr>
          <w:rFonts w:cs="Calibri" w:hint="eastAsia"/>
          <w:sz w:val="18"/>
          <w:szCs w:val="18"/>
        </w:rPr>
        <w:t>办法》</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《山东省实施</w:t>
      </w:r>
      <w:r>
        <w:rPr>
          <w:rFonts w:ascii="Calibri" w:hAnsi="Calibri" w:cs="Calibri"/>
          <w:sz w:val="18"/>
          <w:szCs w:val="18"/>
        </w:rPr>
        <w:t>〈</w:t>
      </w:r>
      <w:r>
        <w:rPr>
          <w:rFonts w:cs="Calibri" w:hint="eastAsia"/>
          <w:sz w:val="18"/>
          <w:szCs w:val="18"/>
        </w:rPr>
        <w:t>中华人民共和国大气污染防治法</w:t>
      </w:r>
      <w:r>
        <w:rPr>
          <w:rFonts w:ascii="Calibri" w:hAnsi="Calibri" w:cs="Calibri"/>
          <w:sz w:val="18"/>
          <w:szCs w:val="18"/>
        </w:rPr>
        <w:t>〉</w:t>
      </w:r>
      <w:r>
        <w:rPr>
          <w:rFonts w:cs="Calibri" w:hint="eastAsia"/>
          <w:sz w:val="18"/>
          <w:szCs w:val="18"/>
        </w:rPr>
        <w:t>办法》</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《山东省环境噪声污染防治条例》</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《山东省环境污染行政责任追究办法》</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《山东省防治环境污染设施监督管理办法》</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《山东省实施</w:t>
      </w:r>
      <w:r>
        <w:rPr>
          <w:rFonts w:ascii="Calibri" w:hAnsi="Calibri" w:cs="Calibri"/>
          <w:sz w:val="18"/>
          <w:szCs w:val="18"/>
        </w:rPr>
        <w:t>〈</w:t>
      </w:r>
      <w:r>
        <w:rPr>
          <w:rFonts w:cs="Calibri" w:hint="eastAsia"/>
          <w:sz w:val="18"/>
          <w:szCs w:val="18"/>
        </w:rPr>
        <w:t>中华人民共和国环境影响评价法</w:t>
      </w:r>
      <w:r>
        <w:rPr>
          <w:rFonts w:ascii="Calibri" w:hAnsi="Calibri" w:cs="Calibri"/>
          <w:sz w:val="18"/>
          <w:szCs w:val="18"/>
        </w:rPr>
        <w:t>〉</w:t>
      </w:r>
      <w:r>
        <w:rPr>
          <w:rFonts w:cs="Calibri" w:hint="eastAsia"/>
          <w:sz w:val="18"/>
          <w:szCs w:val="18"/>
        </w:rPr>
        <w:t>办法》</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《青岛市大气污染防治条例》</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《青岛市环境噪声管理规定》</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《生活饮用水卫生监督管理办法》</w:t>
      </w:r>
    </w:p>
    <w:p w:rsidR="008D4B2E" w:rsidRDefault="008D4B2E">
      <w:pPr>
        <w:pStyle w:val="a3"/>
        <w:spacing w:before="0" w:beforeAutospacing="0" w:after="0" w:afterAutospacing="0"/>
        <w:divId w:val="829449152"/>
        <w:rPr>
          <w:rFonts w:ascii="Calibri" w:hAnsi="Calibri" w:cs="Calibri"/>
          <w:sz w:val="21"/>
          <w:szCs w:val="21"/>
        </w:rPr>
      </w:pPr>
      <w:r>
        <w:rPr>
          <w:rFonts w:ascii="Calibri" w:hAnsi="Calibri" w:cs="Calibri"/>
          <w:sz w:val="21"/>
          <w:szCs w:val="21"/>
        </w:rPr>
        <w:t> </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技术规范和行业规范：</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《建设项目环境风险评价技术导则》</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《一般工业固体废物贮存、处置场污染控、处置场污染控制标准》</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《危险废物贮存污染控制标准》</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《危险废物填埋污染控制标准》</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《危险废物识别标志设置技术规范》</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《国家危险废物名录》</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《污水排入城市下水道水质标准》</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《挥发性有机物无组织排放控制准标》</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《排污单位自行监测技术指南总则》；</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《石化行业</w:t>
      </w:r>
      <w:r>
        <w:rPr>
          <w:rFonts w:ascii="Calibri" w:hAnsi="Calibri" w:cs="Calibri"/>
          <w:sz w:val="18"/>
          <w:szCs w:val="18"/>
        </w:rPr>
        <w:t>VOCs</w:t>
      </w:r>
      <w:r>
        <w:rPr>
          <w:rFonts w:cs="Calibri" w:hint="eastAsia"/>
          <w:sz w:val="18"/>
          <w:szCs w:val="18"/>
        </w:rPr>
        <w:t>污染源排查工作指南》；</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《石化企业泄漏检测与修复工作指南》；</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《泄漏和敞开液面排放的挥发性有机物检测技术导则》；</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《石化行业挥发性有机物治理实用手册》；</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《挥发性有机物综合治理一厂一策编制技术指南》；</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《石油炼制工业废气治理工程技术规范》。</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《石化行业建设项目挥发性有机物（</w:t>
      </w:r>
      <w:r>
        <w:rPr>
          <w:rFonts w:ascii="Calibri" w:hAnsi="Calibri" w:cs="Calibri"/>
          <w:sz w:val="18"/>
          <w:szCs w:val="18"/>
        </w:rPr>
        <w:t>VOCs</w:t>
      </w:r>
      <w:r>
        <w:rPr>
          <w:rFonts w:cs="Calibri" w:hint="eastAsia"/>
          <w:sz w:val="18"/>
          <w:szCs w:val="18"/>
        </w:rPr>
        <w:t>）排放量估算方法技术指南（试行）》；</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《石化装置挥发性有机化合物泄漏检测规范》；</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《固定源废气监测技术规范》；</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《石油化工行业</w:t>
      </w:r>
      <w:r>
        <w:rPr>
          <w:rFonts w:ascii="Calibri" w:hAnsi="Calibri" w:cs="Calibri"/>
          <w:sz w:val="18"/>
          <w:szCs w:val="18"/>
        </w:rPr>
        <w:t xml:space="preserve">VOCs </w:t>
      </w:r>
      <w:r>
        <w:rPr>
          <w:rFonts w:cs="Calibri" w:hint="eastAsia"/>
          <w:sz w:val="18"/>
          <w:szCs w:val="18"/>
        </w:rPr>
        <w:t>排放量计算方法》（试行）；</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《泄漏和敞开液面排放的挥发性有机物检测技术导则》；</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《大气污染物综合排放标准》；</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《石油炼制工业污染物排放标准》；</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《石油化学工业污染物排放标准》；</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《恶臭污染物排放标准》；</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《辽宁省污水综合排放标准》；</w:t>
      </w:r>
    </w:p>
    <w:p w:rsidR="008D4B2E" w:rsidRDefault="008D4B2E">
      <w:pPr>
        <w:pStyle w:val="a3"/>
        <w:spacing w:before="0" w:beforeAutospacing="0" w:after="0" w:afterAutospacing="0"/>
        <w:divId w:val="829449152"/>
        <w:rPr>
          <w:rFonts w:ascii="Calibri" w:hAnsi="Calibri" w:cs="Calibri"/>
          <w:sz w:val="21"/>
          <w:szCs w:val="21"/>
        </w:rPr>
      </w:pPr>
      <w:r>
        <w:rPr>
          <w:rFonts w:cs="Calibri" w:hint="eastAsia"/>
          <w:sz w:val="18"/>
          <w:szCs w:val="18"/>
        </w:rPr>
        <w:t>《挥发性有机物无组织排放控制标准》。</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环境保护行政许可情况</w:t>
      </w:r>
    </w:p>
    <w:p w:rsidR="00C067EE" w:rsidRDefault="008D4B2E" w:rsidP="00C067EE">
      <w:pPr>
        <w:pStyle w:val="a3"/>
        <w:divId w:val="1496843609"/>
        <w:rPr>
          <w:sz w:val="18"/>
          <w:szCs w:val="18"/>
        </w:rPr>
      </w:pPr>
      <w:proofErr w:type="gramStart"/>
      <w:r>
        <w:rPr>
          <w:rFonts w:hint="eastAsia"/>
          <w:sz w:val="18"/>
          <w:szCs w:val="18"/>
        </w:rPr>
        <w:lastRenderedPageBreak/>
        <w:t>软控机电</w:t>
      </w:r>
      <w:proofErr w:type="gramEnd"/>
      <w:r>
        <w:rPr>
          <w:rFonts w:hint="eastAsia"/>
          <w:sz w:val="18"/>
          <w:szCs w:val="18"/>
        </w:rPr>
        <w:t>：</w:t>
      </w:r>
    </w:p>
    <w:p w:rsidR="008D4B2E" w:rsidRPr="00280776" w:rsidRDefault="008D4B2E" w:rsidP="00280776">
      <w:pPr>
        <w:pStyle w:val="a3"/>
        <w:divId w:val="1496843609"/>
        <w:rPr>
          <w:sz w:val="18"/>
          <w:szCs w:val="18"/>
        </w:rPr>
      </w:pPr>
      <w:r>
        <w:rPr>
          <w:rFonts w:cs="Calibri" w:hint="eastAsia"/>
          <w:sz w:val="18"/>
          <w:szCs w:val="18"/>
        </w:rPr>
        <w:t>《排污许可证》有效期</w:t>
      </w:r>
      <w:r>
        <w:rPr>
          <w:rFonts w:ascii="Calibri" w:hAnsi="Calibri" w:cs="Calibri"/>
          <w:sz w:val="18"/>
          <w:szCs w:val="18"/>
        </w:rPr>
        <w:t>2023</w:t>
      </w:r>
      <w:r>
        <w:rPr>
          <w:rFonts w:cs="Calibri" w:hint="eastAsia"/>
          <w:sz w:val="18"/>
          <w:szCs w:val="18"/>
        </w:rPr>
        <w:t>年</w:t>
      </w:r>
      <w:r>
        <w:rPr>
          <w:rFonts w:ascii="Calibri" w:hAnsi="Calibri" w:cs="Calibri"/>
          <w:sz w:val="18"/>
          <w:szCs w:val="18"/>
        </w:rPr>
        <w:t>11</w:t>
      </w:r>
      <w:r>
        <w:rPr>
          <w:rFonts w:cs="Calibri" w:hint="eastAsia"/>
          <w:sz w:val="18"/>
          <w:szCs w:val="18"/>
        </w:rPr>
        <w:t>月</w:t>
      </w:r>
      <w:r>
        <w:rPr>
          <w:rFonts w:ascii="Calibri" w:hAnsi="Calibri" w:cs="Calibri"/>
          <w:sz w:val="18"/>
          <w:szCs w:val="18"/>
        </w:rPr>
        <w:t>24</w:t>
      </w:r>
      <w:r>
        <w:rPr>
          <w:rFonts w:cs="Calibri" w:hint="eastAsia"/>
          <w:sz w:val="18"/>
          <w:szCs w:val="18"/>
        </w:rPr>
        <w:t>日</w:t>
      </w:r>
      <w:r>
        <w:rPr>
          <w:rFonts w:ascii="Calibri" w:hAnsi="Calibri" w:cs="Calibri"/>
          <w:sz w:val="18"/>
          <w:szCs w:val="18"/>
        </w:rPr>
        <w:t>-2028</w:t>
      </w:r>
      <w:r>
        <w:rPr>
          <w:rFonts w:cs="Calibri" w:hint="eastAsia"/>
          <w:sz w:val="18"/>
          <w:szCs w:val="18"/>
        </w:rPr>
        <w:t>年</w:t>
      </w:r>
      <w:r>
        <w:rPr>
          <w:rFonts w:ascii="Calibri" w:hAnsi="Calibri" w:cs="Calibri"/>
          <w:sz w:val="18"/>
          <w:szCs w:val="18"/>
        </w:rPr>
        <w:t>11</w:t>
      </w:r>
      <w:r>
        <w:rPr>
          <w:rFonts w:cs="Calibri" w:hint="eastAsia"/>
          <w:sz w:val="18"/>
          <w:szCs w:val="18"/>
        </w:rPr>
        <w:t>月</w:t>
      </w:r>
      <w:r>
        <w:rPr>
          <w:rFonts w:ascii="Calibri" w:hAnsi="Calibri" w:cs="Calibri"/>
          <w:sz w:val="18"/>
          <w:szCs w:val="18"/>
        </w:rPr>
        <w:t>23</w:t>
      </w:r>
      <w:r>
        <w:rPr>
          <w:rFonts w:cs="Calibri" w:hint="eastAsia"/>
          <w:sz w:val="18"/>
          <w:szCs w:val="18"/>
        </w:rPr>
        <w:t>日。</w:t>
      </w:r>
    </w:p>
    <w:p w:rsidR="008D4B2E" w:rsidRDefault="008D4B2E">
      <w:pPr>
        <w:pStyle w:val="a3"/>
        <w:spacing w:before="0" w:beforeAutospacing="0" w:after="0" w:afterAutospacing="0"/>
        <w:divId w:val="1496843609"/>
        <w:rPr>
          <w:rFonts w:ascii="Calibri" w:hAnsi="Calibri" w:cs="Calibri"/>
          <w:sz w:val="21"/>
          <w:szCs w:val="21"/>
        </w:rPr>
      </w:pPr>
      <w:r>
        <w:rPr>
          <w:rFonts w:cs="Calibri" w:hint="eastAsia"/>
          <w:sz w:val="18"/>
          <w:szCs w:val="18"/>
        </w:rPr>
        <w:t>抚顺伊科思：</w:t>
      </w:r>
    </w:p>
    <w:p w:rsidR="008D4B2E" w:rsidRDefault="008D4B2E" w:rsidP="00B2020C">
      <w:pPr>
        <w:pStyle w:val="a3"/>
        <w:spacing w:before="0" w:beforeAutospacing="0" w:after="0" w:afterAutospacing="0"/>
        <w:ind w:firstLineChars="200" w:firstLine="360"/>
        <w:divId w:val="1496843609"/>
        <w:rPr>
          <w:rFonts w:ascii="Calibri" w:hAnsi="Calibri" w:cs="Calibri"/>
          <w:sz w:val="21"/>
          <w:szCs w:val="21"/>
        </w:rPr>
      </w:pPr>
      <w:r>
        <w:rPr>
          <w:rFonts w:ascii="Calibri" w:hAnsi="Calibri" w:cs="Calibri"/>
          <w:sz w:val="18"/>
          <w:szCs w:val="18"/>
        </w:rPr>
        <w:t>2010</w:t>
      </w:r>
      <w:r>
        <w:rPr>
          <w:rFonts w:cs="Calibri" w:hint="eastAsia"/>
          <w:sz w:val="18"/>
          <w:szCs w:val="18"/>
        </w:rPr>
        <w:t>年企业委托辽宁省环境科学研究院编制《抚顺伊科思新材料有限公司</w:t>
      </w:r>
      <w:r>
        <w:rPr>
          <w:rFonts w:ascii="Calibri" w:hAnsi="Calibri" w:cs="Calibri"/>
          <w:sz w:val="18"/>
          <w:szCs w:val="18"/>
        </w:rPr>
        <w:t>15</w:t>
      </w:r>
      <w:r>
        <w:rPr>
          <w:rFonts w:cs="Calibri" w:hint="eastAsia"/>
          <w:sz w:val="18"/>
          <w:szCs w:val="18"/>
        </w:rPr>
        <w:t>万吨</w:t>
      </w:r>
      <w:r>
        <w:rPr>
          <w:rFonts w:ascii="Calibri" w:hAnsi="Calibri" w:cs="Calibri"/>
          <w:sz w:val="18"/>
          <w:szCs w:val="18"/>
        </w:rPr>
        <w:t>/</w:t>
      </w:r>
      <w:r>
        <w:rPr>
          <w:rFonts w:cs="Calibri" w:hint="eastAsia"/>
          <w:sz w:val="18"/>
          <w:szCs w:val="18"/>
        </w:rPr>
        <w:t>年裂解碳五分离联产</w:t>
      </w:r>
      <w:r>
        <w:rPr>
          <w:rFonts w:ascii="Calibri" w:hAnsi="Calibri" w:cs="Calibri"/>
          <w:sz w:val="18"/>
          <w:szCs w:val="18"/>
        </w:rPr>
        <w:t>4</w:t>
      </w:r>
      <w:r>
        <w:rPr>
          <w:rFonts w:cs="Calibri" w:hint="eastAsia"/>
          <w:sz w:val="18"/>
          <w:szCs w:val="18"/>
        </w:rPr>
        <w:t>万吨</w:t>
      </w:r>
      <w:r>
        <w:rPr>
          <w:rFonts w:ascii="Calibri" w:hAnsi="Calibri" w:cs="Calibri"/>
          <w:sz w:val="18"/>
          <w:szCs w:val="18"/>
        </w:rPr>
        <w:t>/</w:t>
      </w:r>
      <w:r>
        <w:rPr>
          <w:rFonts w:cs="Calibri" w:hint="eastAsia"/>
          <w:sz w:val="18"/>
          <w:szCs w:val="18"/>
        </w:rPr>
        <w:t>年异戊橡胶项目环境影响报告书》并取得环评批复，文号为“辽环函【</w:t>
      </w:r>
      <w:r>
        <w:rPr>
          <w:rFonts w:ascii="Calibri" w:hAnsi="Calibri" w:cs="Calibri"/>
          <w:sz w:val="18"/>
          <w:szCs w:val="18"/>
        </w:rPr>
        <w:t>2010</w:t>
      </w:r>
      <w:r>
        <w:rPr>
          <w:rFonts w:cs="Calibri" w:hint="eastAsia"/>
          <w:sz w:val="18"/>
          <w:szCs w:val="18"/>
        </w:rPr>
        <w:t>】</w:t>
      </w:r>
      <w:r>
        <w:rPr>
          <w:rFonts w:ascii="Calibri" w:hAnsi="Calibri" w:cs="Calibri"/>
          <w:sz w:val="18"/>
          <w:szCs w:val="18"/>
        </w:rPr>
        <w:t>579</w:t>
      </w:r>
      <w:r>
        <w:rPr>
          <w:rFonts w:cs="Calibri" w:hint="eastAsia"/>
          <w:sz w:val="18"/>
          <w:szCs w:val="18"/>
        </w:rPr>
        <w:t>号”；</w:t>
      </w:r>
    </w:p>
    <w:p w:rsidR="008D4B2E" w:rsidRDefault="008D4B2E" w:rsidP="00B2020C">
      <w:pPr>
        <w:pStyle w:val="a3"/>
        <w:spacing w:before="0" w:beforeAutospacing="0" w:after="0" w:afterAutospacing="0"/>
        <w:ind w:firstLineChars="200" w:firstLine="360"/>
        <w:divId w:val="1496843609"/>
        <w:rPr>
          <w:rFonts w:ascii="Calibri" w:hAnsi="Calibri" w:cs="Calibri"/>
          <w:sz w:val="21"/>
          <w:szCs w:val="21"/>
        </w:rPr>
      </w:pPr>
      <w:r>
        <w:rPr>
          <w:rFonts w:ascii="Calibri" w:hAnsi="Calibri" w:cs="Calibri"/>
          <w:sz w:val="18"/>
          <w:szCs w:val="18"/>
        </w:rPr>
        <w:t>2017</w:t>
      </w:r>
      <w:r>
        <w:rPr>
          <w:rFonts w:cs="Calibri" w:hint="eastAsia"/>
          <w:sz w:val="18"/>
          <w:szCs w:val="18"/>
        </w:rPr>
        <w:t>年企业委托辽宁唐龙技术咨询有限公司编制《抚顺伊科思新材料有限公司</w:t>
      </w:r>
      <w:r>
        <w:rPr>
          <w:rFonts w:ascii="Calibri" w:hAnsi="Calibri" w:cs="Calibri"/>
          <w:sz w:val="18"/>
          <w:szCs w:val="18"/>
        </w:rPr>
        <w:t>15</w:t>
      </w:r>
      <w:r>
        <w:rPr>
          <w:rFonts w:cs="Calibri" w:hint="eastAsia"/>
          <w:sz w:val="18"/>
          <w:szCs w:val="18"/>
        </w:rPr>
        <w:t>万吨</w:t>
      </w:r>
      <w:r>
        <w:rPr>
          <w:rFonts w:ascii="Calibri" w:hAnsi="Calibri" w:cs="Calibri"/>
          <w:sz w:val="18"/>
          <w:szCs w:val="18"/>
        </w:rPr>
        <w:t>/</w:t>
      </w:r>
      <w:r>
        <w:rPr>
          <w:rFonts w:cs="Calibri" w:hint="eastAsia"/>
          <w:sz w:val="18"/>
          <w:szCs w:val="18"/>
        </w:rPr>
        <w:t>年裂解碳五分离联产</w:t>
      </w:r>
      <w:r>
        <w:rPr>
          <w:rFonts w:ascii="Calibri" w:hAnsi="Calibri" w:cs="Calibri"/>
          <w:sz w:val="18"/>
          <w:szCs w:val="18"/>
        </w:rPr>
        <w:t>4</w:t>
      </w:r>
      <w:r>
        <w:rPr>
          <w:rFonts w:cs="Calibri" w:hint="eastAsia"/>
          <w:sz w:val="18"/>
          <w:szCs w:val="18"/>
        </w:rPr>
        <w:t>万吨</w:t>
      </w:r>
      <w:r>
        <w:rPr>
          <w:rFonts w:ascii="Calibri" w:hAnsi="Calibri" w:cs="Calibri"/>
          <w:sz w:val="18"/>
          <w:szCs w:val="18"/>
        </w:rPr>
        <w:t>/</w:t>
      </w:r>
      <w:r>
        <w:rPr>
          <w:rFonts w:cs="Calibri" w:hint="eastAsia"/>
          <w:sz w:val="18"/>
          <w:szCs w:val="18"/>
        </w:rPr>
        <w:t>年异戊橡胶项目环境影响补充说明》，并于</w:t>
      </w:r>
      <w:r>
        <w:rPr>
          <w:rFonts w:ascii="Calibri" w:hAnsi="Calibri" w:cs="Calibri"/>
          <w:sz w:val="18"/>
          <w:szCs w:val="18"/>
        </w:rPr>
        <w:t>2017</w:t>
      </w:r>
      <w:r>
        <w:rPr>
          <w:rFonts w:cs="Calibri" w:hint="eastAsia"/>
          <w:sz w:val="18"/>
          <w:szCs w:val="18"/>
        </w:rPr>
        <w:t>年委托辽宁省环境监测实验中心对以上两</w:t>
      </w:r>
      <w:proofErr w:type="gramStart"/>
      <w:r>
        <w:rPr>
          <w:rFonts w:cs="Calibri" w:hint="eastAsia"/>
          <w:sz w:val="18"/>
          <w:szCs w:val="18"/>
        </w:rPr>
        <w:t>部分环评涉及</w:t>
      </w:r>
      <w:proofErr w:type="gramEnd"/>
      <w:r>
        <w:rPr>
          <w:rFonts w:cs="Calibri" w:hint="eastAsia"/>
          <w:sz w:val="18"/>
          <w:szCs w:val="18"/>
        </w:rPr>
        <w:t>的建设项目进行环保验收，验收文号“抚环验【</w:t>
      </w:r>
      <w:r>
        <w:rPr>
          <w:rFonts w:ascii="Calibri" w:hAnsi="Calibri" w:cs="Calibri"/>
          <w:sz w:val="18"/>
          <w:szCs w:val="18"/>
        </w:rPr>
        <w:t>2017</w:t>
      </w:r>
      <w:r>
        <w:rPr>
          <w:rFonts w:cs="Calibri" w:hint="eastAsia"/>
          <w:sz w:val="18"/>
          <w:szCs w:val="18"/>
        </w:rPr>
        <w:t>】</w:t>
      </w:r>
      <w:r>
        <w:rPr>
          <w:rFonts w:ascii="Calibri" w:hAnsi="Calibri" w:cs="Calibri"/>
          <w:sz w:val="18"/>
          <w:szCs w:val="18"/>
        </w:rPr>
        <w:t>26</w:t>
      </w:r>
      <w:r>
        <w:rPr>
          <w:rFonts w:cs="Calibri" w:hint="eastAsia"/>
          <w:sz w:val="18"/>
          <w:szCs w:val="18"/>
        </w:rPr>
        <w:t>号”；</w:t>
      </w:r>
    </w:p>
    <w:p w:rsidR="008D4B2E" w:rsidRDefault="008D4B2E" w:rsidP="00B2020C">
      <w:pPr>
        <w:pStyle w:val="a3"/>
        <w:spacing w:before="0" w:beforeAutospacing="0" w:after="0" w:afterAutospacing="0"/>
        <w:ind w:firstLineChars="200" w:firstLine="360"/>
        <w:divId w:val="1496843609"/>
        <w:rPr>
          <w:rFonts w:ascii="Calibri" w:hAnsi="Calibri" w:cs="Calibri"/>
          <w:sz w:val="21"/>
          <w:szCs w:val="21"/>
        </w:rPr>
      </w:pPr>
      <w:r>
        <w:rPr>
          <w:rFonts w:ascii="Calibri" w:hAnsi="Calibri" w:cs="Calibri"/>
          <w:sz w:val="18"/>
          <w:szCs w:val="18"/>
        </w:rPr>
        <w:t>2018</w:t>
      </w:r>
      <w:r>
        <w:rPr>
          <w:rFonts w:cs="Calibri" w:hint="eastAsia"/>
          <w:sz w:val="18"/>
          <w:szCs w:val="18"/>
        </w:rPr>
        <w:t>年企业委托辽宁时代泽远科技有限公司编制《抚顺伊科思新材料有限公司异戊橡胶装置节能改造及产品结构优化项目环境影响报告环境影响报告书》并取得环评批复，批复文号“抚环审【</w:t>
      </w:r>
      <w:r>
        <w:rPr>
          <w:rFonts w:ascii="Calibri" w:hAnsi="Calibri" w:cs="Calibri"/>
          <w:sz w:val="18"/>
          <w:szCs w:val="18"/>
        </w:rPr>
        <w:t>2018</w:t>
      </w:r>
      <w:r>
        <w:rPr>
          <w:rFonts w:cs="Calibri" w:hint="eastAsia"/>
          <w:sz w:val="18"/>
          <w:szCs w:val="18"/>
        </w:rPr>
        <w:t>】</w:t>
      </w:r>
      <w:r>
        <w:rPr>
          <w:rFonts w:ascii="Calibri" w:hAnsi="Calibri" w:cs="Calibri"/>
          <w:sz w:val="18"/>
          <w:szCs w:val="18"/>
        </w:rPr>
        <w:t>29</w:t>
      </w:r>
      <w:r>
        <w:rPr>
          <w:rFonts w:cs="Calibri" w:hint="eastAsia"/>
          <w:sz w:val="18"/>
          <w:szCs w:val="18"/>
        </w:rPr>
        <w:t>号”，该项目已正常投产，验收工作正在进行；</w:t>
      </w:r>
    </w:p>
    <w:p w:rsidR="008D4B2E" w:rsidRDefault="008D4B2E" w:rsidP="00B2020C">
      <w:pPr>
        <w:pStyle w:val="a3"/>
        <w:spacing w:before="0" w:beforeAutospacing="0" w:after="0" w:afterAutospacing="0"/>
        <w:ind w:firstLineChars="200" w:firstLine="360"/>
        <w:divId w:val="1496843609"/>
        <w:rPr>
          <w:rFonts w:ascii="Calibri" w:hAnsi="Calibri" w:cs="Calibri"/>
          <w:sz w:val="21"/>
          <w:szCs w:val="21"/>
        </w:rPr>
      </w:pPr>
      <w:r>
        <w:rPr>
          <w:rFonts w:ascii="Calibri" w:hAnsi="Calibri" w:cs="Calibri"/>
          <w:sz w:val="18"/>
          <w:szCs w:val="18"/>
        </w:rPr>
        <w:t>2019</w:t>
      </w:r>
      <w:r>
        <w:rPr>
          <w:rFonts w:cs="Calibri" w:hint="eastAsia"/>
          <w:sz w:val="18"/>
          <w:szCs w:val="18"/>
        </w:rPr>
        <w:t>年企业委托铁岭市天</w:t>
      </w:r>
      <w:proofErr w:type="gramStart"/>
      <w:r>
        <w:rPr>
          <w:rFonts w:cs="Calibri" w:hint="eastAsia"/>
          <w:sz w:val="18"/>
          <w:szCs w:val="18"/>
        </w:rPr>
        <w:t>祥</w:t>
      </w:r>
      <w:proofErr w:type="gramEnd"/>
      <w:r>
        <w:rPr>
          <w:rFonts w:cs="Calibri" w:hint="eastAsia"/>
          <w:sz w:val="18"/>
          <w:szCs w:val="18"/>
        </w:rPr>
        <w:t>环境科技有限公司编制《抚顺伊科思新材料有限公司碳五分离装置产品结构优化生产环戊烷</w:t>
      </w:r>
      <w:r>
        <w:rPr>
          <w:rFonts w:ascii="Calibri" w:hAnsi="Calibri" w:cs="Calibri"/>
          <w:sz w:val="18"/>
          <w:szCs w:val="18"/>
        </w:rPr>
        <w:t>/</w:t>
      </w:r>
      <w:r>
        <w:rPr>
          <w:rFonts w:cs="Calibri" w:hint="eastAsia"/>
          <w:sz w:val="18"/>
          <w:szCs w:val="18"/>
        </w:rPr>
        <w:t>异戊烷项目环境影响报告》并取得环评批复，批复文号“抚环审【</w:t>
      </w:r>
      <w:r>
        <w:rPr>
          <w:rFonts w:ascii="Calibri" w:hAnsi="Calibri" w:cs="Calibri"/>
          <w:sz w:val="18"/>
          <w:szCs w:val="18"/>
        </w:rPr>
        <w:t>2019</w:t>
      </w:r>
      <w:r>
        <w:rPr>
          <w:rFonts w:cs="Calibri" w:hint="eastAsia"/>
          <w:sz w:val="18"/>
          <w:szCs w:val="18"/>
        </w:rPr>
        <w:t>】</w:t>
      </w:r>
      <w:r>
        <w:rPr>
          <w:rFonts w:ascii="Calibri" w:hAnsi="Calibri" w:cs="Calibri"/>
          <w:sz w:val="18"/>
          <w:szCs w:val="18"/>
        </w:rPr>
        <w:t>57</w:t>
      </w:r>
      <w:r>
        <w:rPr>
          <w:rFonts w:cs="Calibri" w:hint="eastAsia"/>
          <w:sz w:val="18"/>
          <w:szCs w:val="18"/>
        </w:rPr>
        <w:t>号”，该项目未投产；</w:t>
      </w:r>
    </w:p>
    <w:p w:rsidR="008D4B2E" w:rsidRDefault="008D4B2E" w:rsidP="00B2020C">
      <w:pPr>
        <w:pStyle w:val="a3"/>
        <w:spacing w:before="0" w:beforeAutospacing="0" w:after="0" w:afterAutospacing="0"/>
        <w:ind w:firstLineChars="200" w:firstLine="360"/>
        <w:divId w:val="1496843609"/>
        <w:rPr>
          <w:rFonts w:ascii="Calibri" w:hAnsi="Calibri" w:cs="Calibri"/>
          <w:sz w:val="21"/>
          <w:szCs w:val="21"/>
        </w:rPr>
      </w:pPr>
      <w:r>
        <w:rPr>
          <w:rFonts w:ascii="Calibri" w:hAnsi="Calibri" w:cs="Calibri"/>
          <w:sz w:val="18"/>
          <w:szCs w:val="18"/>
        </w:rPr>
        <w:t>2023</w:t>
      </w:r>
      <w:r>
        <w:rPr>
          <w:rFonts w:cs="Calibri" w:hint="eastAsia"/>
          <w:sz w:val="18"/>
          <w:szCs w:val="18"/>
        </w:rPr>
        <w:t>年</w:t>
      </w:r>
      <w:r>
        <w:rPr>
          <w:rFonts w:ascii="Calibri" w:hAnsi="Calibri" w:cs="Calibri"/>
          <w:sz w:val="18"/>
          <w:szCs w:val="18"/>
        </w:rPr>
        <w:t>11</w:t>
      </w:r>
      <w:r>
        <w:rPr>
          <w:rFonts w:cs="Calibri" w:hint="eastAsia"/>
          <w:sz w:val="18"/>
          <w:szCs w:val="18"/>
        </w:rPr>
        <w:t>月份对排污许可证提出变更申请，</w:t>
      </w:r>
      <w:r>
        <w:rPr>
          <w:rFonts w:ascii="Calibri" w:hAnsi="Calibri" w:cs="Calibri"/>
          <w:sz w:val="18"/>
          <w:szCs w:val="18"/>
        </w:rPr>
        <w:t>2024</w:t>
      </w:r>
      <w:r>
        <w:rPr>
          <w:rFonts w:cs="Calibri" w:hint="eastAsia"/>
          <w:sz w:val="18"/>
          <w:szCs w:val="18"/>
        </w:rPr>
        <w:t>年</w:t>
      </w:r>
      <w:r>
        <w:rPr>
          <w:rFonts w:ascii="Calibri" w:hAnsi="Calibri" w:cs="Calibri"/>
          <w:sz w:val="18"/>
          <w:szCs w:val="18"/>
        </w:rPr>
        <w:t>1</w:t>
      </w:r>
      <w:r>
        <w:rPr>
          <w:rFonts w:cs="Calibri" w:hint="eastAsia"/>
          <w:sz w:val="18"/>
          <w:szCs w:val="18"/>
        </w:rPr>
        <w:t>月</w:t>
      </w:r>
      <w:r>
        <w:rPr>
          <w:rFonts w:ascii="Calibri" w:hAnsi="Calibri" w:cs="Calibri"/>
          <w:sz w:val="18"/>
          <w:szCs w:val="18"/>
        </w:rPr>
        <w:t>6</w:t>
      </w:r>
      <w:r>
        <w:rPr>
          <w:rFonts w:cs="Calibri" w:hint="eastAsia"/>
          <w:sz w:val="18"/>
          <w:szCs w:val="18"/>
        </w:rPr>
        <w:t>日取证，有限期</w:t>
      </w:r>
      <w:r>
        <w:rPr>
          <w:rFonts w:ascii="Calibri" w:hAnsi="Calibri" w:cs="Calibri"/>
          <w:sz w:val="18"/>
          <w:szCs w:val="18"/>
        </w:rPr>
        <w:t>2024.01.06</w:t>
      </w:r>
      <w:r>
        <w:rPr>
          <w:rFonts w:cs="Calibri" w:hint="eastAsia"/>
          <w:sz w:val="18"/>
          <w:szCs w:val="18"/>
        </w:rPr>
        <w:t>至</w:t>
      </w:r>
      <w:r>
        <w:rPr>
          <w:rFonts w:ascii="Calibri" w:hAnsi="Calibri" w:cs="Calibri"/>
          <w:sz w:val="18"/>
          <w:szCs w:val="18"/>
        </w:rPr>
        <w:t>2029.01.05</w:t>
      </w:r>
      <w:r>
        <w:rPr>
          <w:rFonts w:ascii="Calibri" w:hAnsi="Calibri" w:cs="Calibri"/>
          <w:sz w:val="18"/>
          <w:szCs w:val="18"/>
        </w:rPr>
        <w:t>。</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行业排放标准及生产经营活动中涉及的污染物排放的具体情况</w:t>
      </w:r>
    </w:p>
    <w:tbl>
      <w:tblPr>
        <w:tblW w:w="9639" w:type="dxa"/>
        <w:tblLayout w:type="fixed"/>
        <w:tblLook w:val="04A0" w:firstRow="1" w:lastRow="0" w:firstColumn="1" w:lastColumn="0" w:noHBand="0" w:noVBand="1"/>
      </w:tblPr>
      <w:tblGrid>
        <w:gridCol w:w="877"/>
        <w:gridCol w:w="877"/>
        <w:gridCol w:w="877"/>
        <w:gridCol w:w="876"/>
        <w:gridCol w:w="876"/>
        <w:gridCol w:w="876"/>
        <w:gridCol w:w="876"/>
        <w:gridCol w:w="1203"/>
        <w:gridCol w:w="708"/>
        <w:gridCol w:w="851"/>
        <w:gridCol w:w="742"/>
      </w:tblGrid>
      <w:tr w:rsidR="00157EA0" w:rsidTr="006C5451">
        <w:trPr>
          <w:trHeight w:val="240"/>
        </w:trPr>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公司或子公司名称</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主要污染物及特征污染物的种类</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主要污染物及特征污染物的名称</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排放方式</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排放口数量</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排放口分布情况</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排放浓度/强度</w:t>
            </w:r>
          </w:p>
        </w:tc>
        <w:tc>
          <w:tcPr>
            <w:tcW w:w="120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执行的污染物排放标准</w:t>
            </w:r>
          </w:p>
        </w:tc>
        <w:tc>
          <w:tcPr>
            <w:tcW w:w="70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排放总量</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核定的排放总量</w:t>
            </w:r>
          </w:p>
        </w:tc>
        <w:tc>
          <w:tcPr>
            <w:tcW w:w="74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超标排放情况</w:t>
            </w:r>
          </w:p>
        </w:tc>
      </w:tr>
      <w:tr w:rsidR="00157EA0" w:rsidTr="006C5451">
        <w:trPr>
          <w:trHeight w:val="240"/>
        </w:trPr>
        <w:tc>
          <w:tcPr>
            <w:tcW w:w="8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青岛软控机电工程</w:t>
            </w:r>
            <w:proofErr w:type="gramEnd"/>
            <w:r>
              <w:rPr>
                <w:rFonts w:ascii="宋体" w:eastAsia="宋体" w:hAnsi="宋体" w:cs="宋体"/>
                <w:sz w:val="18"/>
                <w:szCs w:val="18"/>
              </w:rPr>
              <w:t>有限公司</w:t>
            </w:r>
          </w:p>
        </w:tc>
        <w:tc>
          <w:tcPr>
            <w:tcW w:w="8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大气环境</w:t>
            </w:r>
          </w:p>
        </w:tc>
        <w:tc>
          <w:tcPr>
            <w:tcW w:w="8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VOCs有机废气</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有组织</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1个</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软控产业</w:t>
            </w:r>
            <w:proofErr w:type="gramEnd"/>
            <w:r>
              <w:rPr>
                <w:rFonts w:ascii="宋体" w:eastAsia="宋体" w:hAnsi="宋体" w:cs="宋体"/>
                <w:sz w:val="18"/>
                <w:szCs w:val="18"/>
              </w:rPr>
              <w:t>园东园区</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4.88mg/m3</w:t>
            </w:r>
          </w:p>
        </w:tc>
        <w:tc>
          <w:tcPr>
            <w:tcW w:w="120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70mg/m3</w:t>
            </w:r>
          </w:p>
        </w:tc>
        <w:tc>
          <w:tcPr>
            <w:tcW w:w="70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4900万立方米</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w:t>
            </w:r>
          </w:p>
        </w:tc>
        <w:tc>
          <w:tcPr>
            <w:tcW w:w="7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无</w:t>
            </w:r>
          </w:p>
        </w:tc>
      </w:tr>
      <w:tr w:rsidR="00157EA0" w:rsidTr="006C5451">
        <w:trPr>
          <w:trHeight w:val="240"/>
        </w:trPr>
        <w:tc>
          <w:tcPr>
            <w:tcW w:w="8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抚顺伊科思新材料有限公司</w:t>
            </w:r>
          </w:p>
        </w:tc>
        <w:tc>
          <w:tcPr>
            <w:tcW w:w="8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废水</w:t>
            </w:r>
          </w:p>
        </w:tc>
        <w:tc>
          <w:tcPr>
            <w:tcW w:w="8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化学需氧量</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污水处理厂</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总排口</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100mg/L</w:t>
            </w:r>
          </w:p>
        </w:tc>
        <w:tc>
          <w:tcPr>
            <w:tcW w:w="120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《辽宁省污水综合排放标准》（DB21/1627-2008）300mg/L</w:t>
            </w:r>
          </w:p>
        </w:tc>
        <w:tc>
          <w:tcPr>
            <w:tcW w:w="70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0.071吨</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w:t>
            </w:r>
          </w:p>
        </w:tc>
        <w:tc>
          <w:tcPr>
            <w:tcW w:w="7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无</w:t>
            </w:r>
          </w:p>
        </w:tc>
      </w:tr>
      <w:tr w:rsidR="00157EA0" w:rsidTr="006C5451">
        <w:trPr>
          <w:trHeight w:val="240"/>
        </w:trPr>
        <w:tc>
          <w:tcPr>
            <w:tcW w:w="8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抚顺伊科思新材料有限公司</w:t>
            </w:r>
          </w:p>
        </w:tc>
        <w:tc>
          <w:tcPr>
            <w:tcW w:w="8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废水</w:t>
            </w:r>
          </w:p>
        </w:tc>
        <w:tc>
          <w:tcPr>
            <w:tcW w:w="8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氨氮</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污水处理厂</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总排口</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8mg/L</w:t>
            </w:r>
          </w:p>
        </w:tc>
        <w:tc>
          <w:tcPr>
            <w:tcW w:w="120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《辽宁省污水综合排放标准》（DB21/1627-2008）30mg/L</w:t>
            </w:r>
          </w:p>
        </w:tc>
        <w:tc>
          <w:tcPr>
            <w:tcW w:w="70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0.039吨</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w:t>
            </w:r>
          </w:p>
        </w:tc>
        <w:tc>
          <w:tcPr>
            <w:tcW w:w="7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无</w:t>
            </w:r>
          </w:p>
        </w:tc>
      </w:tr>
      <w:tr w:rsidR="00157EA0" w:rsidTr="006C5451">
        <w:trPr>
          <w:trHeight w:val="240"/>
        </w:trPr>
        <w:tc>
          <w:tcPr>
            <w:tcW w:w="8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抚顺伊科思新材料有限公司</w:t>
            </w:r>
          </w:p>
        </w:tc>
        <w:tc>
          <w:tcPr>
            <w:tcW w:w="8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废气</w:t>
            </w:r>
          </w:p>
        </w:tc>
        <w:tc>
          <w:tcPr>
            <w:tcW w:w="8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非甲烷总烃</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经过RCO处理设施后，达标排放。</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后处理废气排放口</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50mg/m³</w:t>
            </w:r>
          </w:p>
        </w:tc>
        <w:tc>
          <w:tcPr>
            <w:tcW w:w="120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《石油化学工业污染物排放标准》（GB31571-2015）处理率97%</w:t>
            </w:r>
          </w:p>
        </w:tc>
        <w:tc>
          <w:tcPr>
            <w:tcW w:w="70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11吨</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w:t>
            </w:r>
          </w:p>
        </w:tc>
        <w:tc>
          <w:tcPr>
            <w:tcW w:w="7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无</w:t>
            </w:r>
          </w:p>
        </w:tc>
      </w:tr>
      <w:tr w:rsidR="00157EA0" w:rsidTr="006C5451">
        <w:trPr>
          <w:trHeight w:val="240"/>
        </w:trPr>
        <w:tc>
          <w:tcPr>
            <w:tcW w:w="8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抚顺伊科思新材料有限公司</w:t>
            </w:r>
          </w:p>
        </w:tc>
        <w:tc>
          <w:tcPr>
            <w:tcW w:w="8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废气</w:t>
            </w:r>
          </w:p>
        </w:tc>
        <w:tc>
          <w:tcPr>
            <w:tcW w:w="8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非甲烷总烃</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经过碱洗塔、活性炭吸附处理后排放</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污水加盖废气排放口</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120mg/m³</w:t>
            </w:r>
          </w:p>
        </w:tc>
        <w:tc>
          <w:tcPr>
            <w:tcW w:w="120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《石油化学工业污染物排放标准》（GB31571-2015）</w:t>
            </w:r>
          </w:p>
        </w:tc>
        <w:tc>
          <w:tcPr>
            <w:tcW w:w="70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0.14吨</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w:t>
            </w:r>
          </w:p>
        </w:tc>
        <w:tc>
          <w:tcPr>
            <w:tcW w:w="7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无</w:t>
            </w:r>
          </w:p>
        </w:tc>
      </w:tr>
    </w:tbl>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对污染物的处理</w:t>
      </w:r>
    </w:p>
    <w:p w:rsidR="00C067EE" w:rsidRDefault="008D4B2E" w:rsidP="00C067EE">
      <w:pPr>
        <w:pStyle w:val="a3"/>
        <w:divId w:val="1113130469"/>
        <w:rPr>
          <w:sz w:val="18"/>
          <w:szCs w:val="18"/>
        </w:rPr>
      </w:pPr>
      <w:proofErr w:type="gramStart"/>
      <w:r>
        <w:rPr>
          <w:rFonts w:hint="eastAsia"/>
          <w:sz w:val="18"/>
          <w:szCs w:val="18"/>
        </w:rPr>
        <w:lastRenderedPageBreak/>
        <w:t>软控机电</w:t>
      </w:r>
      <w:proofErr w:type="gramEnd"/>
      <w:r>
        <w:rPr>
          <w:rFonts w:hint="eastAsia"/>
          <w:sz w:val="18"/>
          <w:szCs w:val="18"/>
        </w:rPr>
        <w:t>：</w:t>
      </w:r>
    </w:p>
    <w:p w:rsidR="008D4B2E" w:rsidRPr="006C5451" w:rsidRDefault="008D4B2E" w:rsidP="006C5451">
      <w:pPr>
        <w:pStyle w:val="a3"/>
        <w:ind w:firstLineChars="200" w:firstLine="360"/>
        <w:divId w:val="1113130469"/>
        <w:rPr>
          <w:sz w:val="18"/>
          <w:szCs w:val="18"/>
        </w:rPr>
      </w:pPr>
      <w:r>
        <w:rPr>
          <w:rFonts w:cs="Calibri" w:hint="eastAsia"/>
          <w:sz w:val="18"/>
          <w:szCs w:val="18"/>
        </w:rPr>
        <w:t>喷漆线作业产生的有机废气采用活性炭吸附</w:t>
      </w:r>
      <w:r>
        <w:rPr>
          <w:rFonts w:ascii="Calibri" w:hAnsi="Calibri" w:cs="Calibri"/>
          <w:sz w:val="18"/>
          <w:szCs w:val="18"/>
        </w:rPr>
        <w:t>+</w:t>
      </w:r>
      <w:r>
        <w:rPr>
          <w:rFonts w:cs="Calibri" w:hint="eastAsia"/>
          <w:sz w:val="18"/>
          <w:szCs w:val="18"/>
        </w:rPr>
        <w:t>催化燃烧的方式进行处理，</w:t>
      </w:r>
      <w:r>
        <w:rPr>
          <w:rFonts w:ascii="Calibri" w:hAnsi="Calibri" w:cs="Calibri"/>
          <w:sz w:val="18"/>
          <w:szCs w:val="18"/>
        </w:rPr>
        <w:t>VOCs</w:t>
      </w:r>
      <w:r>
        <w:rPr>
          <w:rFonts w:cs="Calibri" w:hint="eastAsia"/>
          <w:sz w:val="18"/>
          <w:szCs w:val="18"/>
        </w:rPr>
        <w:t>废气处理设备可实现减少甲苯、二甲苯有机废气的排放，有组织排放有机废气排放达标。</w:t>
      </w:r>
    </w:p>
    <w:p w:rsidR="00C067EE" w:rsidRDefault="008D4B2E">
      <w:pPr>
        <w:pStyle w:val="a3"/>
        <w:spacing w:before="0" w:beforeAutospacing="0" w:after="0" w:afterAutospacing="0"/>
        <w:divId w:val="1113130469"/>
        <w:rPr>
          <w:rFonts w:ascii="Calibri" w:hAnsi="Calibri" w:cs="Calibri"/>
          <w:sz w:val="21"/>
          <w:szCs w:val="21"/>
        </w:rPr>
      </w:pPr>
      <w:r>
        <w:rPr>
          <w:rFonts w:cs="Calibri" w:hint="eastAsia"/>
          <w:sz w:val="18"/>
          <w:szCs w:val="18"/>
        </w:rPr>
        <w:t>抚顺伊科思：</w:t>
      </w:r>
    </w:p>
    <w:p w:rsidR="008D4B2E" w:rsidRDefault="008D4B2E" w:rsidP="00C067EE">
      <w:pPr>
        <w:pStyle w:val="a3"/>
        <w:spacing w:before="0" w:beforeAutospacing="0" w:after="0" w:afterAutospacing="0"/>
        <w:ind w:firstLineChars="200" w:firstLine="360"/>
        <w:divId w:val="1113130469"/>
        <w:rPr>
          <w:rFonts w:ascii="Calibri" w:hAnsi="Calibri" w:cs="Calibri"/>
          <w:sz w:val="21"/>
          <w:szCs w:val="21"/>
        </w:rPr>
      </w:pPr>
      <w:r>
        <w:rPr>
          <w:rFonts w:cs="Calibri" w:hint="eastAsia"/>
          <w:sz w:val="18"/>
          <w:szCs w:val="18"/>
        </w:rPr>
        <w:t>设置污水与处理单元，处理单元全部封闭进行废气收集及集中处理，安装一套尾气回收系统，碱洗塔</w:t>
      </w:r>
      <w:r>
        <w:rPr>
          <w:rFonts w:ascii="Calibri" w:hAnsi="Calibri" w:cs="Calibri"/>
          <w:sz w:val="18"/>
          <w:szCs w:val="18"/>
        </w:rPr>
        <w:t>+</w:t>
      </w:r>
      <w:r>
        <w:rPr>
          <w:rFonts w:cs="Calibri" w:hint="eastAsia"/>
          <w:sz w:val="18"/>
          <w:szCs w:val="18"/>
        </w:rPr>
        <w:t>活性炭吸附设施。在污水总排口安装在线监测设备，每两小时做样一次，装置区安装冷凝回收装置，均平稳运行。后处理有组织废气通过</w:t>
      </w:r>
      <w:r>
        <w:rPr>
          <w:rFonts w:ascii="Calibri" w:hAnsi="Calibri" w:cs="Calibri"/>
          <w:sz w:val="18"/>
          <w:szCs w:val="18"/>
        </w:rPr>
        <w:t>RCO</w:t>
      </w:r>
      <w:r>
        <w:rPr>
          <w:rFonts w:cs="Calibri" w:hint="eastAsia"/>
          <w:sz w:val="18"/>
          <w:szCs w:val="18"/>
        </w:rPr>
        <w:t>处理设施后达标排放，现已经通过环保验收，处理效率</w:t>
      </w:r>
      <w:r>
        <w:rPr>
          <w:rFonts w:ascii="Calibri" w:hAnsi="Calibri" w:cs="Calibri"/>
          <w:sz w:val="18"/>
          <w:szCs w:val="18"/>
        </w:rPr>
        <w:t>97%.</w:t>
      </w:r>
      <w:r>
        <w:rPr>
          <w:rFonts w:cs="Calibri" w:hint="eastAsia"/>
          <w:sz w:val="18"/>
          <w:szCs w:val="18"/>
        </w:rPr>
        <w:t>非甲烷总烃减排大约</w:t>
      </w:r>
      <w:r>
        <w:rPr>
          <w:rFonts w:ascii="Calibri" w:hAnsi="Calibri" w:cs="Calibri"/>
          <w:sz w:val="18"/>
          <w:szCs w:val="18"/>
        </w:rPr>
        <w:t>15</w:t>
      </w:r>
      <w:r>
        <w:rPr>
          <w:rFonts w:cs="Calibri" w:hint="eastAsia"/>
          <w:sz w:val="18"/>
          <w:szCs w:val="18"/>
        </w:rPr>
        <w:t>吨左右。</w:t>
      </w:r>
      <w:r>
        <w:rPr>
          <w:rFonts w:ascii="Calibri" w:hAnsi="Calibri" w:cs="Calibri"/>
          <w:sz w:val="18"/>
          <w:szCs w:val="18"/>
        </w:rPr>
        <w:t>2023</w:t>
      </w:r>
      <w:r>
        <w:rPr>
          <w:rFonts w:cs="Calibri" w:hint="eastAsia"/>
          <w:sz w:val="18"/>
          <w:szCs w:val="18"/>
        </w:rPr>
        <w:t>年</w:t>
      </w:r>
      <w:r>
        <w:rPr>
          <w:rFonts w:ascii="Calibri" w:hAnsi="Calibri" w:cs="Calibri"/>
          <w:sz w:val="18"/>
          <w:szCs w:val="18"/>
        </w:rPr>
        <w:t>11</w:t>
      </w:r>
      <w:r>
        <w:rPr>
          <w:rFonts w:cs="Calibri" w:hint="eastAsia"/>
          <w:sz w:val="18"/>
          <w:szCs w:val="18"/>
        </w:rPr>
        <w:t>月在污水预处理单元废气收集中增加一个除湿设备，提高废气中水含量，减轻后端活性炭使用活性，</w:t>
      </w:r>
      <w:r>
        <w:rPr>
          <w:rFonts w:ascii="Calibri" w:hAnsi="Calibri" w:cs="Calibri"/>
          <w:sz w:val="18"/>
          <w:szCs w:val="18"/>
        </w:rPr>
        <w:t>2023</w:t>
      </w:r>
      <w:r>
        <w:rPr>
          <w:rFonts w:cs="Calibri" w:hint="eastAsia"/>
          <w:sz w:val="18"/>
          <w:szCs w:val="18"/>
        </w:rPr>
        <w:t>年</w:t>
      </w:r>
      <w:r>
        <w:rPr>
          <w:rFonts w:ascii="Calibri" w:hAnsi="Calibri" w:cs="Calibri"/>
          <w:sz w:val="18"/>
          <w:szCs w:val="18"/>
        </w:rPr>
        <w:t>12</w:t>
      </w:r>
      <w:r>
        <w:rPr>
          <w:rFonts w:cs="Calibri" w:hint="eastAsia"/>
          <w:sz w:val="18"/>
          <w:szCs w:val="18"/>
        </w:rPr>
        <w:t>月对</w:t>
      </w:r>
      <w:r>
        <w:rPr>
          <w:rFonts w:ascii="Calibri" w:hAnsi="Calibri" w:cs="Calibri"/>
          <w:sz w:val="18"/>
          <w:szCs w:val="18"/>
        </w:rPr>
        <w:t>804</w:t>
      </w:r>
      <w:r>
        <w:rPr>
          <w:rFonts w:cs="Calibri" w:hint="eastAsia"/>
          <w:sz w:val="18"/>
          <w:szCs w:val="18"/>
        </w:rPr>
        <w:t>常压罐区的储罐进行废气收集改造，实现了储罐统一收集，集中排放至油气回收系统，减少废气排放，达标排放。</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突发环境事件应急预案</w:t>
      </w:r>
    </w:p>
    <w:p w:rsidR="008D4B2E" w:rsidRDefault="008D4B2E">
      <w:pPr>
        <w:pStyle w:val="a3"/>
        <w:divId w:val="917440714"/>
        <w:rPr>
          <w:sz w:val="18"/>
          <w:szCs w:val="18"/>
        </w:rPr>
      </w:pPr>
      <w:proofErr w:type="gramStart"/>
      <w:r>
        <w:rPr>
          <w:rFonts w:hint="eastAsia"/>
          <w:sz w:val="18"/>
          <w:szCs w:val="18"/>
        </w:rPr>
        <w:t>软控机电</w:t>
      </w:r>
      <w:proofErr w:type="gramEnd"/>
      <w:r>
        <w:rPr>
          <w:rFonts w:hint="eastAsia"/>
          <w:sz w:val="18"/>
          <w:szCs w:val="18"/>
        </w:rPr>
        <w:t>：</w:t>
      </w:r>
    </w:p>
    <w:p w:rsidR="008D4B2E" w:rsidRDefault="008D4B2E" w:rsidP="00C067EE">
      <w:pPr>
        <w:pStyle w:val="a3"/>
        <w:spacing w:before="0" w:beforeAutospacing="0" w:after="0" w:afterAutospacing="0"/>
        <w:ind w:firstLineChars="200" w:firstLine="360"/>
        <w:divId w:val="917440714"/>
        <w:rPr>
          <w:rFonts w:ascii="Calibri" w:hAnsi="Calibri" w:cs="Calibri"/>
          <w:sz w:val="21"/>
          <w:szCs w:val="21"/>
        </w:rPr>
      </w:pPr>
      <w:proofErr w:type="gramStart"/>
      <w:r>
        <w:rPr>
          <w:rFonts w:cs="Calibri" w:hint="eastAsia"/>
          <w:sz w:val="18"/>
          <w:szCs w:val="18"/>
        </w:rPr>
        <w:t>青岛软控机电工程</w:t>
      </w:r>
      <w:proofErr w:type="gramEnd"/>
      <w:r>
        <w:rPr>
          <w:rFonts w:cs="Calibri" w:hint="eastAsia"/>
          <w:sz w:val="18"/>
          <w:szCs w:val="18"/>
        </w:rPr>
        <w:t>有限公司《突发环境事件应急预案》已报备青岛市生态环境局胶州分局，对现有污染防治措施安全评估，并严格按照预案内容定期演练。</w:t>
      </w:r>
      <w:r>
        <w:rPr>
          <w:rFonts w:ascii="Calibri" w:hAnsi="Calibri" w:cs="Calibri"/>
          <w:sz w:val="18"/>
          <w:szCs w:val="18"/>
        </w:rPr>
        <w:t xml:space="preserve"> </w:t>
      </w:r>
    </w:p>
    <w:p w:rsidR="008D4B2E" w:rsidRDefault="008D4B2E">
      <w:pPr>
        <w:pStyle w:val="a3"/>
        <w:spacing w:before="0" w:beforeAutospacing="0" w:after="0" w:afterAutospacing="0"/>
        <w:divId w:val="917440714"/>
        <w:rPr>
          <w:rFonts w:ascii="Calibri" w:hAnsi="Calibri" w:cs="Calibri"/>
          <w:sz w:val="21"/>
          <w:szCs w:val="21"/>
        </w:rPr>
      </w:pPr>
      <w:r>
        <w:rPr>
          <w:rFonts w:ascii="Calibri" w:hAnsi="Calibri" w:cs="Calibri"/>
          <w:sz w:val="21"/>
          <w:szCs w:val="21"/>
        </w:rPr>
        <w:t> </w:t>
      </w:r>
    </w:p>
    <w:p w:rsidR="008D4B2E" w:rsidRDefault="008D4B2E">
      <w:pPr>
        <w:pStyle w:val="a3"/>
        <w:spacing w:before="0" w:beforeAutospacing="0" w:after="0" w:afterAutospacing="0"/>
        <w:divId w:val="917440714"/>
        <w:rPr>
          <w:rFonts w:ascii="Calibri" w:hAnsi="Calibri" w:cs="Calibri"/>
          <w:sz w:val="21"/>
          <w:szCs w:val="21"/>
        </w:rPr>
      </w:pPr>
      <w:r>
        <w:rPr>
          <w:rFonts w:cs="Calibri" w:hint="eastAsia"/>
          <w:sz w:val="18"/>
          <w:szCs w:val="18"/>
        </w:rPr>
        <w:t>抚顺伊科思：</w:t>
      </w:r>
    </w:p>
    <w:p w:rsidR="008D4B2E" w:rsidRDefault="008D4B2E" w:rsidP="00C067EE">
      <w:pPr>
        <w:pStyle w:val="a3"/>
        <w:spacing w:before="0" w:beforeAutospacing="0" w:after="0" w:afterAutospacing="0"/>
        <w:ind w:firstLineChars="200" w:firstLine="360"/>
        <w:divId w:val="917440714"/>
        <w:rPr>
          <w:rFonts w:ascii="Calibri" w:hAnsi="Calibri" w:cs="Calibri"/>
          <w:sz w:val="21"/>
          <w:szCs w:val="21"/>
        </w:rPr>
      </w:pPr>
      <w:r>
        <w:rPr>
          <w:rFonts w:cs="Calibri" w:hint="eastAsia"/>
          <w:sz w:val="18"/>
          <w:szCs w:val="18"/>
        </w:rPr>
        <w:t>抚顺伊科思已编制《抚顺伊科思新材料有限公司突发环境事件应急预案》并在抚顺市环境保护局备案。</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环境自行监测方案</w:t>
      </w:r>
    </w:p>
    <w:p w:rsidR="008D4B2E" w:rsidRDefault="008D4B2E">
      <w:pPr>
        <w:pStyle w:val="a3"/>
        <w:spacing w:before="0" w:beforeAutospacing="0" w:after="0" w:afterAutospacing="0"/>
        <w:divId w:val="691952782"/>
        <w:rPr>
          <w:rFonts w:ascii="Calibri" w:hAnsi="Calibri" w:cs="Calibri"/>
          <w:sz w:val="21"/>
          <w:szCs w:val="21"/>
        </w:rPr>
      </w:pPr>
      <w:proofErr w:type="gramStart"/>
      <w:r>
        <w:rPr>
          <w:rFonts w:cs="Calibri" w:hint="eastAsia"/>
          <w:sz w:val="18"/>
          <w:szCs w:val="18"/>
        </w:rPr>
        <w:t>软控机电</w:t>
      </w:r>
      <w:proofErr w:type="gramEnd"/>
      <w:r>
        <w:rPr>
          <w:rFonts w:cs="Calibri" w:hint="eastAsia"/>
          <w:sz w:val="18"/>
          <w:szCs w:val="18"/>
        </w:rPr>
        <w:t>：</w:t>
      </w:r>
    </w:p>
    <w:p w:rsidR="008D4B2E" w:rsidRDefault="008D4B2E" w:rsidP="00C067EE">
      <w:pPr>
        <w:pStyle w:val="a3"/>
        <w:spacing w:before="0" w:beforeAutospacing="0" w:after="0" w:afterAutospacing="0"/>
        <w:ind w:firstLineChars="200" w:firstLine="360"/>
        <w:divId w:val="691952782"/>
        <w:rPr>
          <w:rFonts w:ascii="Calibri" w:hAnsi="Calibri" w:cs="Calibri"/>
          <w:sz w:val="21"/>
          <w:szCs w:val="21"/>
        </w:rPr>
      </w:pPr>
      <w:proofErr w:type="gramStart"/>
      <w:r>
        <w:rPr>
          <w:rFonts w:cs="Calibri" w:hint="eastAsia"/>
          <w:sz w:val="18"/>
          <w:szCs w:val="18"/>
        </w:rPr>
        <w:t>青岛软控机电工程</w:t>
      </w:r>
      <w:proofErr w:type="gramEnd"/>
      <w:r>
        <w:rPr>
          <w:rFonts w:cs="Calibri" w:hint="eastAsia"/>
          <w:sz w:val="18"/>
          <w:szCs w:val="18"/>
        </w:rPr>
        <w:t>有限公司规范按照排污许可证执行报告规定进行季度、年报，上</w:t>
      </w:r>
      <w:proofErr w:type="gramStart"/>
      <w:r>
        <w:rPr>
          <w:rFonts w:cs="Calibri" w:hint="eastAsia"/>
          <w:sz w:val="18"/>
          <w:szCs w:val="18"/>
        </w:rPr>
        <w:t>传全国</w:t>
      </w:r>
      <w:proofErr w:type="gramEnd"/>
      <w:r>
        <w:rPr>
          <w:rFonts w:cs="Calibri" w:hint="eastAsia"/>
          <w:sz w:val="18"/>
          <w:szCs w:val="18"/>
        </w:rPr>
        <w:t>排污许可证管理信息平台。</w:t>
      </w:r>
    </w:p>
    <w:p w:rsidR="008D4B2E" w:rsidRDefault="008D4B2E">
      <w:pPr>
        <w:pStyle w:val="a3"/>
        <w:spacing w:before="0" w:beforeAutospacing="0" w:after="0" w:afterAutospacing="0"/>
        <w:divId w:val="691952782"/>
        <w:rPr>
          <w:rFonts w:ascii="Calibri" w:hAnsi="Calibri" w:cs="Calibri"/>
          <w:sz w:val="21"/>
          <w:szCs w:val="21"/>
        </w:rPr>
      </w:pPr>
      <w:r>
        <w:rPr>
          <w:rFonts w:ascii="Calibri" w:hAnsi="Calibri" w:cs="Calibri"/>
          <w:sz w:val="18"/>
          <w:szCs w:val="18"/>
        </w:rPr>
        <w:t>2023</w:t>
      </w:r>
      <w:r>
        <w:rPr>
          <w:rFonts w:cs="Calibri" w:hint="eastAsia"/>
          <w:sz w:val="18"/>
          <w:szCs w:val="18"/>
        </w:rPr>
        <w:t>年</w:t>
      </w:r>
      <w:r>
        <w:rPr>
          <w:rFonts w:ascii="Calibri" w:hAnsi="Calibri" w:cs="Calibri"/>
          <w:sz w:val="18"/>
          <w:szCs w:val="18"/>
        </w:rPr>
        <w:t>6</w:t>
      </w:r>
      <w:r>
        <w:rPr>
          <w:rFonts w:cs="Calibri" w:hint="eastAsia"/>
          <w:sz w:val="18"/>
          <w:szCs w:val="18"/>
        </w:rPr>
        <w:t>月，公司委托青岛顺昌检测评价有限公司进行环境检测，严格按照排污许可证规定项目执行检测频次，各项检测结果均达标。</w:t>
      </w:r>
    </w:p>
    <w:p w:rsidR="008D4B2E" w:rsidRDefault="008D4B2E">
      <w:pPr>
        <w:pStyle w:val="a3"/>
        <w:spacing w:before="0" w:beforeAutospacing="0" w:after="0" w:afterAutospacing="0"/>
        <w:divId w:val="691952782"/>
        <w:rPr>
          <w:rFonts w:ascii="Calibri" w:hAnsi="Calibri" w:cs="Calibri"/>
          <w:sz w:val="21"/>
          <w:szCs w:val="21"/>
        </w:rPr>
      </w:pPr>
      <w:r>
        <w:rPr>
          <w:rFonts w:ascii="Calibri" w:hAnsi="Calibri" w:cs="Calibri"/>
          <w:sz w:val="21"/>
          <w:szCs w:val="21"/>
        </w:rPr>
        <w:t> </w:t>
      </w:r>
    </w:p>
    <w:p w:rsidR="008D4B2E" w:rsidRDefault="008D4B2E">
      <w:pPr>
        <w:pStyle w:val="a3"/>
        <w:spacing w:before="0" w:beforeAutospacing="0" w:after="0" w:afterAutospacing="0"/>
        <w:divId w:val="691952782"/>
        <w:rPr>
          <w:rFonts w:ascii="Calibri" w:hAnsi="Calibri" w:cs="Calibri"/>
          <w:sz w:val="21"/>
          <w:szCs w:val="21"/>
        </w:rPr>
      </w:pPr>
      <w:r>
        <w:rPr>
          <w:rFonts w:cs="Calibri" w:hint="eastAsia"/>
          <w:sz w:val="18"/>
          <w:szCs w:val="18"/>
        </w:rPr>
        <w:t>抚顺伊科思：</w:t>
      </w:r>
    </w:p>
    <w:p w:rsidR="008D4B2E" w:rsidRDefault="008D4B2E" w:rsidP="00C067EE">
      <w:pPr>
        <w:pStyle w:val="a3"/>
        <w:spacing w:before="0" w:beforeAutospacing="0" w:after="0" w:afterAutospacing="0"/>
        <w:ind w:firstLineChars="200" w:firstLine="360"/>
        <w:divId w:val="691952782"/>
        <w:rPr>
          <w:rFonts w:ascii="Calibri" w:hAnsi="Calibri" w:cs="Calibri"/>
          <w:sz w:val="21"/>
          <w:szCs w:val="21"/>
        </w:rPr>
      </w:pPr>
      <w:r>
        <w:rPr>
          <w:rFonts w:cs="Calibri" w:hint="eastAsia"/>
          <w:sz w:val="18"/>
          <w:szCs w:val="18"/>
        </w:rPr>
        <w:t>抚顺伊科思已委托辽宁鑫铭环保科技有限公司进行环境检测，检测项目包括：废水、废气、噪声等，检测结果均达标。污水总排口安装在线监测设施并上传至辽宁省环境监测站监控平台。按照规范要求定期进行</w:t>
      </w:r>
      <w:r>
        <w:rPr>
          <w:rFonts w:ascii="Calibri" w:hAnsi="Calibri" w:cs="Calibri"/>
          <w:sz w:val="18"/>
          <w:szCs w:val="18"/>
        </w:rPr>
        <w:t>LDAR</w:t>
      </w:r>
      <w:r>
        <w:rPr>
          <w:rFonts w:cs="Calibri" w:hint="eastAsia"/>
          <w:sz w:val="18"/>
          <w:szCs w:val="18"/>
        </w:rPr>
        <w:t xml:space="preserve">检测。后处理有组织废气已安装在线监测设备，现已经联网，在线设备已经通过验收。 </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环境治理和保护的投入及缴纳环境保护税的相关情况</w:t>
      </w:r>
    </w:p>
    <w:p w:rsidR="008D4B2E" w:rsidRDefault="008D4B2E">
      <w:pPr>
        <w:pStyle w:val="a3"/>
        <w:divId w:val="1481113752"/>
        <w:rPr>
          <w:sz w:val="18"/>
          <w:szCs w:val="18"/>
        </w:rPr>
      </w:pPr>
      <w:proofErr w:type="gramStart"/>
      <w:r>
        <w:rPr>
          <w:rFonts w:hint="eastAsia"/>
          <w:sz w:val="18"/>
          <w:szCs w:val="18"/>
        </w:rPr>
        <w:t>软控机电</w:t>
      </w:r>
      <w:proofErr w:type="gramEnd"/>
      <w:r>
        <w:rPr>
          <w:rFonts w:hint="eastAsia"/>
          <w:sz w:val="18"/>
          <w:szCs w:val="18"/>
        </w:rPr>
        <w:t>：</w:t>
      </w:r>
    </w:p>
    <w:p w:rsidR="008D4B2E" w:rsidRDefault="008D4B2E" w:rsidP="00C067EE">
      <w:pPr>
        <w:pStyle w:val="a3"/>
        <w:spacing w:before="0" w:beforeAutospacing="0" w:after="0" w:afterAutospacing="0"/>
        <w:ind w:firstLineChars="200" w:firstLine="360"/>
        <w:divId w:val="1481113752"/>
        <w:rPr>
          <w:rFonts w:ascii="Calibri" w:hAnsi="Calibri" w:cs="Calibri"/>
          <w:sz w:val="21"/>
          <w:szCs w:val="21"/>
        </w:rPr>
      </w:pPr>
      <w:r>
        <w:rPr>
          <w:rFonts w:ascii="Calibri" w:hAnsi="Calibri" w:cs="Calibri"/>
          <w:sz w:val="18"/>
          <w:szCs w:val="18"/>
        </w:rPr>
        <w:t>2023</w:t>
      </w:r>
      <w:r>
        <w:rPr>
          <w:rFonts w:cs="Calibri" w:hint="eastAsia"/>
          <w:sz w:val="18"/>
          <w:szCs w:val="18"/>
        </w:rPr>
        <w:t>年环境治理和保护投入</w:t>
      </w:r>
      <w:r>
        <w:rPr>
          <w:rFonts w:ascii="Calibri" w:hAnsi="Calibri" w:cs="Calibri"/>
          <w:sz w:val="18"/>
          <w:szCs w:val="18"/>
        </w:rPr>
        <w:t>50</w:t>
      </w:r>
      <w:r>
        <w:rPr>
          <w:rFonts w:cs="Calibri" w:hint="eastAsia"/>
          <w:sz w:val="18"/>
          <w:szCs w:val="18"/>
        </w:rPr>
        <w:t>万，缴纳环境保护税</w:t>
      </w:r>
      <w:r>
        <w:rPr>
          <w:rFonts w:ascii="Calibri" w:hAnsi="Calibri" w:cs="Calibri"/>
          <w:sz w:val="18"/>
          <w:szCs w:val="18"/>
        </w:rPr>
        <w:t>2.16</w:t>
      </w:r>
      <w:r>
        <w:rPr>
          <w:rFonts w:ascii="Calibri" w:hAnsi="Calibri" w:cs="Calibri"/>
          <w:sz w:val="18"/>
          <w:szCs w:val="18"/>
        </w:rPr>
        <w:t>万</w:t>
      </w:r>
      <w:r>
        <w:rPr>
          <w:rFonts w:cs="Calibri" w:hint="eastAsia"/>
          <w:sz w:val="18"/>
          <w:szCs w:val="18"/>
        </w:rPr>
        <w:t>元。</w:t>
      </w:r>
    </w:p>
    <w:p w:rsidR="008D4B2E" w:rsidRDefault="008D4B2E">
      <w:pPr>
        <w:pStyle w:val="a3"/>
        <w:spacing w:before="0" w:beforeAutospacing="0" w:after="0" w:afterAutospacing="0"/>
        <w:divId w:val="1481113752"/>
        <w:rPr>
          <w:rFonts w:ascii="Calibri" w:hAnsi="Calibri" w:cs="Calibri"/>
          <w:sz w:val="21"/>
          <w:szCs w:val="21"/>
        </w:rPr>
      </w:pPr>
      <w:r>
        <w:rPr>
          <w:rFonts w:ascii="Calibri" w:hAnsi="Calibri" w:cs="Calibri"/>
          <w:sz w:val="21"/>
          <w:szCs w:val="21"/>
        </w:rPr>
        <w:t> </w:t>
      </w:r>
    </w:p>
    <w:p w:rsidR="008D4B2E" w:rsidRDefault="008D4B2E">
      <w:pPr>
        <w:pStyle w:val="a3"/>
        <w:spacing w:before="0" w:beforeAutospacing="0" w:after="0" w:afterAutospacing="0"/>
        <w:divId w:val="1481113752"/>
        <w:rPr>
          <w:rFonts w:ascii="Calibri" w:hAnsi="Calibri" w:cs="Calibri"/>
          <w:sz w:val="21"/>
          <w:szCs w:val="21"/>
        </w:rPr>
      </w:pPr>
      <w:r>
        <w:rPr>
          <w:rFonts w:cs="Calibri" w:hint="eastAsia"/>
          <w:sz w:val="18"/>
          <w:szCs w:val="18"/>
        </w:rPr>
        <w:t>抚顺伊科思：</w:t>
      </w:r>
    </w:p>
    <w:p w:rsidR="008D4B2E" w:rsidRDefault="008D4B2E" w:rsidP="00C067EE">
      <w:pPr>
        <w:pStyle w:val="a3"/>
        <w:spacing w:before="0" w:beforeAutospacing="0" w:after="0" w:afterAutospacing="0"/>
        <w:ind w:firstLineChars="200" w:firstLine="360"/>
        <w:divId w:val="1481113752"/>
        <w:rPr>
          <w:rFonts w:ascii="Calibri" w:hAnsi="Calibri" w:cs="Calibri"/>
          <w:sz w:val="21"/>
          <w:szCs w:val="21"/>
        </w:rPr>
      </w:pPr>
      <w:r>
        <w:rPr>
          <w:rFonts w:ascii="Calibri" w:hAnsi="Calibri" w:cs="Calibri"/>
          <w:sz w:val="18"/>
          <w:szCs w:val="18"/>
        </w:rPr>
        <w:t>2023</w:t>
      </w:r>
      <w:r>
        <w:rPr>
          <w:rFonts w:cs="Calibri" w:hint="eastAsia"/>
          <w:sz w:val="18"/>
          <w:szCs w:val="18"/>
        </w:rPr>
        <w:t>年更换油气回收设施活性炭及催化剂，大约</w:t>
      </w:r>
      <w:r>
        <w:rPr>
          <w:rFonts w:ascii="Calibri" w:hAnsi="Calibri" w:cs="Calibri"/>
          <w:sz w:val="18"/>
          <w:szCs w:val="18"/>
        </w:rPr>
        <w:t>40</w:t>
      </w:r>
      <w:r>
        <w:rPr>
          <w:rFonts w:cs="Calibri" w:hint="eastAsia"/>
          <w:sz w:val="18"/>
          <w:szCs w:val="18"/>
        </w:rPr>
        <w:t>万元。因废水需要统一排放至高新区污水处理厂，不属于直接排放，废气排放污染因子均不属于环保税中要求缴纳范围，所以无需缴纳环保税。</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在报告期内为减少其碳排放所采取的措施及效果</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报告期内因环境问题受到行政处罚的情况</w:t>
      </w:r>
      <w:r w:rsidR="006C5451">
        <w:rPr>
          <w:rFonts w:ascii="宋体" w:eastAsia="宋体" w:hAnsi="宋体" w:cs="宋体"/>
          <w:sz w:val="18"/>
          <w:szCs w:val="18"/>
        </w:rPr>
        <w:t>：无</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其他应当公开的环境信息</w:t>
      </w:r>
      <w:r w:rsidR="006C5451">
        <w:rPr>
          <w:rFonts w:ascii="宋体" w:eastAsia="宋体" w:hAnsi="宋体" w:cs="宋体"/>
          <w:sz w:val="18"/>
          <w:szCs w:val="18"/>
        </w:rPr>
        <w:t>：无</w:t>
      </w:r>
    </w:p>
    <w:p w:rsidR="008D4B2E" w:rsidRPr="006C5451" w:rsidRDefault="008D4B2E" w:rsidP="006C5451">
      <w:pPr>
        <w:spacing w:before="100" w:after="100" w:line="240" w:lineRule="exact"/>
        <w:rPr>
          <w:rFonts w:ascii="宋体" w:eastAsia="宋体" w:hAnsi="宋体" w:cs="宋体"/>
          <w:sz w:val="18"/>
          <w:szCs w:val="18"/>
        </w:rPr>
      </w:pPr>
      <w:r>
        <w:rPr>
          <w:rFonts w:ascii="宋体" w:eastAsia="宋体" w:hAnsi="宋体" w:cs="宋体"/>
          <w:sz w:val="18"/>
          <w:szCs w:val="18"/>
        </w:rPr>
        <w:t>其他环保相关信息</w:t>
      </w:r>
      <w:r w:rsidR="006C5451">
        <w:rPr>
          <w:rFonts w:ascii="宋体" w:eastAsia="宋体" w:hAnsi="宋体" w:cs="宋体"/>
          <w:sz w:val="18"/>
          <w:szCs w:val="18"/>
        </w:rPr>
        <w:t>：无</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公司需遵守《深圳证券交易所上市公司自律监管指引第3号——行业信息披露》中化工行业的披露要求</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上市公司发生环境事故的相关情况</w:t>
      </w:r>
    </w:p>
    <w:p w:rsidR="008D4B2E" w:rsidRDefault="008D4B2E">
      <w:pPr>
        <w:pStyle w:val="a3"/>
        <w:divId w:val="619452814"/>
        <w:rPr>
          <w:sz w:val="18"/>
          <w:szCs w:val="18"/>
        </w:rPr>
      </w:pPr>
      <w:r>
        <w:rPr>
          <w:rFonts w:hint="eastAsia"/>
          <w:sz w:val="18"/>
          <w:szCs w:val="18"/>
        </w:rPr>
        <w:t>无</w:t>
      </w:r>
    </w:p>
    <w:p w:rsidR="00BA0365" w:rsidRDefault="008D4B2E">
      <w:pPr>
        <w:pStyle w:val="2"/>
        <w:spacing w:before="300" w:after="300" w:line="320" w:lineRule="exact"/>
        <w:rPr>
          <w:rFonts w:ascii="宋体" w:eastAsia="宋体" w:hAnsi="宋体" w:cs="宋体"/>
          <w:b/>
          <w:bCs/>
          <w:sz w:val="24"/>
          <w:szCs w:val="24"/>
        </w:rPr>
      </w:pPr>
      <w:bookmarkStart w:id="93" w:name="_Toc988982"/>
      <w:r>
        <w:rPr>
          <w:rFonts w:ascii="宋体" w:eastAsia="宋体" w:hAnsi="宋体" w:cs="宋体"/>
          <w:b/>
          <w:bCs/>
          <w:sz w:val="24"/>
          <w:szCs w:val="24"/>
        </w:rPr>
        <w:t>二、社会责任情况</w:t>
      </w:r>
      <w:bookmarkEnd w:id="93"/>
    </w:p>
    <w:p w:rsidR="008D4B2E" w:rsidRDefault="008D4B2E">
      <w:pPr>
        <w:pStyle w:val="a3"/>
        <w:spacing w:before="0" w:beforeAutospacing="0" w:after="0" w:afterAutospacing="0"/>
        <w:ind w:firstLine="360"/>
        <w:divId w:val="2009206045"/>
      </w:pPr>
      <w:r>
        <w:rPr>
          <w:rFonts w:hint="eastAsia"/>
          <w:sz w:val="18"/>
          <w:szCs w:val="18"/>
        </w:rPr>
        <w:t>《</w:t>
      </w:r>
      <w:r>
        <w:rPr>
          <w:rFonts w:hint="eastAsia"/>
          <w:color w:val="000000"/>
          <w:sz w:val="18"/>
          <w:szCs w:val="18"/>
        </w:rPr>
        <w:t>公司2023年度可持续发展报告</w:t>
      </w:r>
      <w:r>
        <w:rPr>
          <w:rFonts w:hint="eastAsia"/>
          <w:sz w:val="18"/>
          <w:szCs w:val="18"/>
        </w:rPr>
        <w:t>》刊登于</w:t>
      </w:r>
      <w:r>
        <w:rPr>
          <w:rFonts w:ascii="Times New Roman" w:hAnsi="Times New Roman" w:cs="Times New Roman"/>
          <w:sz w:val="18"/>
          <w:szCs w:val="18"/>
        </w:rPr>
        <w:t>2024</w:t>
      </w:r>
      <w:r>
        <w:rPr>
          <w:rFonts w:hint="eastAsia"/>
          <w:sz w:val="18"/>
          <w:szCs w:val="18"/>
        </w:rPr>
        <w:t>年</w:t>
      </w:r>
      <w:r>
        <w:rPr>
          <w:rFonts w:ascii="Times New Roman" w:hAnsi="Times New Roman" w:cs="Times New Roman"/>
          <w:sz w:val="18"/>
          <w:szCs w:val="18"/>
        </w:rPr>
        <w:t>4</w:t>
      </w:r>
      <w:r>
        <w:rPr>
          <w:rFonts w:hint="eastAsia"/>
          <w:sz w:val="18"/>
          <w:szCs w:val="18"/>
        </w:rPr>
        <w:t>月3日巨潮资讯网站（</w:t>
      </w:r>
      <w:hyperlink r:id="rId10" w:history="1">
        <w:r>
          <w:rPr>
            <w:rStyle w:val="a5"/>
            <w:rFonts w:ascii="Times New Roman" w:hAnsi="Times New Roman" w:cs="Times New Roman"/>
            <w:sz w:val="18"/>
            <w:szCs w:val="18"/>
          </w:rPr>
          <w:t>http://www.cninfo.com.cn</w:t>
        </w:r>
      </w:hyperlink>
      <w:r>
        <w:rPr>
          <w:rFonts w:hint="eastAsia"/>
          <w:sz w:val="18"/>
          <w:szCs w:val="18"/>
        </w:rPr>
        <w:t>）。</w:t>
      </w:r>
    </w:p>
    <w:p w:rsidR="008D4B2E" w:rsidRDefault="008D4B2E">
      <w:pPr>
        <w:pStyle w:val="a3"/>
        <w:spacing w:before="0" w:beforeAutospacing="0" w:after="0" w:afterAutospacing="0"/>
        <w:ind w:firstLine="360"/>
        <w:divId w:val="2009206045"/>
      </w:pPr>
      <w:r>
        <w:rPr>
          <w:rFonts w:hint="eastAsia"/>
          <w:sz w:val="18"/>
          <w:szCs w:val="18"/>
        </w:rPr>
        <w:t>公司历来把企业的发展战略和企业的社会责任相结合，将社会责任的发展规划和实践同公司自身的发展目标相结合。深入贯彻科学发展观，积极带动当地经济和社会的发展，继续倡导节能减排、绿色环保，致力于维护公司全体员工的利益，加强与利益相关方进行沟通合作，奋力推进公司可持续发展，大力发展循环经济，为建设环境友好型和资源节约型社会做出应有的贡献，努力实现企业的社会价值和自身价值的有机统一。</w:t>
      </w:r>
    </w:p>
    <w:p w:rsidR="008D4B2E" w:rsidRDefault="008D4B2E">
      <w:pPr>
        <w:pStyle w:val="a3"/>
        <w:spacing w:before="0" w:beforeAutospacing="0" w:after="0" w:afterAutospacing="0"/>
        <w:ind w:firstLine="360"/>
        <w:divId w:val="2009206045"/>
      </w:pPr>
      <w:r>
        <w:rPr>
          <w:rFonts w:hint="eastAsia"/>
          <w:sz w:val="18"/>
          <w:szCs w:val="18"/>
        </w:rPr>
        <w:t xml:space="preserve">报告期内，公司按照《上市公司自律监管指引第1号—主板上市公司规范运作》等相关规定，积极维护公司股东、债权人、供应商、客户、员工权益保护；积极落实安全生产、节能减排、环境保护工作，同时积极参与社会公益活动，公司在报告期内基本完成了上一年度承诺的社会责任。 </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公司需遵守《深圳证券交易所上市公司自律监管指引第3号——行业信息披露》中化工行业的披露要求</w:t>
      </w:r>
    </w:p>
    <w:p w:rsidR="008D4B2E" w:rsidRDefault="008D4B2E">
      <w:pPr>
        <w:pStyle w:val="a3"/>
        <w:divId w:val="240260307"/>
        <w:rPr>
          <w:sz w:val="18"/>
          <w:szCs w:val="18"/>
        </w:rPr>
      </w:pPr>
      <w:r>
        <w:rPr>
          <w:rFonts w:hint="eastAsia"/>
          <w:sz w:val="18"/>
          <w:szCs w:val="18"/>
        </w:rPr>
        <w:t>无</w:t>
      </w:r>
    </w:p>
    <w:p w:rsidR="00BA0365" w:rsidRDefault="008D4B2E">
      <w:pPr>
        <w:pStyle w:val="2"/>
        <w:spacing w:before="300" w:after="300" w:line="320" w:lineRule="exact"/>
        <w:rPr>
          <w:rFonts w:ascii="宋体" w:eastAsia="宋体" w:hAnsi="宋体" w:cs="宋体"/>
          <w:b/>
          <w:bCs/>
          <w:sz w:val="24"/>
          <w:szCs w:val="24"/>
        </w:rPr>
      </w:pPr>
      <w:bookmarkStart w:id="94" w:name="_Toc988983"/>
      <w:r>
        <w:rPr>
          <w:rFonts w:ascii="宋体" w:eastAsia="宋体" w:hAnsi="宋体" w:cs="宋体"/>
          <w:b/>
          <w:bCs/>
          <w:sz w:val="24"/>
          <w:szCs w:val="24"/>
        </w:rPr>
        <w:t>三、巩固拓展脱贫攻坚成果、乡村振兴的情况</w:t>
      </w:r>
      <w:bookmarkEnd w:id="94"/>
    </w:p>
    <w:p w:rsidR="008D4B2E" w:rsidRDefault="008D4B2E">
      <w:pPr>
        <w:pStyle w:val="a3"/>
        <w:spacing w:before="0" w:beforeAutospacing="0" w:after="0" w:afterAutospacing="0"/>
        <w:ind w:firstLine="360"/>
        <w:divId w:val="2080248738"/>
      </w:pPr>
      <w:r>
        <w:rPr>
          <w:rFonts w:hint="eastAsia"/>
          <w:sz w:val="18"/>
          <w:szCs w:val="18"/>
        </w:rPr>
        <w:t>公司截止</w:t>
      </w:r>
      <w:r>
        <w:rPr>
          <w:rFonts w:ascii="Times New Roman" w:hAnsi="Times New Roman" w:cs="Times New Roman"/>
          <w:sz w:val="18"/>
          <w:szCs w:val="18"/>
        </w:rPr>
        <w:t>2023</w:t>
      </w:r>
      <w:r>
        <w:rPr>
          <w:rFonts w:hint="eastAsia"/>
          <w:sz w:val="18"/>
          <w:szCs w:val="18"/>
        </w:rPr>
        <w:t>年度暂未开展巩固脱贫攻坚成果、乡村振兴相关工作。</w:t>
      </w:r>
    </w:p>
    <w:p w:rsidR="00BA0365" w:rsidRDefault="008D4B2E">
      <w:r>
        <w:br w:type="page"/>
      </w:r>
    </w:p>
    <w:p w:rsidR="00BA0365" w:rsidRDefault="008D4B2E">
      <w:pPr>
        <w:pStyle w:val="headingh1"/>
        <w:spacing w:before="340" w:after="330" w:line="773" w:lineRule="exact"/>
        <w:jc w:val="center"/>
        <w:rPr>
          <w:rFonts w:ascii="宋体" w:eastAsia="宋体" w:hAnsi="宋体" w:cs="宋体"/>
          <w:b/>
          <w:bCs/>
          <w:sz w:val="32"/>
          <w:szCs w:val="32"/>
        </w:rPr>
      </w:pPr>
      <w:bookmarkStart w:id="95" w:name="_Toc988984"/>
      <w:r>
        <w:rPr>
          <w:rFonts w:ascii="宋体" w:eastAsia="宋体" w:hAnsi="宋体" w:cs="宋体"/>
          <w:b/>
          <w:bCs/>
          <w:sz w:val="32"/>
          <w:szCs w:val="32"/>
        </w:rPr>
        <w:lastRenderedPageBreak/>
        <w:t>第六节 重要事项</w:t>
      </w:r>
      <w:bookmarkEnd w:id="95"/>
    </w:p>
    <w:p w:rsidR="00BA0365" w:rsidRDefault="008D4B2E">
      <w:pPr>
        <w:pStyle w:val="2"/>
        <w:spacing w:before="300" w:after="300" w:line="320" w:lineRule="exact"/>
        <w:rPr>
          <w:rFonts w:ascii="宋体" w:eastAsia="宋体" w:hAnsi="宋体" w:cs="宋体"/>
          <w:b/>
          <w:bCs/>
          <w:sz w:val="24"/>
          <w:szCs w:val="24"/>
        </w:rPr>
      </w:pPr>
      <w:bookmarkStart w:id="96" w:name="_Toc988985"/>
      <w:r>
        <w:rPr>
          <w:rFonts w:ascii="宋体" w:eastAsia="宋体" w:hAnsi="宋体" w:cs="宋体"/>
          <w:b/>
          <w:bCs/>
          <w:sz w:val="24"/>
          <w:szCs w:val="24"/>
        </w:rPr>
        <w:t>一、承诺事项履行情况</w:t>
      </w:r>
      <w:bookmarkEnd w:id="96"/>
    </w:p>
    <w:p w:rsidR="00BA0365" w:rsidRDefault="008D4B2E">
      <w:pPr>
        <w:pStyle w:val="3"/>
        <w:spacing w:line="280" w:lineRule="exact"/>
        <w:jc w:val="left"/>
        <w:rPr>
          <w:rFonts w:ascii="宋体" w:hAnsi="宋体" w:cs="宋体"/>
          <w:b/>
          <w:bCs/>
        </w:rPr>
      </w:pPr>
      <w:bookmarkStart w:id="97" w:name="_Toc988986"/>
      <w:r>
        <w:rPr>
          <w:rFonts w:ascii="宋体" w:hAnsi="宋体" w:cs="宋体"/>
          <w:b/>
          <w:bCs/>
        </w:rPr>
        <w:t>1、公司实际控制人、股东、关联方、收购人以及公司等承诺相关方在报告期内履行完毕及截至报告期末尚未履行完毕的承诺事项</w:t>
      </w:r>
      <w:bookmarkEnd w:id="97"/>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Layout w:type="fixed"/>
        <w:tblLook w:val="04A0" w:firstRow="1" w:lastRow="0" w:firstColumn="1" w:lastColumn="0" w:noHBand="0" w:noVBand="1"/>
      </w:tblPr>
      <w:tblGrid>
        <w:gridCol w:w="1377"/>
        <w:gridCol w:w="858"/>
        <w:gridCol w:w="992"/>
        <w:gridCol w:w="3118"/>
        <w:gridCol w:w="1134"/>
        <w:gridCol w:w="1134"/>
        <w:gridCol w:w="1026"/>
      </w:tblGrid>
      <w:tr w:rsidR="00157EA0" w:rsidTr="006C5451">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承诺事由</w:t>
            </w:r>
          </w:p>
        </w:tc>
        <w:tc>
          <w:tcPr>
            <w:tcW w:w="85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承诺方</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承诺类型</w:t>
            </w:r>
          </w:p>
        </w:tc>
        <w:tc>
          <w:tcPr>
            <w:tcW w:w="311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承诺内容</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承诺时间</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承诺期限</w:t>
            </w:r>
          </w:p>
        </w:tc>
        <w:tc>
          <w:tcPr>
            <w:tcW w:w="102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履行情况</w:t>
            </w:r>
          </w:p>
        </w:tc>
      </w:tr>
      <w:tr w:rsidR="00157EA0" w:rsidTr="006C5451">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首次公开发行或再融资时所作承诺</w:t>
            </w:r>
          </w:p>
        </w:tc>
        <w:tc>
          <w:tcPr>
            <w:tcW w:w="85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袁仲雪</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避免同业竞争承诺</w:t>
            </w:r>
          </w:p>
        </w:tc>
        <w:tc>
          <w:tcPr>
            <w:tcW w:w="31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不投资</w:t>
            </w:r>
            <w:proofErr w:type="gramStart"/>
            <w:r>
              <w:rPr>
                <w:rFonts w:ascii="宋体" w:eastAsia="宋体" w:hAnsi="宋体" w:cs="宋体"/>
                <w:sz w:val="18"/>
                <w:szCs w:val="18"/>
              </w:rPr>
              <w:t>与软控股份有限公司</w:t>
            </w:r>
            <w:proofErr w:type="gramEnd"/>
            <w:r>
              <w:rPr>
                <w:rFonts w:ascii="宋体" w:eastAsia="宋体" w:hAnsi="宋体" w:cs="宋体"/>
                <w:sz w:val="18"/>
                <w:szCs w:val="18"/>
              </w:rPr>
              <w:t>已经或拟订生产、经营产品相同或相似的产品的生产、经营活动，不为</w:t>
            </w:r>
            <w:proofErr w:type="gramStart"/>
            <w:r>
              <w:rPr>
                <w:rFonts w:ascii="宋体" w:eastAsia="宋体" w:hAnsi="宋体" w:cs="宋体"/>
                <w:sz w:val="18"/>
                <w:szCs w:val="18"/>
              </w:rPr>
              <w:t>其他第三方从事</w:t>
            </w:r>
            <w:proofErr w:type="gramEnd"/>
            <w:r>
              <w:rPr>
                <w:rFonts w:ascii="宋体" w:eastAsia="宋体" w:hAnsi="宋体" w:cs="宋体"/>
                <w:sz w:val="18"/>
                <w:szCs w:val="18"/>
              </w:rPr>
              <w:t>相同或相似产品的生产经营活动，放弃竞争。</w:t>
            </w:r>
          </w:p>
        </w:tc>
        <w:tc>
          <w:tcPr>
            <w:tcW w:w="11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2006年10月18日</w:t>
            </w:r>
          </w:p>
        </w:tc>
        <w:tc>
          <w:tcPr>
            <w:tcW w:w="11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长期</w:t>
            </w:r>
          </w:p>
        </w:tc>
        <w:tc>
          <w:tcPr>
            <w:tcW w:w="102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严格履行</w:t>
            </w:r>
          </w:p>
        </w:tc>
      </w:tr>
      <w:tr w:rsidR="00157EA0" w:rsidTr="006C5451">
        <w:trPr>
          <w:trHeight w:val="240"/>
        </w:trPr>
        <w:tc>
          <w:tcPr>
            <w:tcW w:w="3227"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承诺是否按时履行</w:t>
            </w:r>
          </w:p>
        </w:tc>
        <w:tc>
          <w:tcPr>
            <w:tcW w:w="6412" w:type="dxa"/>
            <w:gridSpan w:val="4"/>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是</w:t>
            </w:r>
          </w:p>
        </w:tc>
      </w:tr>
      <w:tr w:rsidR="00157EA0" w:rsidTr="006C5451">
        <w:trPr>
          <w:trHeight w:val="240"/>
        </w:trPr>
        <w:tc>
          <w:tcPr>
            <w:tcW w:w="3227"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proofErr w:type="gramStart"/>
            <w:r>
              <w:rPr>
                <w:rFonts w:ascii="宋体" w:eastAsia="宋体" w:hAnsi="宋体" w:cs="宋体"/>
                <w:sz w:val="18"/>
                <w:szCs w:val="18"/>
              </w:rPr>
              <w:t>如承诺</w:t>
            </w:r>
            <w:proofErr w:type="gramEnd"/>
            <w:r>
              <w:rPr>
                <w:rFonts w:ascii="宋体" w:eastAsia="宋体" w:hAnsi="宋体" w:cs="宋体"/>
                <w:sz w:val="18"/>
                <w:szCs w:val="18"/>
              </w:rPr>
              <w:t>超期未履行完毕的，应当详细说明未完</w:t>
            </w:r>
            <w:proofErr w:type="gramStart"/>
            <w:r>
              <w:rPr>
                <w:rFonts w:ascii="宋体" w:eastAsia="宋体" w:hAnsi="宋体" w:cs="宋体"/>
                <w:sz w:val="18"/>
                <w:szCs w:val="18"/>
              </w:rPr>
              <w:t>成履行</w:t>
            </w:r>
            <w:proofErr w:type="gramEnd"/>
            <w:r>
              <w:rPr>
                <w:rFonts w:ascii="宋体" w:eastAsia="宋体" w:hAnsi="宋体" w:cs="宋体"/>
                <w:sz w:val="18"/>
                <w:szCs w:val="18"/>
              </w:rPr>
              <w:t>的具体原因及下一步的工作计划</w:t>
            </w:r>
          </w:p>
        </w:tc>
        <w:tc>
          <w:tcPr>
            <w:tcW w:w="6412" w:type="dxa"/>
            <w:gridSpan w:val="4"/>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不适用</w:t>
            </w:r>
          </w:p>
        </w:tc>
      </w:tr>
    </w:tbl>
    <w:p w:rsidR="00BA0365" w:rsidRDefault="008D4B2E">
      <w:pPr>
        <w:pStyle w:val="3"/>
        <w:spacing w:line="280" w:lineRule="exact"/>
        <w:jc w:val="left"/>
        <w:rPr>
          <w:rFonts w:ascii="宋体" w:hAnsi="宋体" w:cs="宋体"/>
          <w:b/>
          <w:bCs/>
        </w:rPr>
      </w:pPr>
      <w:bookmarkStart w:id="98" w:name="_Toc988987"/>
      <w:r>
        <w:rPr>
          <w:rFonts w:ascii="宋体" w:hAnsi="宋体" w:cs="宋体"/>
          <w:b/>
          <w:bCs/>
        </w:rPr>
        <w:t>2、公司资产或项目存在盈利预测，</w:t>
      </w:r>
      <w:proofErr w:type="gramStart"/>
      <w:r>
        <w:rPr>
          <w:rFonts w:ascii="宋体" w:hAnsi="宋体" w:cs="宋体"/>
          <w:b/>
          <w:bCs/>
        </w:rPr>
        <w:t>且报告</w:t>
      </w:r>
      <w:proofErr w:type="gramEnd"/>
      <w:r>
        <w:rPr>
          <w:rFonts w:ascii="宋体" w:hAnsi="宋体" w:cs="宋体"/>
          <w:b/>
          <w:bCs/>
        </w:rPr>
        <w:t>期仍处在盈利预测期间，公司就资产或项目达到原盈利预测及其原因做出说明</w:t>
      </w:r>
      <w:bookmarkEnd w:id="98"/>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pStyle w:val="2"/>
        <w:spacing w:before="300" w:after="300" w:line="320" w:lineRule="exact"/>
        <w:rPr>
          <w:rFonts w:ascii="宋体" w:eastAsia="宋体" w:hAnsi="宋体" w:cs="宋体"/>
          <w:b/>
          <w:bCs/>
          <w:sz w:val="24"/>
          <w:szCs w:val="24"/>
        </w:rPr>
      </w:pPr>
      <w:bookmarkStart w:id="99" w:name="_Toc988988"/>
      <w:r>
        <w:rPr>
          <w:rFonts w:ascii="宋体" w:eastAsia="宋体" w:hAnsi="宋体" w:cs="宋体"/>
          <w:b/>
          <w:bCs/>
          <w:sz w:val="24"/>
          <w:szCs w:val="24"/>
        </w:rPr>
        <w:t>二、控股股东及其他关联方对上市公司的非经营性占用资金情况</w:t>
      </w:r>
      <w:bookmarkEnd w:id="99"/>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公司报告期不存在控股股东及其他关联方对上市公司的非经营性占用资金。</w:t>
      </w:r>
    </w:p>
    <w:p w:rsidR="00BA0365" w:rsidRDefault="008D4B2E">
      <w:pPr>
        <w:pStyle w:val="2"/>
        <w:spacing w:before="300" w:after="300" w:line="320" w:lineRule="exact"/>
        <w:rPr>
          <w:rFonts w:ascii="宋体" w:eastAsia="宋体" w:hAnsi="宋体" w:cs="宋体"/>
          <w:b/>
          <w:bCs/>
          <w:sz w:val="24"/>
          <w:szCs w:val="24"/>
        </w:rPr>
      </w:pPr>
      <w:bookmarkStart w:id="100" w:name="_Toc988989"/>
      <w:r>
        <w:rPr>
          <w:rFonts w:ascii="宋体" w:eastAsia="宋体" w:hAnsi="宋体" w:cs="宋体"/>
          <w:b/>
          <w:bCs/>
          <w:sz w:val="24"/>
          <w:szCs w:val="24"/>
        </w:rPr>
        <w:t>三、违规对外担保情况</w:t>
      </w:r>
      <w:bookmarkEnd w:id="100"/>
    </w:p>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公司报告期无违规对外担保情况。</w:t>
      </w:r>
    </w:p>
    <w:p w:rsidR="00BA0365" w:rsidRDefault="008D4B2E">
      <w:pPr>
        <w:pStyle w:val="2"/>
        <w:spacing w:before="300" w:after="300" w:line="320" w:lineRule="exact"/>
        <w:rPr>
          <w:rFonts w:ascii="宋体" w:eastAsia="宋体" w:hAnsi="宋体" w:cs="宋体"/>
          <w:b/>
          <w:bCs/>
          <w:sz w:val="24"/>
          <w:szCs w:val="24"/>
        </w:rPr>
      </w:pPr>
      <w:bookmarkStart w:id="101" w:name="_Toc988990"/>
      <w:r>
        <w:rPr>
          <w:rFonts w:ascii="宋体" w:eastAsia="宋体" w:hAnsi="宋体" w:cs="宋体"/>
          <w:b/>
          <w:bCs/>
          <w:sz w:val="24"/>
          <w:szCs w:val="24"/>
        </w:rPr>
        <w:t>四、董事会对最近一期“非标准审计报告”相关情况的说明</w:t>
      </w:r>
      <w:bookmarkEnd w:id="101"/>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pStyle w:val="2"/>
        <w:spacing w:before="300" w:after="300" w:line="320" w:lineRule="exact"/>
        <w:rPr>
          <w:rFonts w:ascii="宋体" w:eastAsia="宋体" w:hAnsi="宋体" w:cs="宋体"/>
          <w:b/>
          <w:bCs/>
          <w:sz w:val="24"/>
          <w:szCs w:val="24"/>
        </w:rPr>
      </w:pPr>
      <w:bookmarkStart w:id="102" w:name="_Toc988991"/>
      <w:r>
        <w:rPr>
          <w:rFonts w:ascii="宋体" w:eastAsia="宋体" w:hAnsi="宋体" w:cs="宋体"/>
          <w:b/>
          <w:bCs/>
          <w:sz w:val="24"/>
          <w:szCs w:val="24"/>
        </w:rPr>
        <w:t>五、董事会、监事会、独立董事（如有）对会计师事务所本报告期“非标准审计报告”的说明</w:t>
      </w:r>
      <w:bookmarkEnd w:id="102"/>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pStyle w:val="2"/>
        <w:spacing w:before="300" w:after="300" w:line="320" w:lineRule="exact"/>
        <w:rPr>
          <w:rFonts w:ascii="宋体" w:eastAsia="宋体" w:hAnsi="宋体" w:cs="宋体"/>
          <w:b/>
          <w:bCs/>
          <w:sz w:val="24"/>
          <w:szCs w:val="24"/>
        </w:rPr>
      </w:pPr>
      <w:bookmarkStart w:id="103" w:name="_Toc988992"/>
      <w:r>
        <w:rPr>
          <w:rFonts w:ascii="宋体" w:eastAsia="宋体" w:hAnsi="宋体" w:cs="宋体"/>
          <w:b/>
          <w:bCs/>
          <w:sz w:val="24"/>
          <w:szCs w:val="24"/>
        </w:rPr>
        <w:t xml:space="preserve">六、与上年度财务报告相比，会计政策、会计估计变更或重大会计差错更正的情况说明 </w:t>
      </w:r>
      <w:bookmarkEnd w:id="103"/>
    </w:p>
    <w:p w:rsidR="00BA0365" w:rsidRDefault="0040791A">
      <w:pPr>
        <w:spacing w:before="100" w:after="100" w:line="240" w:lineRule="exact"/>
        <w:rPr>
          <w:rFonts w:ascii="宋体" w:eastAsia="宋体" w:hAnsi="宋体" w:cs="宋体"/>
          <w:sz w:val="18"/>
          <w:szCs w:val="18"/>
        </w:rPr>
      </w:pPr>
      <w:r>
        <w:rPr>
          <w:rFonts w:ascii="宋体" w:eastAsia="宋体" w:hAnsi="宋体" w:cs="宋体"/>
          <w:sz w:val="18"/>
          <w:szCs w:val="18"/>
        </w:rPr>
        <w:t>□</w:t>
      </w:r>
      <w:r w:rsidR="008D4B2E">
        <w:rPr>
          <w:rFonts w:ascii="宋体" w:eastAsia="宋体" w:hAnsi="宋体" w:cs="宋体"/>
          <w:sz w:val="18"/>
          <w:szCs w:val="18"/>
        </w:rPr>
        <w:t xml:space="preserve">适用 </w:t>
      </w:r>
      <w:r>
        <w:rPr>
          <w:rFonts w:ascii="宋体" w:eastAsia="宋体" w:hAnsi="宋体" w:cs="宋体"/>
          <w:sz w:val="18"/>
          <w:szCs w:val="18"/>
        </w:rPr>
        <w:sym w:font="Wingdings 2" w:char="F052"/>
      </w:r>
      <w:r w:rsidR="008D4B2E">
        <w:rPr>
          <w:rFonts w:ascii="宋体" w:eastAsia="宋体" w:hAnsi="宋体" w:cs="宋体"/>
          <w:sz w:val="18"/>
          <w:szCs w:val="18"/>
        </w:rPr>
        <w:t>不适用</w:t>
      </w:r>
    </w:p>
    <w:p w:rsidR="008D4B2E" w:rsidRPr="00C067EE" w:rsidRDefault="0040791A" w:rsidP="00C067EE">
      <w:r>
        <w:rPr>
          <w:rFonts w:ascii="宋体" w:eastAsia="宋体" w:hAnsi="宋体" w:cs="Times New Roman" w:hint="eastAsia"/>
          <w:kern w:val="0"/>
          <w:sz w:val="18"/>
          <w:szCs w:val="18"/>
        </w:rPr>
        <w:lastRenderedPageBreak/>
        <w:t>公司报告期无会计政策、会计估计变更或重大会计差错更正的情况。</w:t>
      </w:r>
    </w:p>
    <w:p w:rsidR="00BA0365" w:rsidRDefault="008D4B2E">
      <w:pPr>
        <w:pStyle w:val="2"/>
        <w:spacing w:before="300" w:after="300" w:line="320" w:lineRule="exact"/>
        <w:rPr>
          <w:rFonts w:ascii="宋体" w:eastAsia="宋体" w:hAnsi="宋体" w:cs="宋体"/>
          <w:b/>
          <w:bCs/>
          <w:sz w:val="24"/>
          <w:szCs w:val="24"/>
        </w:rPr>
      </w:pPr>
      <w:bookmarkStart w:id="104" w:name="_Toc988993"/>
      <w:r>
        <w:rPr>
          <w:rFonts w:ascii="宋体" w:eastAsia="宋体" w:hAnsi="宋体" w:cs="宋体"/>
          <w:b/>
          <w:bCs/>
          <w:sz w:val="24"/>
          <w:szCs w:val="24"/>
        </w:rPr>
        <w:t>七、与上年度财务报告相比，合并报表范围发生变化的情况说明</w:t>
      </w:r>
      <w:bookmarkEnd w:id="104"/>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8D4B2E" w:rsidRPr="00C067EE" w:rsidRDefault="008D4B2E" w:rsidP="00C067EE">
      <w:pPr>
        <w:divId w:val="26302516"/>
        <w:rPr>
          <w:rFonts w:ascii="宋体" w:eastAsia="宋体" w:hAnsi="宋体" w:cs="Times New Roman"/>
          <w:kern w:val="0"/>
          <w:sz w:val="18"/>
          <w:szCs w:val="18"/>
        </w:rPr>
      </w:pPr>
      <w:r w:rsidRPr="00C067EE">
        <w:rPr>
          <w:rFonts w:ascii="宋体" w:eastAsia="宋体" w:hAnsi="宋体" w:cs="Times New Roman"/>
          <w:kern w:val="0"/>
          <w:sz w:val="18"/>
          <w:szCs w:val="18"/>
        </w:rPr>
        <w:t>1</w:t>
      </w:r>
      <w:r w:rsidRPr="00C067EE">
        <w:rPr>
          <w:rFonts w:ascii="宋体" w:eastAsia="宋体" w:hAnsi="宋体" w:cs="Times New Roman" w:hint="eastAsia"/>
          <w:kern w:val="0"/>
          <w:sz w:val="18"/>
          <w:szCs w:val="18"/>
        </w:rPr>
        <w:t>、与上年相比本期新增合并单位</w:t>
      </w:r>
      <w:r w:rsidRPr="00C067EE">
        <w:rPr>
          <w:rFonts w:ascii="宋体" w:eastAsia="宋体" w:hAnsi="宋体" w:cs="Times New Roman"/>
          <w:kern w:val="0"/>
          <w:sz w:val="18"/>
          <w:szCs w:val="18"/>
        </w:rPr>
        <w:t>3</w:t>
      </w:r>
      <w:r w:rsidRPr="00C067EE">
        <w:rPr>
          <w:rFonts w:ascii="宋体" w:eastAsia="宋体" w:hAnsi="宋体" w:cs="Times New Roman" w:hint="eastAsia"/>
          <w:kern w:val="0"/>
          <w:sz w:val="18"/>
          <w:szCs w:val="18"/>
        </w:rPr>
        <w:t>家，具体包括</w:t>
      </w:r>
      <w:proofErr w:type="gramStart"/>
      <w:r w:rsidRPr="00C067EE">
        <w:rPr>
          <w:rFonts w:ascii="宋体" w:eastAsia="宋体" w:hAnsi="宋体" w:cs="Times New Roman" w:hint="eastAsia"/>
          <w:kern w:val="0"/>
          <w:sz w:val="18"/>
          <w:szCs w:val="18"/>
        </w:rPr>
        <w:t>菏泽智控能源</w:t>
      </w:r>
      <w:proofErr w:type="gramEnd"/>
      <w:r w:rsidRPr="00C067EE">
        <w:rPr>
          <w:rFonts w:ascii="宋体" w:eastAsia="宋体" w:hAnsi="宋体" w:cs="Times New Roman" w:hint="eastAsia"/>
          <w:kern w:val="0"/>
          <w:sz w:val="18"/>
          <w:szCs w:val="18"/>
        </w:rPr>
        <w:t>发展有限公司、HKZQ ENERGY AND TECHNOLOGY CO., LTD.、德州智控新能源发展有限公司，均系本年新设立的公司。</w:t>
      </w:r>
    </w:p>
    <w:p w:rsidR="008D4B2E" w:rsidRPr="00C067EE" w:rsidRDefault="008D4B2E">
      <w:pPr>
        <w:divId w:val="1502158255"/>
        <w:rPr>
          <w:rFonts w:ascii="宋体" w:eastAsia="宋体" w:hAnsi="宋体" w:cs="Times New Roman"/>
          <w:kern w:val="0"/>
          <w:sz w:val="18"/>
          <w:szCs w:val="18"/>
        </w:rPr>
      </w:pPr>
      <w:r w:rsidRPr="00C067EE">
        <w:rPr>
          <w:rFonts w:ascii="宋体" w:eastAsia="宋体" w:hAnsi="宋体" w:cs="Times New Roman"/>
          <w:kern w:val="0"/>
          <w:sz w:val="18"/>
          <w:szCs w:val="18"/>
        </w:rPr>
        <w:t>2</w:t>
      </w:r>
      <w:r w:rsidRPr="00C067EE">
        <w:rPr>
          <w:rFonts w:ascii="宋体" w:eastAsia="宋体" w:hAnsi="宋体" w:cs="Times New Roman" w:hint="eastAsia"/>
          <w:kern w:val="0"/>
          <w:sz w:val="18"/>
          <w:szCs w:val="18"/>
        </w:rPr>
        <w:t>、与上年相比本期减少合并单位</w:t>
      </w:r>
      <w:r w:rsidRPr="00C067EE">
        <w:rPr>
          <w:rFonts w:ascii="宋体" w:eastAsia="宋体" w:hAnsi="宋体" w:cs="Times New Roman"/>
          <w:kern w:val="0"/>
          <w:sz w:val="18"/>
          <w:szCs w:val="18"/>
        </w:rPr>
        <w:t>1</w:t>
      </w:r>
      <w:r w:rsidRPr="00C067EE">
        <w:rPr>
          <w:rFonts w:ascii="宋体" w:eastAsia="宋体" w:hAnsi="宋体" w:cs="Times New Roman" w:hint="eastAsia"/>
          <w:kern w:val="0"/>
          <w:sz w:val="18"/>
          <w:szCs w:val="18"/>
        </w:rPr>
        <w:t>家，具体包括青岛软控智能装备有限公司，因公司股权转让减少</w:t>
      </w:r>
      <w:r w:rsidRPr="00C067EE">
        <w:rPr>
          <w:rFonts w:ascii="MS Gothic" w:eastAsia="MS Gothic" w:hAnsi="MS Gothic" w:cs="MS Gothic" w:hint="eastAsia"/>
          <w:kern w:val="0"/>
          <w:sz w:val="18"/>
          <w:szCs w:val="18"/>
        </w:rPr>
        <w:t>｡</w:t>
      </w:r>
    </w:p>
    <w:p w:rsidR="00BA0365" w:rsidRDefault="008D4B2E">
      <w:pPr>
        <w:pStyle w:val="2"/>
        <w:spacing w:before="300" w:after="300" w:line="320" w:lineRule="exact"/>
        <w:rPr>
          <w:rFonts w:ascii="宋体" w:eastAsia="宋体" w:hAnsi="宋体" w:cs="宋体"/>
          <w:b/>
          <w:bCs/>
          <w:sz w:val="24"/>
          <w:szCs w:val="24"/>
        </w:rPr>
      </w:pPr>
      <w:bookmarkStart w:id="105" w:name="_Toc988994"/>
      <w:r>
        <w:rPr>
          <w:rFonts w:ascii="宋体" w:eastAsia="宋体" w:hAnsi="宋体" w:cs="宋体"/>
          <w:b/>
          <w:bCs/>
          <w:sz w:val="24"/>
          <w:szCs w:val="24"/>
        </w:rPr>
        <w:t>八、聘任、解聘会计师事务所情况</w:t>
      </w:r>
      <w:bookmarkEnd w:id="105"/>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现聘任的会计师事务所</w:t>
      </w:r>
    </w:p>
    <w:tbl>
      <w:tblPr>
        <w:tblW w:w="9639" w:type="dxa"/>
        <w:tblLayout w:type="fixed"/>
        <w:tblLook w:val="04A0" w:firstRow="1" w:lastRow="0" w:firstColumn="1" w:lastColumn="0" w:noHBand="0" w:noVBand="1"/>
      </w:tblPr>
      <w:tblGrid>
        <w:gridCol w:w="4820"/>
        <w:gridCol w:w="4819"/>
      </w:tblGrid>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境内会计师事务所名称</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C067EE">
            <w:pPr>
              <w:spacing w:line="240" w:lineRule="exact"/>
              <w:jc w:val="right"/>
              <w:rPr>
                <w:rFonts w:ascii="宋体" w:eastAsia="宋体" w:hAnsi="宋体" w:cs="宋体"/>
                <w:sz w:val="18"/>
                <w:szCs w:val="18"/>
              </w:rPr>
            </w:pPr>
            <w:r>
              <w:rPr>
                <w:rFonts w:ascii="宋体" w:eastAsia="宋体" w:hAnsi="宋体" w:cs="宋体"/>
                <w:sz w:val="18"/>
                <w:szCs w:val="18"/>
              </w:rPr>
              <w:t>中兴华会计师事务所（特殊普通合伙）</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境内会计师事务所报酬（万元）</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C067EE">
            <w:pPr>
              <w:spacing w:line="240" w:lineRule="exact"/>
              <w:jc w:val="right"/>
              <w:rPr>
                <w:rFonts w:ascii="宋体" w:eastAsia="宋体" w:hAnsi="宋体" w:cs="宋体"/>
                <w:sz w:val="18"/>
                <w:szCs w:val="18"/>
              </w:rPr>
            </w:pPr>
            <w:r>
              <w:rPr>
                <w:rFonts w:ascii="宋体" w:eastAsia="宋体" w:hAnsi="宋体" w:cs="宋体"/>
                <w:sz w:val="18"/>
                <w:szCs w:val="18"/>
              </w:rPr>
              <w:t>130</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境内会计师事务所审计服务的连续年限</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C067EE">
            <w:pPr>
              <w:spacing w:line="240" w:lineRule="exact"/>
              <w:jc w:val="right"/>
              <w:rPr>
                <w:rFonts w:ascii="宋体" w:eastAsia="宋体" w:hAnsi="宋体" w:cs="宋体"/>
                <w:sz w:val="18"/>
                <w:szCs w:val="18"/>
              </w:rPr>
            </w:pPr>
            <w:r>
              <w:rPr>
                <w:rFonts w:ascii="宋体" w:eastAsia="宋体" w:hAnsi="宋体" w:cs="宋体"/>
                <w:sz w:val="18"/>
                <w:szCs w:val="18"/>
              </w:rPr>
              <w:t>5</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境内会计师事务所注册会计师姓名</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C067EE">
            <w:pPr>
              <w:spacing w:line="240" w:lineRule="exact"/>
              <w:jc w:val="right"/>
              <w:rPr>
                <w:rFonts w:ascii="宋体" w:eastAsia="宋体" w:hAnsi="宋体" w:cs="宋体"/>
                <w:sz w:val="18"/>
                <w:szCs w:val="18"/>
              </w:rPr>
            </w:pPr>
            <w:r>
              <w:rPr>
                <w:rFonts w:ascii="宋体" w:eastAsia="宋体" w:hAnsi="宋体" w:cs="宋体"/>
                <w:sz w:val="18"/>
                <w:szCs w:val="18"/>
              </w:rPr>
              <w:t>丁兆栋、高宁</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境内会计师事务所注册会计师审计服务的连续年限</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C067EE">
            <w:pPr>
              <w:spacing w:line="240" w:lineRule="exact"/>
              <w:jc w:val="right"/>
              <w:rPr>
                <w:rFonts w:ascii="宋体" w:eastAsia="宋体" w:hAnsi="宋体" w:cs="宋体"/>
                <w:sz w:val="18"/>
                <w:szCs w:val="18"/>
              </w:rPr>
            </w:pPr>
            <w:r>
              <w:rPr>
                <w:rFonts w:ascii="宋体" w:eastAsia="宋体" w:hAnsi="宋体" w:cs="宋体"/>
                <w:sz w:val="18"/>
                <w:szCs w:val="18"/>
              </w:rPr>
              <w:t>5</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境外会计师事务所名称（如有）</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C067EE">
            <w:pPr>
              <w:spacing w:line="240" w:lineRule="exact"/>
              <w:jc w:val="right"/>
              <w:rPr>
                <w:rFonts w:ascii="宋体" w:eastAsia="宋体" w:hAnsi="宋体" w:cs="宋体"/>
                <w:sz w:val="18"/>
                <w:szCs w:val="18"/>
              </w:rPr>
            </w:pPr>
            <w:r>
              <w:rPr>
                <w:rFonts w:ascii="宋体" w:eastAsia="宋体" w:hAnsi="宋体" w:cs="宋体"/>
                <w:sz w:val="18"/>
                <w:szCs w:val="18"/>
              </w:rPr>
              <w:t>CliftonLarsonAllen LLP; ALFA AUDIT,S.R.O</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境外会计师事务所报酬（万元）（如有）</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C067EE">
            <w:pPr>
              <w:spacing w:line="240" w:lineRule="exact"/>
              <w:jc w:val="right"/>
              <w:rPr>
                <w:rFonts w:ascii="宋体" w:eastAsia="宋体" w:hAnsi="宋体" w:cs="宋体"/>
                <w:sz w:val="18"/>
                <w:szCs w:val="18"/>
              </w:rPr>
            </w:pPr>
            <w:r>
              <w:rPr>
                <w:rFonts w:ascii="宋体" w:eastAsia="宋体" w:hAnsi="宋体" w:cs="宋体"/>
                <w:sz w:val="18"/>
                <w:szCs w:val="18"/>
              </w:rPr>
              <w:t>51.54</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境外会计师事务所审计服务的连续年限（如有）</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C067EE">
            <w:pPr>
              <w:spacing w:line="240" w:lineRule="exact"/>
              <w:jc w:val="right"/>
              <w:rPr>
                <w:rFonts w:ascii="宋体" w:eastAsia="宋体" w:hAnsi="宋体" w:cs="宋体"/>
                <w:sz w:val="18"/>
                <w:szCs w:val="18"/>
              </w:rPr>
            </w:pPr>
            <w:r>
              <w:rPr>
                <w:rFonts w:ascii="宋体" w:eastAsia="宋体" w:hAnsi="宋体" w:cs="宋体"/>
                <w:sz w:val="18"/>
                <w:szCs w:val="18"/>
              </w:rPr>
              <w:t>5</w:t>
            </w:r>
          </w:p>
        </w:tc>
      </w:tr>
    </w:tbl>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当期是否改聘会计师事务所</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聘请内部控制审计会计师事务所、财务顾问或保荐人情况</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8D4B2E" w:rsidRDefault="008D4B2E">
      <w:pPr>
        <w:pStyle w:val="a3"/>
        <w:spacing w:beforeAutospacing="0" w:afterAutospacing="0" w:line="240" w:lineRule="atLeast"/>
        <w:divId w:val="651060764"/>
        <w:rPr>
          <w:rFonts w:ascii="Calibri" w:hAnsi="Calibri" w:cs="Calibri"/>
          <w:sz w:val="21"/>
          <w:szCs w:val="21"/>
        </w:rPr>
      </w:pPr>
      <w:r>
        <w:rPr>
          <w:rFonts w:cs="Calibri" w:hint="eastAsia"/>
          <w:sz w:val="18"/>
          <w:szCs w:val="18"/>
        </w:rPr>
        <w:t>报告期内公司聘任中兴华会计师事务所（特殊普通合伙）担任公司内部控制审计机构。 </w:t>
      </w:r>
    </w:p>
    <w:p w:rsidR="00BA0365" w:rsidRDefault="008D4B2E">
      <w:pPr>
        <w:pStyle w:val="2"/>
        <w:spacing w:before="300" w:after="300" w:line="320" w:lineRule="exact"/>
        <w:rPr>
          <w:rFonts w:ascii="宋体" w:eastAsia="宋体" w:hAnsi="宋体" w:cs="宋体"/>
          <w:b/>
          <w:bCs/>
          <w:sz w:val="24"/>
          <w:szCs w:val="24"/>
        </w:rPr>
      </w:pPr>
      <w:bookmarkStart w:id="106" w:name="_Toc988995"/>
      <w:r>
        <w:rPr>
          <w:rFonts w:ascii="宋体" w:eastAsia="宋体" w:hAnsi="宋体" w:cs="宋体"/>
          <w:b/>
          <w:bCs/>
          <w:sz w:val="24"/>
          <w:szCs w:val="24"/>
        </w:rPr>
        <w:t>九、年度报告披露后面临退市情况</w:t>
      </w:r>
      <w:bookmarkEnd w:id="106"/>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pStyle w:val="2"/>
        <w:spacing w:before="300" w:after="300" w:line="320" w:lineRule="exact"/>
        <w:rPr>
          <w:rFonts w:ascii="宋体" w:eastAsia="宋体" w:hAnsi="宋体" w:cs="宋体"/>
          <w:b/>
          <w:bCs/>
          <w:sz w:val="24"/>
          <w:szCs w:val="24"/>
        </w:rPr>
      </w:pPr>
      <w:bookmarkStart w:id="107" w:name="_Toc988996"/>
      <w:r>
        <w:rPr>
          <w:rFonts w:ascii="宋体" w:eastAsia="宋体" w:hAnsi="宋体" w:cs="宋体"/>
          <w:b/>
          <w:bCs/>
          <w:sz w:val="24"/>
          <w:szCs w:val="24"/>
        </w:rPr>
        <w:t>十、破产重整相关事项</w:t>
      </w:r>
      <w:bookmarkEnd w:id="107"/>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公司报告期未发生破产重整相关事项。</w:t>
      </w:r>
    </w:p>
    <w:p w:rsidR="00BA0365" w:rsidRDefault="008D4B2E">
      <w:pPr>
        <w:pStyle w:val="2"/>
        <w:spacing w:before="300" w:after="300" w:line="320" w:lineRule="exact"/>
        <w:rPr>
          <w:rFonts w:ascii="宋体" w:eastAsia="宋体" w:hAnsi="宋体" w:cs="宋体"/>
          <w:b/>
          <w:bCs/>
          <w:sz w:val="24"/>
          <w:szCs w:val="24"/>
        </w:rPr>
      </w:pPr>
      <w:bookmarkStart w:id="108" w:name="_Toc988997"/>
      <w:r>
        <w:rPr>
          <w:rFonts w:ascii="宋体" w:eastAsia="宋体" w:hAnsi="宋体" w:cs="宋体"/>
          <w:b/>
          <w:bCs/>
          <w:sz w:val="24"/>
          <w:szCs w:val="24"/>
        </w:rPr>
        <w:t>十一、重大诉讼、仲裁事项</w:t>
      </w:r>
      <w:bookmarkEnd w:id="108"/>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本报告期公司无重大诉讼、仲裁事项。</w:t>
      </w:r>
    </w:p>
    <w:p w:rsidR="00BA0365" w:rsidRDefault="008D4B2E">
      <w:pPr>
        <w:pStyle w:val="2"/>
        <w:spacing w:before="300" w:after="300" w:line="320" w:lineRule="exact"/>
        <w:rPr>
          <w:rFonts w:ascii="宋体" w:eastAsia="宋体" w:hAnsi="宋体" w:cs="宋体"/>
          <w:b/>
          <w:bCs/>
          <w:sz w:val="24"/>
          <w:szCs w:val="24"/>
        </w:rPr>
      </w:pPr>
      <w:bookmarkStart w:id="109" w:name="_Toc988998"/>
      <w:r>
        <w:rPr>
          <w:rFonts w:ascii="宋体" w:eastAsia="宋体" w:hAnsi="宋体" w:cs="宋体"/>
          <w:b/>
          <w:bCs/>
          <w:sz w:val="24"/>
          <w:szCs w:val="24"/>
        </w:rPr>
        <w:t>十二、处罚及整改情况</w:t>
      </w:r>
      <w:bookmarkEnd w:id="109"/>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7370FD" w:rsidRDefault="007370FD">
      <w:pPr>
        <w:spacing w:before="100" w:after="100" w:line="240" w:lineRule="exact"/>
        <w:rPr>
          <w:rFonts w:ascii="宋体" w:eastAsia="宋体" w:hAnsi="宋体" w:cs="宋体"/>
          <w:sz w:val="18"/>
          <w:szCs w:val="18"/>
        </w:rPr>
      </w:pPr>
    </w:p>
    <w:tbl>
      <w:tblPr>
        <w:tblW w:w="9282" w:type="dxa"/>
        <w:tblLayout w:type="fixed"/>
        <w:tblLook w:val="04A0" w:firstRow="1" w:lastRow="0" w:firstColumn="1" w:lastColumn="0" w:noHBand="0" w:noVBand="1"/>
      </w:tblPr>
      <w:tblGrid>
        <w:gridCol w:w="817"/>
        <w:gridCol w:w="709"/>
        <w:gridCol w:w="850"/>
        <w:gridCol w:w="851"/>
        <w:gridCol w:w="3969"/>
        <w:gridCol w:w="992"/>
        <w:gridCol w:w="1094"/>
      </w:tblGrid>
      <w:tr w:rsidR="00157EA0" w:rsidTr="006C5451">
        <w:trPr>
          <w:trHeight w:val="240"/>
        </w:trPr>
        <w:tc>
          <w:tcPr>
            <w:tcW w:w="81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名称/姓名</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类型</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原因</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调查处罚类型</w:t>
            </w:r>
          </w:p>
        </w:tc>
        <w:tc>
          <w:tcPr>
            <w:tcW w:w="396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结论（如有）</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披露日期</w:t>
            </w:r>
          </w:p>
        </w:tc>
        <w:tc>
          <w:tcPr>
            <w:tcW w:w="1094"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披露索引</w:t>
            </w:r>
          </w:p>
        </w:tc>
      </w:tr>
      <w:tr w:rsidR="00157EA0" w:rsidTr="006C5451">
        <w:trPr>
          <w:trHeight w:val="240"/>
        </w:trPr>
        <w:tc>
          <w:tcPr>
            <w:tcW w:w="81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软控股份有限公司</w:t>
            </w:r>
            <w:proofErr w:type="gramEnd"/>
            <w:r>
              <w:rPr>
                <w:rFonts w:ascii="宋体" w:eastAsia="宋体" w:hAnsi="宋体" w:cs="宋体"/>
                <w:sz w:val="18"/>
                <w:szCs w:val="18"/>
              </w:rPr>
              <w:t>、张垚</w:t>
            </w:r>
          </w:p>
        </w:tc>
        <w:tc>
          <w:tcPr>
            <w:tcW w:w="70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其他</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未及时履行审议程序和信息披露义务</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中国证监会采取行政监管措施</w:t>
            </w:r>
          </w:p>
        </w:tc>
        <w:tc>
          <w:tcPr>
            <w:tcW w:w="396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公司违反了《上市公司监管指引第2号——上市公司募集资金管理和使用的监管要求（2022年修订）》（证监会公告〔2022〕15号）第八条和《上市公司信息披露管理办法》（证监会令第182号）第三条的规定。张垚作为公司财务总监未能勤勉尽责，督促上市公司规范使用募集资金并履行信息披露义务，违反了《上市公司监管指引第2号——上市公司募集资金管理和使用的监管要求（2022年修订）》（证监会公告〔2022〕15号）第三条和《上市公司信息披露管理办法》（证监会令第182号）第四条的规定。根据《上市公司信息披露管理办法》（证监会令第182号）第五十二条的规定，青岛证监局决定对公司、张垚采取出具警示函的行政监管措施，并记入证券期货市场诚信档案。</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2023年12月02日</w:t>
            </w:r>
          </w:p>
        </w:tc>
        <w:tc>
          <w:tcPr>
            <w:tcW w:w="109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《关于收到青岛证监局警示函的公告》（公告编号：2023-075）</w:t>
            </w:r>
          </w:p>
        </w:tc>
      </w:tr>
    </w:tbl>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整改情况说明</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8D4B2E" w:rsidRDefault="008D4B2E" w:rsidP="00C067EE">
      <w:pPr>
        <w:pStyle w:val="a3"/>
        <w:ind w:firstLineChars="200" w:firstLine="360"/>
        <w:divId w:val="1912034455"/>
        <w:rPr>
          <w:sz w:val="18"/>
          <w:szCs w:val="18"/>
        </w:rPr>
      </w:pPr>
      <w:r>
        <w:rPr>
          <w:rFonts w:hint="eastAsia"/>
          <w:sz w:val="18"/>
          <w:szCs w:val="18"/>
        </w:rPr>
        <w:t xml:space="preserve">公司及相关人员高度重视《警示函》指出的问题，将认真吸取教训并引以为戒，切实加强对相关法律法规及规范性文件的学习，不断提高公司规范运作水平及信息披露质量，维护公司及全体股东的利益。 </w:t>
      </w:r>
    </w:p>
    <w:p w:rsidR="00BA0365" w:rsidRDefault="008D4B2E">
      <w:pPr>
        <w:pStyle w:val="2"/>
        <w:spacing w:before="300" w:after="300" w:line="320" w:lineRule="exact"/>
        <w:rPr>
          <w:rFonts w:ascii="宋体" w:eastAsia="宋体" w:hAnsi="宋体" w:cs="宋体"/>
          <w:b/>
          <w:bCs/>
          <w:sz w:val="24"/>
          <w:szCs w:val="24"/>
        </w:rPr>
      </w:pPr>
      <w:bookmarkStart w:id="110" w:name="_Toc988999"/>
      <w:r>
        <w:rPr>
          <w:rFonts w:ascii="宋体" w:eastAsia="宋体" w:hAnsi="宋体" w:cs="宋体"/>
          <w:b/>
          <w:bCs/>
          <w:sz w:val="24"/>
          <w:szCs w:val="24"/>
        </w:rPr>
        <w:t>十三、公司及其控股股东、实际控制人的诚信状况</w:t>
      </w:r>
      <w:bookmarkEnd w:id="110"/>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pStyle w:val="2"/>
        <w:spacing w:before="300" w:after="300" w:line="320" w:lineRule="exact"/>
        <w:rPr>
          <w:rFonts w:ascii="宋体" w:eastAsia="宋体" w:hAnsi="宋体" w:cs="宋体"/>
          <w:b/>
          <w:bCs/>
          <w:sz w:val="24"/>
          <w:szCs w:val="24"/>
        </w:rPr>
      </w:pPr>
      <w:bookmarkStart w:id="111" w:name="_Toc989000"/>
      <w:r>
        <w:rPr>
          <w:rFonts w:ascii="宋体" w:eastAsia="宋体" w:hAnsi="宋体" w:cs="宋体"/>
          <w:b/>
          <w:bCs/>
          <w:sz w:val="24"/>
          <w:szCs w:val="24"/>
        </w:rPr>
        <w:t>十四、重大关联交易</w:t>
      </w:r>
      <w:bookmarkEnd w:id="111"/>
    </w:p>
    <w:p w:rsidR="00BA0365" w:rsidRDefault="008D4B2E">
      <w:pPr>
        <w:pStyle w:val="3"/>
        <w:spacing w:line="280" w:lineRule="exact"/>
        <w:jc w:val="left"/>
        <w:rPr>
          <w:rFonts w:ascii="宋体" w:hAnsi="宋体" w:cs="宋体"/>
          <w:b/>
          <w:bCs/>
        </w:rPr>
      </w:pPr>
      <w:bookmarkStart w:id="112" w:name="_Toc989001"/>
      <w:r>
        <w:rPr>
          <w:rFonts w:ascii="宋体" w:hAnsi="宋体" w:cs="宋体"/>
          <w:b/>
          <w:bCs/>
        </w:rPr>
        <w:t>1、与日常经营相关的关联交易</w:t>
      </w:r>
      <w:bookmarkEnd w:id="112"/>
    </w:p>
    <w:p w:rsidR="00102670" w:rsidRDefault="008D4B2E">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Layout w:type="fixed"/>
        <w:tblLook w:val="04A0" w:firstRow="1" w:lastRow="0" w:firstColumn="1" w:lastColumn="0" w:noHBand="0" w:noVBand="1"/>
      </w:tblPr>
      <w:tblGrid>
        <w:gridCol w:w="689"/>
        <w:gridCol w:w="689"/>
        <w:gridCol w:w="604"/>
        <w:gridCol w:w="774"/>
        <w:gridCol w:w="689"/>
        <w:gridCol w:w="689"/>
        <w:gridCol w:w="689"/>
        <w:gridCol w:w="688"/>
        <w:gridCol w:w="688"/>
        <w:gridCol w:w="461"/>
        <w:gridCol w:w="708"/>
        <w:gridCol w:w="709"/>
        <w:gridCol w:w="567"/>
        <w:gridCol w:w="995"/>
      </w:tblGrid>
      <w:tr w:rsidR="00157EA0" w:rsidTr="00102670">
        <w:trPr>
          <w:trHeight w:val="240"/>
        </w:trPr>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关联交易方</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关联关系</w:t>
            </w:r>
          </w:p>
        </w:tc>
        <w:tc>
          <w:tcPr>
            <w:tcW w:w="604"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关联交易类型</w:t>
            </w:r>
          </w:p>
        </w:tc>
        <w:tc>
          <w:tcPr>
            <w:tcW w:w="774"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关联交易内容</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关联交易定价原则</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关联交易价格</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关联交易金额（万元）</w:t>
            </w:r>
          </w:p>
        </w:tc>
        <w:tc>
          <w:tcPr>
            <w:tcW w:w="68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占同类交易金额的比例</w:t>
            </w:r>
          </w:p>
        </w:tc>
        <w:tc>
          <w:tcPr>
            <w:tcW w:w="68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获批的交易额度（万元）</w:t>
            </w:r>
          </w:p>
        </w:tc>
        <w:tc>
          <w:tcPr>
            <w:tcW w:w="46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是否超过获批额度</w:t>
            </w:r>
          </w:p>
        </w:tc>
        <w:tc>
          <w:tcPr>
            <w:tcW w:w="70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关联交易结算方式</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可获得的同类交易市价</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披露日期</w:t>
            </w:r>
          </w:p>
        </w:tc>
        <w:tc>
          <w:tcPr>
            <w:tcW w:w="99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披露索引</w:t>
            </w:r>
          </w:p>
        </w:tc>
      </w:tr>
      <w:tr w:rsidR="00102670" w:rsidTr="00102670">
        <w:trPr>
          <w:trHeight w:val="240"/>
        </w:trPr>
        <w:tc>
          <w:tcPr>
            <w:tcW w:w="689" w:type="dxa"/>
            <w:vMerge w:val="restart"/>
            <w:tcBorders>
              <w:top w:val="single" w:sz="2" w:space="0" w:color="auto"/>
              <w:left w:val="single" w:sz="2" w:space="0" w:color="auto"/>
              <w:right w:val="single" w:sz="2" w:space="0" w:color="auto"/>
            </w:tcBorders>
            <w:vAlign w:val="center"/>
          </w:tcPr>
          <w:p w:rsidR="00102670" w:rsidRDefault="00102670">
            <w:pPr>
              <w:spacing w:line="240" w:lineRule="exact"/>
              <w:rPr>
                <w:rFonts w:ascii="宋体" w:eastAsia="宋体" w:hAnsi="宋体" w:cs="宋体"/>
                <w:sz w:val="18"/>
                <w:szCs w:val="18"/>
              </w:rPr>
            </w:pPr>
            <w:proofErr w:type="gramStart"/>
            <w:r>
              <w:rPr>
                <w:rFonts w:ascii="宋体" w:eastAsia="宋体" w:hAnsi="宋体" w:cs="宋体"/>
                <w:sz w:val="18"/>
                <w:szCs w:val="18"/>
              </w:rPr>
              <w:t>赛轮集团</w:t>
            </w:r>
            <w:proofErr w:type="gramEnd"/>
            <w:r>
              <w:rPr>
                <w:rFonts w:ascii="宋体" w:eastAsia="宋体" w:hAnsi="宋体" w:cs="宋体"/>
                <w:sz w:val="18"/>
                <w:szCs w:val="18"/>
              </w:rPr>
              <w:t>股份有限公司及其控股子公司</w:t>
            </w:r>
          </w:p>
          <w:p w:rsidR="00102670" w:rsidRDefault="00102670" w:rsidP="007E18D0">
            <w:pPr>
              <w:spacing w:line="240" w:lineRule="exact"/>
              <w:rPr>
                <w:rFonts w:ascii="宋体" w:eastAsia="宋体" w:hAnsi="宋体" w:cs="宋体"/>
                <w:sz w:val="18"/>
                <w:szCs w:val="18"/>
              </w:rPr>
            </w:pPr>
          </w:p>
        </w:tc>
        <w:tc>
          <w:tcPr>
            <w:tcW w:w="689" w:type="dxa"/>
            <w:vMerge w:val="restart"/>
            <w:tcBorders>
              <w:top w:val="single" w:sz="2" w:space="0" w:color="auto"/>
              <w:left w:val="single" w:sz="2" w:space="0" w:color="auto"/>
              <w:right w:val="single" w:sz="2" w:space="0" w:color="auto"/>
            </w:tcBorders>
            <w:vAlign w:val="center"/>
          </w:tcPr>
          <w:p w:rsidR="00102670" w:rsidRDefault="00102670" w:rsidP="007E18D0">
            <w:pPr>
              <w:spacing w:line="240" w:lineRule="exact"/>
              <w:rPr>
                <w:rFonts w:ascii="宋体" w:eastAsia="宋体" w:hAnsi="宋体" w:cs="宋体"/>
                <w:sz w:val="18"/>
                <w:szCs w:val="18"/>
              </w:rPr>
            </w:pPr>
            <w:r>
              <w:rPr>
                <w:rFonts w:ascii="宋体" w:eastAsia="宋体" w:hAnsi="宋体" w:cs="宋体"/>
                <w:sz w:val="18"/>
                <w:szCs w:val="18"/>
              </w:rPr>
              <w:t>公司实际控制人袁仲雪先生</w:t>
            </w:r>
            <w:proofErr w:type="gramStart"/>
            <w:r>
              <w:rPr>
                <w:rFonts w:ascii="宋体" w:eastAsia="宋体" w:hAnsi="宋体" w:cs="宋体"/>
                <w:sz w:val="18"/>
                <w:szCs w:val="18"/>
              </w:rPr>
              <w:t>担任赛轮集团</w:t>
            </w:r>
            <w:proofErr w:type="gramEnd"/>
            <w:r>
              <w:rPr>
                <w:rFonts w:ascii="宋体" w:eastAsia="宋体" w:hAnsi="宋体" w:cs="宋体"/>
                <w:sz w:val="18"/>
                <w:szCs w:val="18"/>
              </w:rPr>
              <w:t>股份有限</w:t>
            </w:r>
          </w:p>
        </w:tc>
        <w:tc>
          <w:tcPr>
            <w:tcW w:w="604" w:type="dxa"/>
            <w:vMerge w:val="restart"/>
            <w:tcBorders>
              <w:top w:val="single" w:sz="2" w:space="0" w:color="auto"/>
              <w:left w:val="single" w:sz="2" w:space="0" w:color="auto"/>
              <w:right w:val="single" w:sz="2" w:space="0" w:color="auto"/>
            </w:tcBorders>
            <w:vAlign w:val="center"/>
          </w:tcPr>
          <w:p w:rsidR="00102670" w:rsidRDefault="00102670">
            <w:pPr>
              <w:spacing w:line="240" w:lineRule="exact"/>
              <w:rPr>
                <w:rFonts w:ascii="宋体" w:eastAsia="宋体" w:hAnsi="宋体" w:cs="宋体"/>
                <w:sz w:val="18"/>
                <w:szCs w:val="18"/>
              </w:rPr>
            </w:pPr>
            <w:r>
              <w:rPr>
                <w:rFonts w:ascii="宋体" w:eastAsia="宋体" w:hAnsi="宋体" w:cs="宋体"/>
                <w:sz w:val="18"/>
                <w:szCs w:val="18"/>
              </w:rPr>
              <w:t>向关联人销售产品、商品</w:t>
            </w:r>
          </w:p>
          <w:p w:rsidR="00102670" w:rsidRDefault="00102670" w:rsidP="007E18D0">
            <w:pPr>
              <w:spacing w:line="240" w:lineRule="exact"/>
              <w:rPr>
                <w:rFonts w:ascii="宋体" w:eastAsia="宋体" w:hAnsi="宋体" w:cs="宋体"/>
                <w:sz w:val="18"/>
                <w:szCs w:val="18"/>
              </w:rPr>
            </w:pPr>
          </w:p>
        </w:tc>
        <w:tc>
          <w:tcPr>
            <w:tcW w:w="774" w:type="dxa"/>
            <w:tcBorders>
              <w:top w:val="single" w:sz="2" w:space="0" w:color="auto"/>
              <w:left w:val="single" w:sz="2" w:space="0" w:color="auto"/>
              <w:bottom w:val="single" w:sz="2" w:space="0" w:color="auto"/>
              <w:right w:val="single" w:sz="2" w:space="0" w:color="auto"/>
            </w:tcBorders>
            <w:vAlign w:val="center"/>
          </w:tcPr>
          <w:p w:rsidR="00102670" w:rsidRDefault="00102670">
            <w:pPr>
              <w:spacing w:line="240" w:lineRule="exact"/>
              <w:rPr>
                <w:rFonts w:ascii="宋体" w:eastAsia="宋体" w:hAnsi="宋体" w:cs="宋体"/>
                <w:sz w:val="18"/>
                <w:szCs w:val="18"/>
              </w:rPr>
            </w:pPr>
            <w:r>
              <w:rPr>
                <w:rFonts w:ascii="宋体" w:eastAsia="宋体" w:hAnsi="宋体" w:cs="宋体"/>
                <w:sz w:val="18"/>
                <w:szCs w:val="18"/>
              </w:rPr>
              <w:t>设备、模具、软件、备件等</w:t>
            </w:r>
          </w:p>
        </w:tc>
        <w:tc>
          <w:tcPr>
            <w:tcW w:w="689" w:type="dxa"/>
            <w:vMerge w:val="restart"/>
            <w:tcBorders>
              <w:top w:val="single" w:sz="2" w:space="0" w:color="auto"/>
              <w:left w:val="single" w:sz="2" w:space="0" w:color="auto"/>
              <w:right w:val="single" w:sz="2" w:space="0" w:color="auto"/>
            </w:tcBorders>
            <w:vAlign w:val="center"/>
          </w:tcPr>
          <w:p w:rsidR="00102670" w:rsidRDefault="00102670">
            <w:pPr>
              <w:spacing w:line="240" w:lineRule="exact"/>
              <w:rPr>
                <w:rFonts w:ascii="宋体" w:eastAsia="宋体" w:hAnsi="宋体" w:cs="宋体"/>
                <w:sz w:val="18"/>
                <w:szCs w:val="18"/>
              </w:rPr>
            </w:pPr>
            <w:r>
              <w:rPr>
                <w:rFonts w:ascii="宋体" w:eastAsia="宋体" w:hAnsi="宋体" w:cs="宋体"/>
                <w:sz w:val="18"/>
                <w:szCs w:val="18"/>
              </w:rPr>
              <w:t>市场公允定价</w:t>
            </w:r>
          </w:p>
          <w:p w:rsidR="00102670" w:rsidRDefault="00102670" w:rsidP="007E18D0">
            <w:pPr>
              <w:spacing w:line="240" w:lineRule="exact"/>
              <w:rPr>
                <w:rFonts w:ascii="宋体" w:eastAsia="宋体" w:hAnsi="宋体" w:cs="宋体"/>
                <w:sz w:val="18"/>
                <w:szCs w:val="18"/>
              </w:rPr>
            </w:pPr>
          </w:p>
        </w:tc>
        <w:tc>
          <w:tcPr>
            <w:tcW w:w="689" w:type="dxa"/>
            <w:vMerge w:val="restart"/>
            <w:tcBorders>
              <w:top w:val="single" w:sz="2" w:space="0" w:color="auto"/>
              <w:left w:val="single" w:sz="2" w:space="0" w:color="auto"/>
              <w:right w:val="single" w:sz="2" w:space="0" w:color="auto"/>
            </w:tcBorders>
            <w:vAlign w:val="center"/>
          </w:tcPr>
          <w:p w:rsidR="00102670" w:rsidRDefault="00102670">
            <w:pPr>
              <w:spacing w:line="240" w:lineRule="exact"/>
              <w:rPr>
                <w:rFonts w:ascii="宋体" w:eastAsia="宋体" w:hAnsi="宋体" w:cs="宋体"/>
                <w:sz w:val="18"/>
                <w:szCs w:val="18"/>
              </w:rPr>
            </w:pPr>
            <w:r>
              <w:rPr>
                <w:rFonts w:ascii="宋体" w:eastAsia="宋体" w:hAnsi="宋体" w:cs="宋体"/>
                <w:sz w:val="18"/>
                <w:szCs w:val="18"/>
              </w:rPr>
              <w:t>市场价格</w:t>
            </w:r>
          </w:p>
          <w:p w:rsidR="00102670" w:rsidRDefault="00102670" w:rsidP="007E18D0">
            <w:pPr>
              <w:spacing w:line="240" w:lineRule="exact"/>
              <w:rPr>
                <w:rFonts w:ascii="宋体" w:eastAsia="宋体" w:hAnsi="宋体"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rsidR="00102670" w:rsidRDefault="00102670">
            <w:pPr>
              <w:spacing w:line="240" w:lineRule="exact"/>
              <w:jc w:val="right"/>
              <w:rPr>
                <w:rFonts w:ascii="宋体" w:eastAsia="宋体" w:hAnsi="宋体" w:cs="宋体"/>
                <w:sz w:val="18"/>
                <w:szCs w:val="18"/>
              </w:rPr>
            </w:pPr>
            <w:r>
              <w:rPr>
                <w:rFonts w:ascii="宋体" w:eastAsia="宋体" w:hAnsi="宋体" w:cs="宋体"/>
                <w:sz w:val="18"/>
                <w:szCs w:val="18"/>
              </w:rPr>
              <w:t>74,893.05</w:t>
            </w:r>
          </w:p>
        </w:tc>
        <w:tc>
          <w:tcPr>
            <w:tcW w:w="688" w:type="dxa"/>
            <w:tcBorders>
              <w:top w:val="single" w:sz="2" w:space="0" w:color="auto"/>
              <w:left w:val="single" w:sz="2" w:space="0" w:color="auto"/>
              <w:bottom w:val="single" w:sz="2" w:space="0" w:color="auto"/>
              <w:right w:val="single" w:sz="2" w:space="0" w:color="auto"/>
            </w:tcBorders>
            <w:vAlign w:val="center"/>
          </w:tcPr>
          <w:p w:rsidR="00102670" w:rsidRDefault="00102670">
            <w:pPr>
              <w:spacing w:line="240" w:lineRule="exact"/>
              <w:jc w:val="right"/>
              <w:rPr>
                <w:rFonts w:ascii="宋体" w:eastAsia="宋体" w:hAnsi="宋体" w:cs="宋体"/>
                <w:sz w:val="18"/>
                <w:szCs w:val="18"/>
              </w:rPr>
            </w:pPr>
            <w:r>
              <w:rPr>
                <w:rFonts w:ascii="宋体" w:eastAsia="宋体" w:hAnsi="宋体" w:cs="宋体"/>
                <w:sz w:val="18"/>
                <w:szCs w:val="18"/>
              </w:rPr>
              <w:t>16.48%</w:t>
            </w:r>
          </w:p>
        </w:tc>
        <w:tc>
          <w:tcPr>
            <w:tcW w:w="688" w:type="dxa"/>
            <w:tcBorders>
              <w:top w:val="single" w:sz="2" w:space="0" w:color="auto"/>
              <w:left w:val="single" w:sz="2" w:space="0" w:color="auto"/>
              <w:bottom w:val="single" w:sz="2" w:space="0" w:color="auto"/>
              <w:right w:val="single" w:sz="2" w:space="0" w:color="auto"/>
            </w:tcBorders>
            <w:vAlign w:val="center"/>
          </w:tcPr>
          <w:p w:rsidR="00102670" w:rsidRDefault="00102670">
            <w:pPr>
              <w:spacing w:line="240" w:lineRule="exact"/>
              <w:jc w:val="right"/>
              <w:rPr>
                <w:rFonts w:ascii="宋体" w:eastAsia="宋体" w:hAnsi="宋体" w:cs="宋体"/>
                <w:sz w:val="18"/>
                <w:szCs w:val="18"/>
              </w:rPr>
            </w:pPr>
            <w:r>
              <w:rPr>
                <w:rFonts w:ascii="宋体" w:eastAsia="宋体" w:hAnsi="宋体" w:cs="宋体"/>
                <w:sz w:val="18"/>
                <w:szCs w:val="18"/>
              </w:rPr>
              <w:t>90,000</w:t>
            </w:r>
          </w:p>
        </w:tc>
        <w:tc>
          <w:tcPr>
            <w:tcW w:w="461" w:type="dxa"/>
            <w:vMerge w:val="restart"/>
            <w:tcBorders>
              <w:top w:val="single" w:sz="2" w:space="0" w:color="auto"/>
              <w:left w:val="single" w:sz="2" w:space="0" w:color="auto"/>
              <w:right w:val="single" w:sz="2" w:space="0" w:color="auto"/>
            </w:tcBorders>
            <w:vAlign w:val="center"/>
          </w:tcPr>
          <w:p w:rsidR="00102670" w:rsidRDefault="00102670" w:rsidP="007E18D0">
            <w:pPr>
              <w:spacing w:line="240" w:lineRule="exact"/>
              <w:rPr>
                <w:rFonts w:ascii="宋体" w:eastAsia="宋体" w:hAnsi="宋体" w:cs="宋体"/>
                <w:sz w:val="18"/>
                <w:szCs w:val="18"/>
              </w:rPr>
            </w:pPr>
            <w:r>
              <w:rPr>
                <w:rFonts w:ascii="宋体" w:eastAsia="宋体" w:hAnsi="宋体" w:cs="宋体"/>
                <w:sz w:val="18"/>
                <w:szCs w:val="18"/>
              </w:rPr>
              <w:t>否</w:t>
            </w:r>
          </w:p>
        </w:tc>
        <w:tc>
          <w:tcPr>
            <w:tcW w:w="708" w:type="dxa"/>
            <w:vMerge w:val="restart"/>
            <w:tcBorders>
              <w:top w:val="single" w:sz="2" w:space="0" w:color="auto"/>
              <w:left w:val="single" w:sz="2" w:space="0" w:color="auto"/>
              <w:right w:val="single" w:sz="2" w:space="0" w:color="auto"/>
            </w:tcBorders>
            <w:vAlign w:val="center"/>
          </w:tcPr>
          <w:p w:rsidR="00102670" w:rsidRDefault="00102670" w:rsidP="007E18D0">
            <w:pPr>
              <w:spacing w:line="240" w:lineRule="exact"/>
              <w:rPr>
                <w:rFonts w:ascii="宋体" w:eastAsia="宋体" w:hAnsi="宋体" w:cs="宋体"/>
                <w:sz w:val="18"/>
                <w:szCs w:val="18"/>
              </w:rPr>
            </w:pPr>
            <w:r>
              <w:rPr>
                <w:rFonts w:ascii="宋体" w:eastAsia="宋体" w:hAnsi="宋体" w:cs="宋体"/>
                <w:sz w:val="18"/>
                <w:szCs w:val="18"/>
              </w:rPr>
              <w:t>依照合同约定结算</w:t>
            </w:r>
          </w:p>
        </w:tc>
        <w:tc>
          <w:tcPr>
            <w:tcW w:w="709" w:type="dxa"/>
            <w:vMerge w:val="restart"/>
            <w:tcBorders>
              <w:top w:val="single" w:sz="2" w:space="0" w:color="auto"/>
              <w:left w:val="single" w:sz="2" w:space="0" w:color="auto"/>
              <w:right w:val="single" w:sz="2" w:space="0" w:color="auto"/>
            </w:tcBorders>
            <w:vAlign w:val="center"/>
          </w:tcPr>
          <w:p w:rsidR="00102670" w:rsidRDefault="00102670" w:rsidP="007E18D0">
            <w:pPr>
              <w:spacing w:line="240" w:lineRule="exact"/>
              <w:rPr>
                <w:rFonts w:ascii="宋体" w:eastAsia="宋体" w:hAnsi="宋体" w:cs="宋体"/>
                <w:sz w:val="18"/>
                <w:szCs w:val="18"/>
              </w:rPr>
            </w:pPr>
            <w:r>
              <w:rPr>
                <w:rFonts w:ascii="宋体" w:eastAsia="宋体" w:hAnsi="宋体" w:cs="宋体"/>
                <w:sz w:val="18"/>
                <w:szCs w:val="18"/>
              </w:rPr>
              <w:t>市场价格</w:t>
            </w:r>
          </w:p>
        </w:tc>
        <w:tc>
          <w:tcPr>
            <w:tcW w:w="567" w:type="dxa"/>
            <w:vMerge w:val="restart"/>
            <w:tcBorders>
              <w:top w:val="single" w:sz="2" w:space="0" w:color="auto"/>
              <w:left w:val="single" w:sz="2" w:space="0" w:color="auto"/>
              <w:right w:val="single" w:sz="2" w:space="0" w:color="auto"/>
            </w:tcBorders>
            <w:vAlign w:val="center"/>
          </w:tcPr>
          <w:p w:rsidR="00102670" w:rsidRDefault="00102670" w:rsidP="007E18D0">
            <w:pPr>
              <w:spacing w:line="240" w:lineRule="exact"/>
              <w:rPr>
                <w:rFonts w:ascii="宋体" w:eastAsia="宋体" w:hAnsi="宋体" w:cs="宋体"/>
                <w:sz w:val="18"/>
                <w:szCs w:val="18"/>
              </w:rPr>
            </w:pPr>
            <w:r>
              <w:rPr>
                <w:rFonts w:ascii="宋体" w:eastAsia="宋体" w:hAnsi="宋体" w:cs="宋体"/>
                <w:sz w:val="18"/>
                <w:szCs w:val="18"/>
              </w:rPr>
              <w:t>2023年04月12日</w:t>
            </w:r>
          </w:p>
        </w:tc>
        <w:tc>
          <w:tcPr>
            <w:tcW w:w="995" w:type="dxa"/>
            <w:vMerge w:val="restart"/>
            <w:tcBorders>
              <w:top w:val="single" w:sz="2" w:space="0" w:color="auto"/>
              <w:left w:val="single" w:sz="2" w:space="0" w:color="auto"/>
              <w:right w:val="single" w:sz="2" w:space="0" w:color="auto"/>
            </w:tcBorders>
            <w:vAlign w:val="center"/>
          </w:tcPr>
          <w:p w:rsidR="00102670" w:rsidRDefault="00102670" w:rsidP="007E18D0">
            <w:pPr>
              <w:spacing w:line="240" w:lineRule="exact"/>
              <w:rPr>
                <w:rFonts w:ascii="宋体" w:eastAsia="宋体" w:hAnsi="宋体" w:cs="宋体"/>
                <w:sz w:val="18"/>
                <w:szCs w:val="18"/>
              </w:rPr>
            </w:pPr>
            <w:r>
              <w:rPr>
                <w:rFonts w:ascii="宋体" w:eastAsia="宋体" w:hAnsi="宋体" w:cs="宋体"/>
                <w:sz w:val="18"/>
                <w:szCs w:val="18"/>
              </w:rPr>
              <w:t>《关于日常关联交易预计的公告》（公告编号：2023-010）详见"巨潮资讯网"（www.cninfo.com.cn）</w:t>
            </w:r>
          </w:p>
        </w:tc>
      </w:tr>
      <w:tr w:rsidR="00102670" w:rsidTr="00102670">
        <w:trPr>
          <w:trHeight w:val="240"/>
        </w:trPr>
        <w:tc>
          <w:tcPr>
            <w:tcW w:w="689" w:type="dxa"/>
            <w:vMerge/>
            <w:tcBorders>
              <w:left w:val="single" w:sz="2" w:space="0" w:color="auto"/>
              <w:right w:val="single" w:sz="2" w:space="0" w:color="auto"/>
            </w:tcBorders>
            <w:vAlign w:val="center"/>
          </w:tcPr>
          <w:p w:rsidR="00102670" w:rsidRDefault="00102670" w:rsidP="007E18D0">
            <w:pPr>
              <w:spacing w:line="240" w:lineRule="exact"/>
              <w:rPr>
                <w:rFonts w:ascii="宋体" w:eastAsia="宋体" w:hAnsi="宋体" w:cs="宋体"/>
                <w:sz w:val="18"/>
                <w:szCs w:val="18"/>
              </w:rPr>
            </w:pPr>
          </w:p>
        </w:tc>
        <w:tc>
          <w:tcPr>
            <w:tcW w:w="689" w:type="dxa"/>
            <w:vMerge/>
            <w:tcBorders>
              <w:left w:val="single" w:sz="2" w:space="0" w:color="auto"/>
              <w:right w:val="single" w:sz="2" w:space="0" w:color="auto"/>
            </w:tcBorders>
            <w:vAlign w:val="center"/>
          </w:tcPr>
          <w:p w:rsidR="00102670" w:rsidRDefault="00102670" w:rsidP="007E18D0">
            <w:pPr>
              <w:spacing w:line="240" w:lineRule="exact"/>
              <w:rPr>
                <w:rFonts w:ascii="宋体" w:eastAsia="宋体" w:hAnsi="宋体" w:cs="宋体"/>
                <w:sz w:val="18"/>
                <w:szCs w:val="18"/>
              </w:rPr>
            </w:pPr>
          </w:p>
        </w:tc>
        <w:tc>
          <w:tcPr>
            <w:tcW w:w="604" w:type="dxa"/>
            <w:vMerge/>
            <w:tcBorders>
              <w:left w:val="single" w:sz="2" w:space="0" w:color="auto"/>
              <w:right w:val="single" w:sz="2" w:space="0" w:color="auto"/>
            </w:tcBorders>
            <w:vAlign w:val="center"/>
          </w:tcPr>
          <w:p w:rsidR="00102670" w:rsidRDefault="00102670" w:rsidP="007E18D0">
            <w:pPr>
              <w:spacing w:line="240" w:lineRule="exact"/>
              <w:rPr>
                <w:rFonts w:ascii="宋体" w:eastAsia="宋体" w:hAnsi="宋体" w:cs="宋体"/>
                <w:sz w:val="18"/>
                <w:szCs w:val="18"/>
              </w:rPr>
            </w:pPr>
          </w:p>
        </w:tc>
        <w:tc>
          <w:tcPr>
            <w:tcW w:w="774" w:type="dxa"/>
            <w:tcBorders>
              <w:top w:val="single" w:sz="2" w:space="0" w:color="auto"/>
              <w:left w:val="single" w:sz="2" w:space="0" w:color="auto"/>
              <w:bottom w:val="single" w:sz="2" w:space="0" w:color="auto"/>
              <w:right w:val="single" w:sz="2" w:space="0" w:color="auto"/>
            </w:tcBorders>
            <w:vAlign w:val="center"/>
          </w:tcPr>
          <w:p w:rsidR="00102670" w:rsidRDefault="00102670">
            <w:pPr>
              <w:spacing w:line="240" w:lineRule="exact"/>
              <w:rPr>
                <w:rFonts w:ascii="宋体" w:eastAsia="宋体" w:hAnsi="宋体" w:cs="宋体"/>
                <w:sz w:val="18"/>
                <w:szCs w:val="18"/>
              </w:rPr>
            </w:pPr>
            <w:r>
              <w:rPr>
                <w:rFonts w:ascii="宋体" w:eastAsia="宋体" w:hAnsi="宋体" w:cs="宋体"/>
                <w:sz w:val="18"/>
                <w:szCs w:val="18"/>
              </w:rPr>
              <w:t>合成橡胶</w:t>
            </w:r>
          </w:p>
        </w:tc>
        <w:tc>
          <w:tcPr>
            <w:tcW w:w="689" w:type="dxa"/>
            <w:vMerge/>
            <w:tcBorders>
              <w:left w:val="single" w:sz="2" w:space="0" w:color="auto"/>
              <w:right w:val="single" w:sz="2" w:space="0" w:color="auto"/>
            </w:tcBorders>
            <w:vAlign w:val="center"/>
          </w:tcPr>
          <w:p w:rsidR="00102670" w:rsidRDefault="00102670" w:rsidP="007E18D0">
            <w:pPr>
              <w:spacing w:line="240" w:lineRule="exact"/>
              <w:rPr>
                <w:rFonts w:ascii="宋体" w:eastAsia="宋体" w:hAnsi="宋体" w:cs="宋体"/>
                <w:sz w:val="18"/>
                <w:szCs w:val="18"/>
              </w:rPr>
            </w:pPr>
          </w:p>
        </w:tc>
        <w:tc>
          <w:tcPr>
            <w:tcW w:w="689" w:type="dxa"/>
            <w:vMerge/>
            <w:tcBorders>
              <w:left w:val="single" w:sz="2" w:space="0" w:color="auto"/>
              <w:right w:val="single" w:sz="2" w:space="0" w:color="auto"/>
            </w:tcBorders>
            <w:vAlign w:val="center"/>
          </w:tcPr>
          <w:p w:rsidR="00102670" w:rsidRDefault="00102670" w:rsidP="007E18D0">
            <w:pPr>
              <w:spacing w:line="240" w:lineRule="exact"/>
              <w:rPr>
                <w:rFonts w:ascii="宋体" w:eastAsia="宋体" w:hAnsi="宋体"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rsidR="00102670" w:rsidRDefault="00102670">
            <w:pPr>
              <w:spacing w:line="240" w:lineRule="exact"/>
              <w:jc w:val="right"/>
              <w:rPr>
                <w:rFonts w:ascii="宋体" w:eastAsia="宋体" w:hAnsi="宋体" w:cs="宋体"/>
                <w:sz w:val="18"/>
                <w:szCs w:val="18"/>
              </w:rPr>
            </w:pPr>
            <w:r>
              <w:rPr>
                <w:rFonts w:ascii="宋体" w:eastAsia="宋体" w:hAnsi="宋体" w:cs="宋体"/>
                <w:sz w:val="18"/>
                <w:szCs w:val="18"/>
              </w:rPr>
              <w:t>120,242.47</w:t>
            </w:r>
          </w:p>
        </w:tc>
        <w:tc>
          <w:tcPr>
            <w:tcW w:w="688" w:type="dxa"/>
            <w:tcBorders>
              <w:top w:val="single" w:sz="2" w:space="0" w:color="auto"/>
              <w:left w:val="single" w:sz="2" w:space="0" w:color="auto"/>
              <w:bottom w:val="single" w:sz="2" w:space="0" w:color="auto"/>
              <w:right w:val="single" w:sz="2" w:space="0" w:color="auto"/>
            </w:tcBorders>
            <w:vAlign w:val="center"/>
          </w:tcPr>
          <w:p w:rsidR="00102670" w:rsidRDefault="00102670">
            <w:pPr>
              <w:spacing w:line="240" w:lineRule="exact"/>
              <w:jc w:val="right"/>
              <w:rPr>
                <w:rFonts w:ascii="宋体" w:eastAsia="宋体" w:hAnsi="宋体" w:cs="宋体"/>
                <w:sz w:val="18"/>
                <w:szCs w:val="18"/>
              </w:rPr>
            </w:pPr>
            <w:r>
              <w:rPr>
                <w:rFonts w:ascii="宋体" w:eastAsia="宋体" w:hAnsi="宋体" w:cs="宋体"/>
                <w:sz w:val="18"/>
                <w:szCs w:val="18"/>
              </w:rPr>
              <w:t>67.05%</w:t>
            </w:r>
          </w:p>
        </w:tc>
        <w:tc>
          <w:tcPr>
            <w:tcW w:w="688" w:type="dxa"/>
            <w:tcBorders>
              <w:top w:val="single" w:sz="2" w:space="0" w:color="auto"/>
              <w:left w:val="single" w:sz="2" w:space="0" w:color="auto"/>
              <w:bottom w:val="single" w:sz="2" w:space="0" w:color="auto"/>
              <w:right w:val="single" w:sz="2" w:space="0" w:color="auto"/>
            </w:tcBorders>
            <w:vAlign w:val="center"/>
          </w:tcPr>
          <w:p w:rsidR="00102670" w:rsidRDefault="00102670">
            <w:pPr>
              <w:spacing w:line="240" w:lineRule="exact"/>
              <w:jc w:val="right"/>
              <w:rPr>
                <w:rFonts w:ascii="宋体" w:eastAsia="宋体" w:hAnsi="宋体" w:cs="宋体"/>
                <w:sz w:val="18"/>
                <w:szCs w:val="18"/>
              </w:rPr>
            </w:pPr>
            <w:r>
              <w:rPr>
                <w:rFonts w:ascii="宋体" w:eastAsia="宋体" w:hAnsi="宋体" w:cs="宋体"/>
                <w:sz w:val="18"/>
                <w:szCs w:val="18"/>
              </w:rPr>
              <w:t>120,000</w:t>
            </w:r>
          </w:p>
        </w:tc>
        <w:tc>
          <w:tcPr>
            <w:tcW w:w="461" w:type="dxa"/>
            <w:vMerge/>
            <w:tcBorders>
              <w:left w:val="single" w:sz="2" w:space="0" w:color="auto"/>
              <w:right w:val="single" w:sz="2" w:space="0" w:color="auto"/>
            </w:tcBorders>
            <w:vAlign w:val="center"/>
          </w:tcPr>
          <w:p w:rsidR="00102670" w:rsidRDefault="00102670" w:rsidP="007E18D0">
            <w:pPr>
              <w:spacing w:line="240" w:lineRule="exact"/>
              <w:rPr>
                <w:rFonts w:ascii="宋体" w:eastAsia="宋体" w:hAnsi="宋体" w:cs="宋体"/>
                <w:sz w:val="18"/>
                <w:szCs w:val="18"/>
              </w:rPr>
            </w:pPr>
          </w:p>
        </w:tc>
        <w:tc>
          <w:tcPr>
            <w:tcW w:w="708" w:type="dxa"/>
            <w:vMerge/>
            <w:tcBorders>
              <w:left w:val="single" w:sz="2" w:space="0" w:color="auto"/>
              <w:right w:val="single" w:sz="2" w:space="0" w:color="auto"/>
            </w:tcBorders>
            <w:vAlign w:val="center"/>
          </w:tcPr>
          <w:p w:rsidR="00102670" w:rsidRDefault="00102670" w:rsidP="007E18D0">
            <w:pPr>
              <w:spacing w:line="240" w:lineRule="exact"/>
              <w:rPr>
                <w:rFonts w:ascii="宋体" w:eastAsia="宋体" w:hAnsi="宋体" w:cs="宋体"/>
                <w:sz w:val="18"/>
                <w:szCs w:val="18"/>
              </w:rPr>
            </w:pPr>
          </w:p>
        </w:tc>
        <w:tc>
          <w:tcPr>
            <w:tcW w:w="709" w:type="dxa"/>
            <w:vMerge/>
            <w:tcBorders>
              <w:left w:val="single" w:sz="2" w:space="0" w:color="auto"/>
              <w:right w:val="single" w:sz="2" w:space="0" w:color="auto"/>
            </w:tcBorders>
            <w:vAlign w:val="center"/>
          </w:tcPr>
          <w:p w:rsidR="00102670" w:rsidRDefault="00102670" w:rsidP="007E18D0">
            <w:pPr>
              <w:spacing w:line="240" w:lineRule="exact"/>
              <w:rPr>
                <w:rFonts w:ascii="宋体" w:eastAsia="宋体" w:hAnsi="宋体" w:cs="宋体"/>
                <w:sz w:val="18"/>
                <w:szCs w:val="18"/>
              </w:rPr>
            </w:pPr>
          </w:p>
        </w:tc>
        <w:tc>
          <w:tcPr>
            <w:tcW w:w="567" w:type="dxa"/>
            <w:vMerge/>
            <w:tcBorders>
              <w:left w:val="single" w:sz="2" w:space="0" w:color="auto"/>
              <w:right w:val="single" w:sz="2" w:space="0" w:color="auto"/>
            </w:tcBorders>
            <w:vAlign w:val="center"/>
          </w:tcPr>
          <w:p w:rsidR="00102670" w:rsidRDefault="00102670" w:rsidP="007E18D0">
            <w:pPr>
              <w:spacing w:line="240" w:lineRule="exact"/>
              <w:rPr>
                <w:rFonts w:ascii="宋体" w:eastAsia="宋体" w:hAnsi="宋体" w:cs="宋体"/>
                <w:sz w:val="18"/>
                <w:szCs w:val="18"/>
              </w:rPr>
            </w:pPr>
          </w:p>
        </w:tc>
        <w:tc>
          <w:tcPr>
            <w:tcW w:w="995" w:type="dxa"/>
            <w:vMerge/>
            <w:tcBorders>
              <w:left w:val="single" w:sz="2" w:space="0" w:color="auto"/>
              <w:right w:val="single" w:sz="2" w:space="0" w:color="auto"/>
            </w:tcBorders>
            <w:vAlign w:val="center"/>
          </w:tcPr>
          <w:p w:rsidR="00102670" w:rsidRDefault="00102670" w:rsidP="007E18D0">
            <w:pPr>
              <w:spacing w:line="240" w:lineRule="exact"/>
              <w:rPr>
                <w:rFonts w:ascii="宋体" w:eastAsia="宋体" w:hAnsi="宋体" w:cs="宋体"/>
                <w:sz w:val="18"/>
                <w:szCs w:val="18"/>
              </w:rPr>
            </w:pPr>
          </w:p>
        </w:tc>
      </w:tr>
      <w:tr w:rsidR="00102670" w:rsidTr="00102670">
        <w:trPr>
          <w:trHeight w:val="240"/>
        </w:trPr>
        <w:tc>
          <w:tcPr>
            <w:tcW w:w="689" w:type="dxa"/>
            <w:vMerge/>
            <w:tcBorders>
              <w:left w:val="single" w:sz="2" w:space="0" w:color="auto"/>
              <w:bottom w:val="single" w:sz="2" w:space="0" w:color="auto"/>
              <w:right w:val="single" w:sz="2" w:space="0" w:color="auto"/>
            </w:tcBorders>
            <w:vAlign w:val="center"/>
          </w:tcPr>
          <w:p w:rsidR="00102670" w:rsidRDefault="00102670">
            <w:pPr>
              <w:spacing w:line="240" w:lineRule="exact"/>
              <w:rPr>
                <w:rFonts w:ascii="宋体" w:eastAsia="宋体" w:hAnsi="宋体" w:cs="宋体"/>
                <w:sz w:val="18"/>
                <w:szCs w:val="18"/>
              </w:rPr>
            </w:pPr>
          </w:p>
        </w:tc>
        <w:tc>
          <w:tcPr>
            <w:tcW w:w="689" w:type="dxa"/>
            <w:vMerge/>
            <w:tcBorders>
              <w:left w:val="single" w:sz="2" w:space="0" w:color="auto"/>
              <w:bottom w:val="single" w:sz="2" w:space="0" w:color="auto"/>
              <w:right w:val="single" w:sz="2" w:space="0" w:color="auto"/>
            </w:tcBorders>
            <w:vAlign w:val="center"/>
          </w:tcPr>
          <w:p w:rsidR="00102670" w:rsidRDefault="00102670">
            <w:pPr>
              <w:spacing w:line="240" w:lineRule="exact"/>
              <w:rPr>
                <w:rFonts w:ascii="宋体" w:eastAsia="宋体" w:hAnsi="宋体" w:cs="宋体"/>
                <w:sz w:val="18"/>
                <w:szCs w:val="18"/>
              </w:rPr>
            </w:pPr>
          </w:p>
        </w:tc>
        <w:tc>
          <w:tcPr>
            <w:tcW w:w="604" w:type="dxa"/>
            <w:vMerge/>
            <w:tcBorders>
              <w:left w:val="single" w:sz="2" w:space="0" w:color="auto"/>
              <w:bottom w:val="single" w:sz="2" w:space="0" w:color="auto"/>
              <w:right w:val="single" w:sz="2" w:space="0" w:color="auto"/>
            </w:tcBorders>
            <w:vAlign w:val="center"/>
          </w:tcPr>
          <w:p w:rsidR="00102670" w:rsidRDefault="00102670">
            <w:pPr>
              <w:spacing w:line="240" w:lineRule="exact"/>
              <w:rPr>
                <w:rFonts w:ascii="宋体" w:eastAsia="宋体" w:hAnsi="宋体" w:cs="宋体"/>
                <w:sz w:val="18"/>
                <w:szCs w:val="18"/>
              </w:rPr>
            </w:pPr>
          </w:p>
        </w:tc>
        <w:tc>
          <w:tcPr>
            <w:tcW w:w="774" w:type="dxa"/>
            <w:tcBorders>
              <w:top w:val="single" w:sz="2" w:space="0" w:color="auto"/>
              <w:left w:val="single" w:sz="2" w:space="0" w:color="auto"/>
              <w:bottom w:val="single" w:sz="2" w:space="0" w:color="auto"/>
              <w:right w:val="single" w:sz="2" w:space="0" w:color="auto"/>
            </w:tcBorders>
            <w:vAlign w:val="center"/>
          </w:tcPr>
          <w:p w:rsidR="00102670" w:rsidRDefault="00102670">
            <w:pPr>
              <w:spacing w:line="240" w:lineRule="exact"/>
              <w:rPr>
                <w:rFonts w:ascii="宋体" w:eastAsia="宋体" w:hAnsi="宋体" w:cs="宋体"/>
                <w:sz w:val="18"/>
                <w:szCs w:val="18"/>
              </w:rPr>
            </w:pPr>
            <w:r>
              <w:rPr>
                <w:rFonts w:ascii="宋体" w:eastAsia="宋体" w:hAnsi="宋体" w:cs="宋体"/>
                <w:sz w:val="18"/>
                <w:szCs w:val="18"/>
              </w:rPr>
              <w:t>胶料、试剂助剂等</w:t>
            </w:r>
          </w:p>
        </w:tc>
        <w:tc>
          <w:tcPr>
            <w:tcW w:w="689" w:type="dxa"/>
            <w:vMerge/>
            <w:tcBorders>
              <w:left w:val="single" w:sz="2" w:space="0" w:color="auto"/>
              <w:bottom w:val="single" w:sz="2" w:space="0" w:color="auto"/>
              <w:right w:val="single" w:sz="2" w:space="0" w:color="auto"/>
            </w:tcBorders>
            <w:vAlign w:val="center"/>
          </w:tcPr>
          <w:p w:rsidR="00102670" w:rsidRDefault="00102670">
            <w:pPr>
              <w:spacing w:line="240" w:lineRule="exact"/>
              <w:rPr>
                <w:rFonts w:ascii="宋体" w:eastAsia="宋体" w:hAnsi="宋体" w:cs="宋体"/>
                <w:sz w:val="18"/>
                <w:szCs w:val="18"/>
              </w:rPr>
            </w:pPr>
          </w:p>
        </w:tc>
        <w:tc>
          <w:tcPr>
            <w:tcW w:w="689" w:type="dxa"/>
            <w:vMerge/>
            <w:tcBorders>
              <w:left w:val="single" w:sz="2" w:space="0" w:color="auto"/>
              <w:bottom w:val="single" w:sz="2" w:space="0" w:color="auto"/>
              <w:right w:val="single" w:sz="2" w:space="0" w:color="auto"/>
            </w:tcBorders>
            <w:vAlign w:val="center"/>
          </w:tcPr>
          <w:p w:rsidR="00102670" w:rsidRDefault="00102670">
            <w:pPr>
              <w:spacing w:line="240" w:lineRule="exact"/>
              <w:rPr>
                <w:rFonts w:ascii="宋体" w:eastAsia="宋体" w:hAnsi="宋体" w:cs="宋体"/>
                <w:sz w:val="18"/>
                <w:szCs w:val="18"/>
              </w:rPr>
            </w:pPr>
          </w:p>
        </w:tc>
        <w:tc>
          <w:tcPr>
            <w:tcW w:w="689" w:type="dxa"/>
            <w:tcBorders>
              <w:top w:val="single" w:sz="2" w:space="0" w:color="auto"/>
              <w:left w:val="single" w:sz="2" w:space="0" w:color="auto"/>
              <w:bottom w:val="single" w:sz="2" w:space="0" w:color="auto"/>
              <w:right w:val="single" w:sz="2" w:space="0" w:color="auto"/>
            </w:tcBorders>
            <w:vAlign w:val="center"/>
          </w:tcPr>
          <w:p w:rsidR="00102670" w:rsidRDefault="00102670">
            <w:pPr>
              <w:spacing w:line="240" w:lineRule="exact"/>
              <w:jc w:val="right"/>
              <w:rPr>
                <w:rFonts w:ascii="宋体" w:eastAsia="宋体" w:hAnsi="宋体" w:cs="宋体"/>
                <w:sz w:val="18"/>
                <w:szCs w:val="18"/>
              </w:rPr>
            </w:pPr>
            <w:r>
              <w:rPr>
                <w:rFonts w:ascii="宋体" w:eastAsia="宋体" w:hAnsi="宋体" w:cs="宋体"/>
                <w:sz w:val="18"/>
                <w:szCs w:val="18"/>
              </w:rPr>
              <w:t>1,778.2</w:t>
            </w:r>
          </w:p>
        </w:tc>
        <w:tc>
          <w:tcPr>
            <w:tcW w:w="688" w:type="dxa"/>
            <w:tcBorders>
              <w:top w:val="single" w:sz="2" w:space="0" w:color="auto"/>
              <w:left w:val="single" w:sz="2" w:space="0" w:color="auto"/>
              <w:bottom w:val="single" w:sz="2" w:space="0" w:color="auto"/>
              <w:right w:val="single" w:sz="2" w:space="0" w:color="auto"/>
            </w:tcBorders>
            <w:vAlign w:val="center"/>
          </w:tcPr>
          <w:p w:rsidR="00102670" w:rsidRDefault="00102670">
            <w:pPr>
              <w:spacing w:line="240" w:lineRule="exact"/>
              <w:jc w:val="right"/>
              <w:rPr>
                <w:rFonts w:ascii="宋体" w:eastAsia="宋体" w:hAnsi="宋体" w:cs="宋体"/>
                <w:sz w:val="18"/>
                <w:szCs w:val="18"/>
              </w:rPr>
            </w:pPr>
            <w:r>
              <w:rPr>
                <w:rFonts w:ascii="宋体" w:eastAsia="宋体" w:hAnsi="宋体" w:cs="宋体"/>
                <w:sz w:val="18"/>
                <w:szCs w:val="18"/>
              </w:rPr>
              <w:t>0.36%</w:t>
            </w:r>
          </w:p>
        </w:tc>
        <w:tc>
          <w:tcPr>
            <w:tcW w:w="688" w:type="dxa"/>
            <w:tcBorders>
              <w:top w:val="single" w:sz="2" w:space="0" w:color="auto"/>
              <w:left w:val="single" w:sz="2" w:space="0" w:color="auto"/>
              <w:bottom w:val="single" w:sz="2" w:space="0" w:color="auto"/>
              <w:right w:val="single" w:sz="2" w:space="0" w:color="auto"/>
            </w:tcBorders>
            <w:vAlign w:val="center"/>
          </w:tcPr>
          <w:p w:rsidR="00102670" w:rsidRDefault="00102670">
            <w:pPr>
              <w:spacing w:line="240" w:lineRule="exact"/>
              <w:jc w:val="right"/>
              <w:rPr>
                <w:rFonts w:ascii="宋体" w:eastAsia="宋体" w:hAnsi="宋体" w:cs="宋体"/>
                <w:sz w:val="18"/>
                <w:szCs w:val="18"/>
              </w:rPr>
            </w:pPr>
            <w:r>
              <w:rPr>
                <w:rFonts w:ascii="宋体" w:eastAsia="宋体" w:hAnsi="宋体" w:cs="宋体"/>
                <w:sz w:val="18"/>
                <w:szCs w:val="18"/>
              </w:rPr>
              <w:t>2,400</w:t>
            </w:r>
          </w:p>
        </w:tc>
        <w:tc>
          <w:tcPr>
            <w:tcW w:w="461" w:type="dxa"/>
            <w:vMerge/>
            <w:tcBorders>
              <w:left w:val="single" w:sz="2" w:space="0" w:color="auto"/>
              <w:bottom w:val="single" w:sz="2" w:space="0" w:color="auto"/>
              <w:right w:val="single" w:sz="2" w:space="0" w:color="auto"/>
            </w:tcBorders>
            <w:vAlign w:val="center"/>
          </w:tcPr>
          <w:p w:rsidR="00102670" w:rsidRDefault="00102670">
            <w:pPr>
              <w:spacing w:line="240" w:lineRule="exact"/>
              <w:rPr>
                <w:rFonts w:ascii="宋体" w:eastAsia="宋体" w:hAnsi="宋体" w:cs="宋体"/>
                <w:sz w:val="18"/>
                <w:szCs w:val="18"/>
              </w:rPr>
            </w:pPr>
          </w:p>
        </w:tc>
        <w:tc>
          <w:tcPr>
            <w:tcW w:w="708" w:type="dxa"/>
            <w:vMerge/>
            <w:tcBorders>
              <w:left w:val="single" w:sz="2" w:space="0" w:color="auto"/>
              <w:bottom w:val="single" w:sz="2" w:space="0" w:color="auto"/>
              <w:right w:val="single" w:sz="2" w:space="0" w:color="auto"/>
            </w:tcBorders>
            <w:vAlign w:val="center"/>
          </w:tcPr>
          <w:p w:rsidR="00102670" w:rsidRDefault="00102670">
            <w:pPr>
              <w:spacing w:line="240" w:lineRule="exact"/>
              <w:rPr>
                <w:rFonts w:ascii="宋体" w:eastAsia="宋体" w:hAnsi="宋体" w:cs="宋体"/>
                <w:sz w:val="18"/>
                <w:szCs w:val="18"/>
              </w:rPr>
            </w:pPr>
          </w:p>
        </w:tc>
        <w:tc>
          <w:tcPr>
            <w:tcW w:w="709" w:type="dxa"/>
            <w:vMerge/>
            <w:tcBorders>
              <w:left w:val="single" w:sz="2" w:space="0" w:color="auto"/>
              <w:bottom w:val="single" w:sz="2" w:space="0" w:color="auto"/>
              <w:right w:val="single" w:sz="2" w:space="0" w:color="auto"/>
            </w:tcBorders>
            <w:vAlign w:val="center"/>
          </w:tcPr>
          <w:p w:rsidR="00102670" w:rsidRDefault="00102670">
            <w:pPr>
              <w:spacing w:line="240" w:lineRule="exact"/>
              <w:rPr>
                <w:rFonts w:ascii="宋体" w:eastAsia="宋体" w:hAnsi="宋体" w:cs="宋体"/>
                <w:sz w:val="18"/>
                <w:szCs w:val="18"/>
              </w:rPr>
            </w:pPr>
          </w:p>
        </w:tc>
        <w:tc>
          <w:tcPr>
            <w:tcW w:w="567" w:type="dxa"/>
            <w:vMerge/>
            <w:tcBorders>
              <w:left w:val="single" w:sz="2" w:space="0" w:color="auto"/>
              <w:bottom w:val="single" w:sz="2" w:space="0" w:color="auto"/>
              <w:right w:val="single" w:sz="2" w:space="0" w:color="auto"/>
            </w:tcBorders>
            <w:vAlign w:val="center"/>
          </w:tcPr>
          <w:p w:rsidR="00102670" w:rsidRDefault="00102670">
            <w:pPr>
              <w:spacing w:line="240" w:lineRule="exact"/>
              <w:rPr>
                <w:rFonts w:ascii="宋体" w:eastAsia="宋体" w:hAnsi="宋体" w:cs="宋体"/>
                <w:sz w:val="18"/>
                <w:szCs w:val="18"/>
              </w:rPr>
            </w:pPr>
          </w:p>
        </w:tc>
        <w:tc>
          <w:tcPr>
            <w:tcW w:w="995" w:type="dxa"/>
            <w:vMerge/>
            <w:tcBorders>
              <w:left w:val="single" w:sz="2" w:space="0" w:color="auto"/>
              <w:bottom w:val="single" w:sz="2" w:space="0" w:color="auto"/>
              <w:right w:val="single" w:sz="2" w:space="0" w:color="auto"/>
            </w:tcBorders>
            <w:vAlign w:val="center"/>
          </w:tcPr>
          <w:p w:rsidR="00102670" w:rsidRDefault="00102670">
            <w:pPr>
              <w:spacing w:line="240" w:lineRule="exact"/>
              <w:rPr>
                <w:rFonts w:ascii="宋体" w:eastAsia="宋体" w:hAnsi="宋体" w:cs="宋体"/>
                <w:sz w:val="18"/>
                <w:szCs w:val="18"/>
              </w:rPr>
            </w:pPr>
          </w:p>
        </w:tc>
      </w:tr>
      <w:tr w:rsidR="00157EA0" w:rsidTr="00102670">
        <w:trPr>
          <w:trHeight w:val="240"/>
        </w:trPr>
        <w:tc>
          <w:tcPr>
            <w:tcW w:w="2756"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合计</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68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68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196,913.72</w:t>
            </w:r>
          </w:p>
        </w:tc>
        <w:tc>
          <w:tcPr>
            <w:tcW w:w="68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68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212,400</w:t>
            </w:r>
          </w:p>
        </w:tc>
        <w:tc>
          <w:tcPr>
            <w:tcW w:w="46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70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99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r w:rsidR="00157EA0" w:rsidTr="006C5451">
        <w:trPr>
          <w:trHeight w:val="240"/>
        </w:trPr>
        <w:tc>
          <w:tcPr>
            <w:tcW w:w="2756"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大额销货退回的详细情况</w:t>
            </w:r>
          </w:p>
        </w:tc>
        <w:tc>
          <w:tcPr>
            <w:tcW w:w="6883" w:type="dxa"/>
            <w:gridSpan w:val="10"/>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不适用</w:t>
            </w:r>
          </w:p>
        </w:tc>
      </w:tr>
      <w:tr w:rsidR="00157EA0" w:rsidTr="006C5451">
        <w:trPr>
          <w:trHeight w:val="240"/>
        </w:trPr>
        <w:tc>
          <w:tcPr>
            <w:tcW w:w="2756"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按类别对本期将发生的日常关联交易进行总金额预计的，在报告期内的实际履行情况（如有）</w:t>
            </w:r>
          </w:p>
        </w:tc>
        <w:tc>
          <w:tcPr>
            <w:tcW w:w="6883" w:type="dxa"/>
            <w:gridSpan w:val="10"/>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公司与关联方的2023年度关联交易预计是业务部门基于当时的业务开展情况、产销计划、市场需求和价格进行评估和测算后的初步判断，本年度日常关联交易实际发生额在日常关联交易预计的审批范围内，但因实际市场情况与客户要求变化等影响，公司关联交易预计个别业务分类与实际发生情况存在差异，属于正常的经营行为。</w:t>
            </w:r>
          </w:p>
        </w:tc>
      </w:tr>
      <w:tr w:rsidR="00157EA0" w:rsidTr="006C5451">
        <w:trPr>
          <w:trHeight w:val="240"/>
        </w:trPr>
        <w:tc>
          <w:tcPr>
            <w:tcW w:w="2756"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交易价格与市场参考价格差异较大的原因（如适用）</w:t>
            </w:r>
          </w:p>
        </w:tc>
        <w:tc>
          <w:tcPr>
            <w:tcW w:w="6883" w:type="dxa"/>
            <w:gridSpan w:val="10"/>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不适用</w:t>
            </w:r>
          </w:p>
        </w:tc>
      </w:tr>
    </w:tbl>
    <w:p w:rsidR="00BA0365" w:rsidRDefault="008D4B2E">
      <w:pPr>
        <w:pStyle w:val="3"/>
        <w:spacing w:line="280" w:lineRule="exact"/>
        <w:jc w:val="left"/>
        <w:rPr>
          <w:rFonts w:ascii="宋体" w:hAnsi="宋体" w:cs="宋体"/>
          <w:b/>
          <w:bCs/>
        </w:rPr>
      </w:pPr>
      <w:bookmarkStart w:id="113" w:name="_Toc989002"/>
      <w:r>
        <w:rPr>
          <w:rFonts w:ascii="宋体" w:hAnsi="宋体" w:cs="宋体"/>
          <w:b/>
          <w:bCs/>
        </w:rPr>
        <w:t>2、资产或股权收购、出售发生的关联交易</w:t>
      </w:r>
      <w:bookmarkEnd w:id="113"/>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公司报告期未发生资产或股权收购、出售的关联交易。</w:t>
      </w:r>
    </w:p>
    <w:p w:rsidR="00BA0365" w:rsidRDefault="008D4B2E">
      <w:pPr>
        <w:pStyle w:val="3"/>
        <w:spacing w:line="280" w:lineRule="exact"/>
        <w:jc w:val="left"/>
        <w:rPr>
          <w:rFonts w:ascii="宋体" w:hAnsi="宋体" w:cs="宋体"/>
          <w:b/>
          <w:bCs/>
        </w:rPr>
      </w:pPr>
      <w:bookmarkStart w:id="114" w:name="_Toc989003"/>
      <w:r>
        <w:rPr>
          <w:rFonts w:ascii="宋体" w:hAnsi="宋体" w:cs="宋体"/>
          <w:b/>
          <w:bCs/>
        </w:rPr>
        <w:t>3、共同对外投资的关联交易</w:t>
      </w:r>
      <w:bookmarkEnd w:id="114"/>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公司报告期未发生共同对外投资的关联交易。</w:t>
      </w:r>
    </w:p>
    <w:p w:rsidR="00BA0365" w:rsidRDefault="008D4B2E">
      <w:pPr>
        <w:pStyle w:val="3"/>
        <w:spacing w:line="280" w:lineRule="exact"/>
        <w:jc w:val="left"/>
        <w:rPr>
          <w:rFonts w:ascii="宋体" w:hAnsi="宋体" w:cs="宋体"/>
          <w:b/>
          <w:bCs/>
        </w:rPr>
      </w:pPr>
      <w:bookmarkStart w:id="115" w:name="_Toc989004"/>
      <w:r>
        <w:rPr>
          <w:rFonts w:ascii="宋体" w:hAnsi="宋体" w:cs="宋体"/>
          <w:b/>
          <w:bCs/>
        </w:rPr>
        <w:t>4、关联债权债务往来</w:t>
      </w:r>
      <w:bookmarkEnd w:id="115"/>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公司报告期不存在关联债权债务往来。</w:t>
      </w:r>
    </w:p>
    <w:p w:rsidR="00BA0365" w:rsidRDefault="008D4B2E">
      <w:pPr>
        <w:pStyle w:val="3"/>
        <w:spacing w:line="280" w:lineRule="exact"/>
        <w:jc w:val="left"/>
        <w:rPr>
          <w:rFonts w:ascii="宋体" w:hAnsi="宋体" w:cs="宋体"/>
          <w:b/>
          <w:bCs/>
        </w:rPr>
      </w:pPr>
      <w:bookmarkStart w:id="116" w:name="_Toc989005"/>
      <w:r>
        <w:rPr>
          <w:rFonts w:ascii="宋体" w:hAnsi="宋体" w:cs="宋体"/>
          <w:b/>
          <w:bCs/>
        </w:rPr>
        <w:t>5、与存在关联关系的财务公司的往来情况</w:t>
      </w:r>
      <w:bookmarkEnd w:id="116"/>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公司与存在关联关系的财务公司与关联方之间不存在存款、贷款、授信或其他金融业务。</w:t>
      </w:r>
    </w:p>
    <w:p w:rsidR="00BA0365" w:rsidRDefault="008D4B2E">
      <w:pPr>
        <w:pStyle w:val="3"/>
        <w:spacing w:line="280" w:lineRule="exact"/>
        <w:jc w:val="left"/>
        <w:rPr>
          <w:rFonts w:ascii="宋体" w:hAnsi="宋体" w:cs="宋体"/>
          <w:b/>
          <w:bCs/>
        </w:rPr>
      </w:pPr>
      <w:bookmarkStart w:id="117" w:name="_Toc989006"/>
      <w:r>
        <w:rPr>
          <w:rFonts w:ascii="宋体" w:hAnsi="宋体" w:cs="宋体"/>
          <w:b/>
          <w:bCs/>
        </w:rPr>
        <w:t>6、公司控股的财务公司与关联方的往来情况</w:t>
      </w:r>
      <w:bookmarkEnd w:id="117"/>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公司控股的财务公司与关联方之间不存在存款、贷款、授信或其他金融业务。</w:t>
      </w:r>
    </w:p>
    <w:p w:rsidR="00BA0365" w:rsidRDefault="008D4B2E">
      <w:pPr>
        <w:pStyle w:val="3"/>
        <w:spacing w:line="280" w:lineRule="exact"/>
        <w:jc w:val="left"/>
        <w:rPr>
          <w:rFonts w:ascii="宋体" w:hAnsi="宋体" w:cs="宋体"/>
          <w:b/>
          <w:bCs/>
        </w:rPr>
      </w:pPr>
      <w:bookmarkStart w:id="118" w:name="_Toc989007"/>
      <w:r>
        <w:rPr>
          <w:rFonts w:ascii="宋体" w:hAnsi="宋体" w:cs="宋体"/>
          <w:b/>
          <w:bCs/>
        </w:rPr>
        <w:t>7、其他重大关联交易</w:t>
      </w:r>
      <w:bookmarkEnd w:id="118"/>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公司报告期无其他重大关联交易。</w:t>
      </w:r>
    </w:p>
    <w:p w:rsidR="00BA0365" w:rsidRDefault="008D4B2E">
      <w:pPr>
        <w:pStyle w:val="2"/>
        <w:spacing w:before="300" w:after="300" w:line="320" w:lineRule="exact"/>
        <w:rPr>
          <w:rFonts w:ascii="宋体" w:eastAsia="宋体" w:hAnsi="宋体" w:cs="宋体"/>
          <w:b/>
          <w:bCs/>
          <w:sz w:val="24"/>
          <w:szCs w:val="24"/>
        </w:rPr>
      </w:pPr>
      <w:bookmarkStart w:id="119" w:name="_Toc989008"/>
      <w:r>
        <w:rPr>
          <w:rFonts w:ascii="宋体" w:eastAsia="宋体" w:hAnsi="宋体" w:cs="宋体"/>
          <w:b/>
          <w:bCs/>
          <w:sz w:val="24"/>
          <w:szCs w:val="24"/>
        </w:rPr>
        <w:t>十五、重大合同及其履行情况</w:t>
      </w:r>
      <w:bookmarkEnd w:id="119"/>
    </w:p>
    <w:p w:rsidR="00BA0365" w:rsidRDefault="008D4B2E">
      <w:pPr>
        <w:pStyle w:val="3"/>
        <w:spacing w:line="280" w:lineRule="exact"/>
        <w:jc w:val="left"/>
        <w:rPr>
          <w:rFonts w:ascii="宋体" w:hAnsi="宋体" w:cs="宋体"/>
          <w:b/>
          <w:bCs/>
        </w:rPr>
      </w:pPr>
      <w:bookmarkStart w:id="120" w:name="_Toc989009"/>
      <w:r>
        <w:rPr>
          <w:rFonts w:ascii="宋体" w:hAnsi="宋体" w:cs="宋体"/>
          <w:b/>
          <w:bCs/>
        </w:rPr>
        <w:t>1、托管、承包、租赁事项情况</w:t>
      </w:r>
      <w:bookmarkEnd w:id="120"/>
    </w:p>
    <w:p w:rsidR="00BA0365" w:rsidRDefault="008D4B2E">
      <w:pPr>
        <w:keepNext/>
        <w:keepLines/>
        <w:spacing w:before="300" w:after="300" w:line="280" w:lineRule="exact"/>
        <w:outlineLvl w:val="3"/>
        <w:rPr>
          <w:rFonts w:ascii="宋体" w:eastAsia="宋体" w:hAnsi="宋体" w:cs="宋体"/>
          <w:b/>
          <w:bCs/>
          <w:sz w:val="18"/>
          <w:szCs w:val="18"/>
        </w:rPr>
      </w:pPr>
      <w:bookmarkStart w:id="121" w:name="_Toc989010"/>
      <w:r>
        <w:rPr>
          <w:rFonts w:ascii="宋体" w:eastAsia="宋体" w:hAnsi="宋体" w:cs="宋体"/>
          <w:b/>
          <w:bCs/>
          <w:sz w:val="18"/>
          <w:szCs w:val="18"/>
        </w:rPr>
        <w:t>（1） 托管情况</w:t>
      </w:r>
      <w:bookmarkEnd w:id="121"/>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公司报告期不存在托管情况。</w:t>
      </w:r>
    </w:p>
    <w:p w:rsidR="00BA0365" w:rsidRDefault="008D4B2E">
      <w:pPr>
        <w:keepNext/>
        <w:keepLines/>
        <w:spacing w:before="300" w:after="300" w:line="280" w:lineRule="exact"/>
        <w:outlineLvl w:val="3"/>
        <w:rPr>
          <w:rFonts w:ascii="宋体" w:eastAsia="宋体" w:hAnsi="宋体" w:cs="宋体"/>
          <w:b/>
          <w:bCs/>
          <w:sz w:val="18"/>
          <w:szCs w:val="18"/>
        </w:rPr>
      </w:pPr>
      <w:bookmarkStart w:id="122" w:name="_Toc989011"/>
      <w:r>
        <w:rPr>
          <w:rFonts w:ascii="宋体" w:eastAsia="宋体" w:hAnsi="宋体" w:cs="宋体"/>
          <w:b/>
          <w:bCs/>
          <w:sz w:val="18"/>
          <w:szCs w:val="18"/>
        </w:rPr>
        <w:lastRenderedPageBreak/>
        <w:t>（2） 承包情况</w:t>
      </w:r>
      <w:bookmarkEnd w:id="122"/>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公司报告期不存在承包情况。</w:t>
      </w:r>
    </w:p>
    <w:p w:rsidR="00BA0365" w:rsidRDefault="008D4B2E">
      <w:pPr>
        <w:keepNext/>
        <w:keepLines/>
        <w:spacing w:before="300" w:after="300" w:line="280" w:lineRule="exact"/>
        <w:outlineLvl w:val="3"/>
        <w:rPr>
          <w:rFonts w:ascii="宋体" w:eastAsia="宋体" w:hAnsi="宋体" w:cs="宋体"/>
          <w:b/>
          <w:bCs/>
          <w:sz w:val="18"/>
          <w:szCs w:val="18"/>
        </w:rPr>
      </w:pPr>
      <w:bookmarkStart w:id="123" w:name="_Toc989012"/>
      <w:r>
        <w:rPr>
          <w:rFonts w:ascii="宋体" w:eastAsia="宋体" w:hAnsi="宋体" w:cs="宋体"/>
          <w:b/>
          <w:bCs/>
          <w:sz w:val="18"/>
          <w:szCs w:val="18"/>
        </w:rPr>
        <w:t>（3） 租赁情况</w:t>
      </w:r>
      <w:bookmarkEnd w:id="123"/>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公司报告期不存在租赁情况。</w:t>
      </w:r>
    </w:p>
    <w:p w:rsidR="00BA0365" w:rsidRDefault="008D4B2E">
      <w:pPr>
        <w:pStyle w:val="3"/>
        <w:spacing w:line="280" w:lineRule="exact"/>
        <w:jc w:val="left"/>
        <w:rPr>
          <w:rFonts w:ascii="宋体" w:hAnsi="宋体" w:cs="宋体"/>
          <w:b/>
          <w:bCs/>
        </w:rPr>
      </w:pPr>
      <w:bookmarkStart w:id="124" w:name="_Toc989013"/>
      <w:r>
        <w:rPr>
          <w:rFonts w:ascii="宋体" w:hAnsi="宋体" w:cs="宋体"/>
          <w:b/>
          <w:bCs/>
        </w:rPr>
        <w:t>2、重大担保</w:t>
      </w:r>
      <w:bookmarkEnd w:id="124"/>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BA0365" w:rsidRDefault="008D4B2E">
      <w:pPr>
        <w:spacing w:before="120" w:after="120" w:line="240" w:lineRule="exact"/>
        <w:jc w:val="right"/>
        <w:rPr>
          <w:rFonts w:ascii="宋体" w:eastAsia="宋体" w:hAnsi="宋体" w:cs="宋体"/>
          <w:sz w:val="18"/>
          <w:szCs w:val="18"/>
        </w:rPr>
      </w:pPr>
      <w:r>
        <w:rPr>
          <w:rFonts w:ascii="宋体" w:eastAsia="宋体" w:hAnsi="宋体" w:cs="宋体"/>
          <w:sz w:val="18"/>
          <w:szCs w:val="18"/>
        </w:rPr>
        <w:t>单位：万元</w:t>
      </w:r>
    </w:p>
    <w:tbl>
      <w:tblPr>
        <w:tblW w:w="9639" w:type="dxa"/>
        <w:tblLayout w:type="fixed"/>
        <w:tblLook w:val="04A0" w:firstRow="1" w:lastRow="0" w:firstColumn="1" w:lastColumn="0" w:noHBand="0" w:noVBand="1"/>
      </w:tblPr>
      <w:tblGrid>
        <w:gridCol w:w="875"/>
        <w:gridCol w:w="877"/>
        <w:gridCol w:w="876"/>
        <w:gridCol w:w="877"/>
        <w:gridCol w:w="876"/>
        <w:gridCol w:w="877"/>
        <w:gridCol w:w="876"/>
        <w:gridCol w:w="876"/>
        <w:gridCol w:w="876"/>
        <w:gridCol w:w="876"/>
        <w:gridCol w:w="877"/>
      </w:tblGrid>
      <w:tr w:rsidR="00157EA0">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公司及其子公司对外担保情况（不包括对子公司的担保）</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担保对象名称</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担保额度相关公告披露日期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担保额度</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实际发生日期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实际担保金额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担保类型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担保物（如有）</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反担保情况（如有）</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担保期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是否履行完毕</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是否为关联方担保</w:t>
            </w:r>
          </w:p>
        </w:tc>
      </w:tr>
      <w:tr w:rsidR="00157EA0">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公司对子公司的担保情况</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担保对象名称</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担保额度相关公告披露日期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担保额度</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实际发生日期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实际担保金额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担保类型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担保物（如有）</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反担保情况（如有）</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担保期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是否履行完毕</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是否为关联方担保</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青岛软控机电工程</w:t>
            </w:r>
            <w:proofErr w:type="gramEnd"/>
            <w:r>
              <w:rPr>
                <w:rFonts w:ascii="宋体" w:eastAsia="宋体" w:hAnsi="宋体" w:cs="宋体"/>
                <w:sz w:val="18"/>
                <w:szCs w:val="18"/>
              </w:rPr>
              <w:t>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2021年05月20日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818,513</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2021年12月22日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3,651.36</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30个月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青岛软控机电工程</w:t>
            </w:r>
            <w:proofErr w:type="gramEnd"/>
            <w:r>
              <w:rPr>
                <w:rFonts w:ascii="宋体" w:eastAsia="宋体" w:hAnsi="宋体" w:cs="宋体"/>
                <w:sz w:val="18"/>
                <w:szCs w:val="18"/>
              </w:rPr>
              <w:t>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2021年05月20日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818,513</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2022年01月13日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12,000</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12个月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青岛软控机电工程</w:t>
            </w:r>
            <w:proofErr w:type="gramEnd"/>
            <w:r>
              <w:rPr>
                <w:rFonts w:ascii="宋体" w:eastAsia="宋体" w:hAnsi="宋体" w:cs="宋体"/>
                <w:sz w:val="18"/>
                <w:szCs w:val="18"/>
              </w:rPr>
              <w:t>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2021年05月20日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818,513</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2022年03月02日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1,003.8</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28个月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青岛软控机电工程</w:t>
            </w:r>
            <w:proofErr w:type="gramEnd"/>
            <w:r>
              <w:rPr>
                <w:rFonts w:ascii="宋体" w:eastAsia="宋体" w:hAnsi="宋体" w:cs="宋体"/>
                <w:sz w:val="18"/>
                <w:szCs w:val="18"/>
              </w:rPr>
              <w:t>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2021年05月20日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818,513</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2022年03月25日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9,500</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12个月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青岛软控机电工程</w:t>
            </w:r>
            <w:proofErr w:type="gramEnd"/>
            <w:r>
              <w:rPr>
                <w:rFonts w:ascii="宋体" w:eastAsia="宋体" w:hAnsi="宋体" w:cs="宋体"/>
                <w:sz w:val="18"/>
                <w:szCs w:val="18"/>
              </w:rPr>
              <w:t>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2021年05月20日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818,513</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2022年04月13日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12个月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青岛软控机电工程</w:t>
            </w:r>
            <w:proofErr w:type="gramEnd"/>
            <w:r>
              <w:rPr>
                <w:rFonts w:ascii="宋体" w:eastAsia="宋体" w:hAnsi="宋体" w:cs="宋体"/>
                <w:sz w:val="18"/>
                <w:szCs w:val="18"/>
              </w:rPr>
              <w:t>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2022年05月30日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15,000</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10个月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青岛软控机电工程</w:t>
            </w:r>
            <w:proofErr w:type="gramEnd"/>
            <w:r>
              <w:rPr>
                <w:rFonts w:ascii="宋体" w:eastAsia="宋体" w:hAnsi="宋体" w:cs="宋体"/>
                <w:sz w:val="18"/>
                <w:szCs w:val="18"/>
              </w:rPr>
              <w:t>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2022年06月28日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5,000</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12个月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lastRenderedPageBreak/>
              <w:t>青岛软控机电工程</w:t>
            </w:r>
            <w:proofErr w:type="gramEnd"/>
            <w:r>
              <w:rPr>
                <w:rFonts w:ascii="宋体" w:eastAsia="宋体" w:hAnsi="宋体" w:cs="宋体"/>
                <w:sz w:val="18"/>
                <w:szCs w:val="18"/>
              </w:rPr>
              <w:t>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2022年08月12日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540</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6个月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青岛软控机电工程</w:t>
            </w:r>
            <w:proofErr w:type="gramEnd"/>
            <w:r>
              <w:rPr>
                <w:rFonts w:ascii="宋体" w:eastAsia="宋体" w:hAnsi="宋体" w:cs="宋体"/>
                <w:sz w:val="18"/>
                <w:szCs w:val="18"/>
              </w:rPr>
              <w:t>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2022年08月15日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501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6个月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青岛软控机电工程</w:t>
            </w:r>
            <w:proofErr w:type="gramEnd"/>
            <w:r>
              <w:rPr>
                <w:rFonts w:ascii="宋体" w:eastAsia="宋体" w:hAnsi="宋体" w:cs="宋体"/>
                <w:sz w:val="18"/>
                <w:szCs w:val="18"/>
              </w:rPr>
              <w:t>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2022年08月18日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3,000</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12个月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青岛软控机电工程</w:t>
            </w:r>
            <w:proofErr w:type="gramEnd"/>
            <w:r>
              <w:rPr>
                <w:rFonts w:ascii="宋体" w:eastAsia="宋体" w:hAnsi="宋体" w:cs="宋体"/>
                <w:sz w:val="18"/>
                <w:szCs w:val="18"/>
              </w:rPr>
              <w:t>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2022年08月19日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202.53</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6个月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青岛软控机电工程</w:t>
            </w:r>
            <w:proofErr w:type="gramEnd"/>
            <w:r>
              <w:rPr>
                <w:rFonts w:ascii="宋体" w:eastAsia="宋体" w:hAnsi="宋体" w:cs="宋体"/>
                <w:sz w:val="18"/>
                <w:szCs w:val="18"/>
              </w:rPr>
              <w:t>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2022年08月23日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384.71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6个月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青岛软控机电工程</w:t>
            </w:r>
            <w:proofErr w:type="gramEnd"/>
            <w:r>
              <w:rPr>
                <w:rFonts w:ascii="宋体" w:eastAsia="宋体" w:hAnsi="宋体" w:cs="宋体"/>
                <w:sz w:val="18"/>
                <w:szCs w:val="18"/>
              </w:rPr>
              <w:t>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2022年08月26日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289.85</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6个月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青岛软控机电工程</w:t>
            </w:r>
            <w:proofErr w:type="gramEnd"/>
            <w:r>
              <w:rPr>
                <w:rFonts w:ascii="宋体" w:eastAsia="宋体" w:hAnsi="宋体" w:cs="宋体"/>
                <w:sz w:val="18"/>
                <w:szCs w:val="18"/>
              </w:rPr>
              <w:t>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2022年09月05日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981.15</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6个月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青岛软控机电工程</w:t>
            </w:r>
            <w:proofErr w:type="gramEnd"/>
            <w:r>
              <w:rPr>
                <w:rFonts w:ascii="宋体" w:eastAsia="宋体" w:hAnsi="宋体" w:cs="宋体"/>
                <w:sz w:val="18"/>
                <w:szCs w:val="18"/>
              </w:rPr>
              <w:t>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2022年09月08日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218.85</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6个月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青岛软控机电工程</w:t>
            </w:r>
            <w:proofErr w:type="gramEnd"/>
            <w:r>
              <w:rPr>
                <w:rFonts w:ascii="宋体" w:eastAsia="宋体" w:hAnsi="宋体" w:cs="宋体"/>
                <w:sz w:val="18"/>
                <w:szCs w:val="18"/>
              </w:rPr>
              <w:t>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2022年09月21日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7个月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青岛软控机电工程</w:t>
            </w:r>
            <w:proofErr w:type="gramEnd"/>
            <w:r>
              <w:rPr>
                <w:rFonts w:ascii="宋体" w:eastAsia="宋体" w:hAnsi="宋体" w:cs="宋体"/>
                <w:sz w:val="18"/>
                <w:szCs w:val="18"/>
              </w:rPr>
              <w:t>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2022年09月23日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7个月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青岛软控机电工程</w:t>
            </w:r>
            <w:proofErr w:type="gramEnd"/>
            <w:r>
              <w:rPr>
                <w:rFonts w:ascii="宋体" w:eastAsia="宋体" w:hAnsi="宋体" w:cs="宋体"/>
                <w:sz w:val="18"/>
                <w:szCs w:val="18"/>
              </w:rPr>
              <w:t>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2022年09月26日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2,450</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7个月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青岛软控机电工程</w:t>
            </w:r>
            <w:proofErr w:type="gramEnd"/>
            <w:r>
              <w:rPr>
                <w:rFonts w:ascii="宋体" w:eastAsia="宋体" w:hAnsi="宋体" w:cs="宋体"/>
                <w:sz w:val="18"/>
                <w:szCs w:val="18"/>
              </w:rPr>
              <w:t>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2022年09月28日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3,300</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12个月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青岛软控机电工程</w:t>
            </w:r>
            <w:proofErr w:type="gramEnd"/>
            <w:r>
              <w:rPr>
                <w:rFonts w:ascii="宋体" w:eastAsia="宋体" w:hAnsi="宋体" w:cs="宋体"/>
                <w:sz w:val="18"/>
                <w:szCs w:val="18"/>
              </w:rPr>
              <w:t>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2022年09月28日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700</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12个月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青岛软控机电工程</w:t>
            </w:r>
            <w:proofErr w:type="gramEnd"/>
            <w:r>
              <w:rPr>
                <w:rFonts w:ascii="宋体" w:eastAsia="宋体" w:hAnsi="宋体" w:cs="宋体"/>
                <w:sz w:val="18"/>
                <w:szCs w:val="18"/>
              </w:rPr>
              <w:t>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2022年10月20日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12个月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青岛软</w:t>
            </w:r>
            <w:r>
              <w:rPr>
                <w:rFonts w:ascii="宋体" w:eastAsia="宋体" w:hAnsi="宋体" w:cs="宋体"/>
                <w:sz w:val="18"/>
                <w:szCs w:val="18"/>
              </w:rPr>
              <w:lastRenderedPageBreak/>
              <w:t>控机电工程</w:t>
            </w:r>
            <w:proofErr w:type="gramEnd"/>
            <w:r>
              <w:rPr>
                <w:rFonts w:ascii="宋体" w:eastAsia="宋体" w:hAnsi="宋体" w:cs="宋体"/>
                <w:sz w:val="18"/>
                <w:szCs w:val="18"/>
              </w:rPr>
              <w:t>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lastRenderedPageBreak/>
              <w:t>2022年</w:t>
            </w:r>
            <w:r>
              <w:rPr>
                <w:rFonts w:ascii="宋体" w:eastAsia="宋体" w:hAnsi="宋体" w:cs="宋体"/>
                <w:sz w:val="18"/>
                <w:szCs w:val="18"/>
              </w:rPr>
              <w:lastRenderedPageBreak/>
              <w:t>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lastRenderedPageBreak/>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w:t>
            </w:r>
            <w:r>
              <w:rPr>
                <w:rFonts w:ascii="宋体" w:eastAsia="宋体" w:hAnsi="宋体" w:cs="宋体"/>
                <w:sz w:val="18"/>
                <w:szCs w:val="18"/>
              </w:rPr>
              <w:lastRenderedPageBreak/>
              <w:t>11月11日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lastRenderedPageBreak/>
              <w:t>1,000</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w:t>
            </w:r>
            <w:r>
              <w:rPr>
                <w:rFonts w:ascii="宋体" w:eastAsia="宋体" w:hAnsi="宋体" w:cs="宋体"/>
                <w:sz w:val="18"/>
                <w:szCs w:val="18"/>
              </w:rPr>
              <w:lastRenderedPageBreak/>
              <w:t>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3个月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lastRenderedPageBreak/>
              <w:t>青岛软控机电工程</w:t>
            </w:r>
            <w:proofErr w:type="gramEnd"/>
            <w:r>
              <w:rPr>
                <w:rFonts w:ascii="宋体" w:eastAsia="宋体" w:hAnsi="宋体" w:cs="宋体"/>
                <w:sz w:val="18"/>
                <w:szCs w:val="18"/>
              </w:rPr>
              <w:t>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2022年11月14日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5,300</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12个月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青岛软控机电工程</w:t>
            </w:r>
            <w:proofErr w:type="gramEnd"/>
            <w:r>
              <w:rPr>
                <w:rFonts w:ascii="宋体" w:eastAsia="宋体" w:hAnsi="宋体" w:cs="宋体"/>
                <w:sz w:val="18"/>
                <w:szCs w:val="18"/>
              </w:rPr>
              <w:t>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2023年01月01日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2,300</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8个月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青岛软控机电工程</w:t>
            </w:r>
            <w:proofErr w:type="gramEnd"/>
            <w:r>
              <w:rPr>
                <w:rFonts w:ascii="宋体" w:eastAsia="宋体" w:hAnsi="宋体" w:cs="宋体"/>
                <w:sz w:val="18"/>
                <w:szCs w:val="18"/>
              </w:rPr>
              <w:t>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2023年01月01日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5,000</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12个月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青岛软控机电工程</w:t>
            </w:r>
            <w:proofErr w:type="gramEnd"/>
            <w:r>
              <w:rPr>
                <w:rFonts w:ascii="宋体" w:eastAsia="宋体" w:hAnsi="宋体" w:cs="宋体"/>
                <w:sz w:val="18"/>
                <w:szCs w:val="18"/>
              </w:rPr>
              <w:t>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2023年02月20日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12,000</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6个月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青岛软控机电工程</w:t>
            </w:r>
            <w:proofErr w:type="gramEnd"/>
            <w:r>
              <w:rPr>
                <w:rFonts w:ascii="宋体" w:eastAsia="宋体" w:hAnsi="宋体" w:cs="宋体"/>
                <w:sz w:val="18"/>
                <w:szCs w:val="18"/>
              </w:rPr>
              <w:t>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2023年03月29日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15,000</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12个月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青岛软控机电工程</w:t>
            </w:r>
            <w:proofErr w:type="gramEnd"/>
            <w:r>
              <w:rPr>
                <w:rFonts w:ascii="宋体" w:eastAsia="宋体" w:hAnsi="宋体" w:cs="宋体"/>
                <w:sz w:val="18"/>
                <w:szCs w:val="18"/>
              </w:rPr>
              <w:t>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2023年05月08日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775,040</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2023年06月06日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4,000</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青岛软控机电工程</w:t>
            </w:r>
            <w:proofErr w:type="gramEnd"/>
            <w:r>
              <w:rPr>
                <w:rFonts w:ascii="宋体" w:eastAsia="宋体" w:hAnsi="宋体" w:cs="宋体"/>
                <w:sz w:val="18"/>
                <w:szCs w:val="18"/>
              </w:rPr>
              <w:t>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2023年07月01日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147.49</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9个月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青岛软控机电工程</w:t>
            </w:r>
            <w:proofErr w:type="gramEnd"/>
            <w:r>
              <w:rPr>
                <w:rFonts w:ascii="宋体" w:eastAsia="宋体" w:hAnsi="宋体" w:cs="宋体"/>
                <w:sz w:val="18"/>
                <w:szCs w:val="18"/>
              </w:rPr>
              <w:t>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2023年07月26日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218.18</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6个月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青岛软控机电工程</w:t>
            </w:r>
            <w:proofErr w:type="gramEnd"/>
            <w:r>
              <w:rPr>
                <w:rFonts w:ascii="宋体" w:eastAsia="宋体" w:hAnsi="宋体" w:cs="宋体"/>
                <w:sz w:val="18"/>
                <w:szCs w:val="18"/>
              </w:rPr>
              <w:t>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2023年08月21日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67.32</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7个月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青岛软控机电工程</w:t>
            </w:r>
            <w:proofErr w:type="gramEnd"/>
            <w:r>
              <w:rPr>
                <w:rFonts w:ascii="宋体" w:eastAsia="宋体" w:hAnsi="宋体" w:cs="宋体"/>
                <w:sz w:val="18"/>
                <w:szCs w:val="18"/>
              </w:rPr>
              <w:t>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2023年08月22日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258.91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14个月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青岛软控机电工程</w:t>
            </w:r>
            <w:proofErr w:type="gramEnd"/>
            <w:r>
              <w:rPr>
                <w:rFonts w:ascii="宋体" w:eastAsia="宋体" w:hAnsi="宋体" w:cs="宋体"/>
                <w:sz w:val="18"/>
                <w:szCs w:val="18"/>
              </w:rPr>
              <w:t>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2023年09月07日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10.22</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5个月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青岛软控机电工程</w:t>
            </w:r>
            <w:proofErr w:type="gramEnd"/>
            <w:r>
              <w:rPr>
                <w:rFonts w:ascii="宋体" w:eastAsia="宋体" w:hAnsi="宋体" w:cs="宋体"/>
                <w:sz w:val="18"/>
                <w:szCs w:val="18"/>
              </w:rPr>
              <w:t>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2023年10月07日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393.76</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12个月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青岛软控机电工程</w:t>
            </w:r>
            <w:proofErr w:type="gramEnd"/>
            <w:r>
              <w:rPr>
                <w:rFonts w:ascii="宋体" w:eastAsia="宋体" w:hAnsi="宋体" w:cs="宋体"/>
                <w:sz w:val="18"/>
                <w:szCs w:val="18"/>
              </w:rPr>
              <w:t>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2023年10月20日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2,400</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6个月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青岛软控机电</w:t>
            </w:r>
            <w:r>
              <w:rPr>
                <w:rFonts w:ascii="宋体" w:eastAsia="宋体" w:hAnsi="宋体" w:cs="宋体"/>
                <w:sz w:val="18"/>
                <w:szCs w:val="18"/>
              </w:rPr>
              <w:lastRenderedPageBreak/>
              <w:t>工程</w:t>
            </w:r>
            <w:proofErr w:type="gramEnd"/>
            <w:r>
              <w:rPr>
                <w:rFonts w:ascii="宋体" w:eastAsia="宋体" w:hAnsi="宋体" w:cs="宋体"/>
                <w:sz w:val="18"/>
                <w:szCs w:val="18"/>
              </w:rPr>
              <w:t>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lastRenderedPageBreak/>
              <w:t>2022年05月27</w:t>
            </w:r>
            <w:r>
              <w:rPr>
                <w:rFonts w:ascii="宋体" w:eastAsia="宋体" w:hAnsi="宋体" w:cs="宋体"/>
                <w:sz w:val="18"/>
                <w:szCs w:val="18"/>
              </w:rPr>
              <w:lastRenderedPageBreak/>
              <w:t>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lastRenderedPageBreak/>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2023年12月14</w:t>
            </w:r>
            <w:r>
              <w:rPr>
                <w:rFonts w:ascii="宋体" w:eastAsia="宋体" w:hAnsi="宋体" w:cs="宋体"/>
                <w:sz w:val="18"/>
                <w:szCs w:val="18"/>
              </w:rPr>
              <w:lastRenderedPageBreak/>
              <w:t>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lastRenderedPageBreak/>
              <w:t>10,000</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6个月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lastRenderedPageBreak/>
              <w:t>青岛软控机电工程</w:t>
            </w:r>
            <w:proofErr w:type="gramEnd"/>
            <w:r>
              <w:rPr>
                <w:rFonts w:ascii="宋体" w:eastAsia="宋体" w:hAnsi="宋体" w:cs="宋体"/>
                <w:sz w:val="18"/>
                <w:szCs w:val="18"/>
              </w:rPr>
              <w:t>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2023年12月22日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3,000</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12个月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青岛软控机电工程</w:t>
            </w:r>
            <w:proofErr w:type="gramEnd"/>
            <w:r>
              <w:rPr>
                <w:rFonts w:ascii="宋体" w:eastAsia="宋体" w:hAnsi="宋体" w:cs="宋体"/>
                <w:sz w:val="18"/>
                <w:szCs w:val="18"/>
              </w:rPr>
              <w:t>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2023年12月22日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2,066.4</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11个月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青岛软控机电工程</w:t>
            </w:r>
            <w:proofErr w:type="gramEnd"/>
            <w:r>
              <w:rPr>
                <w:rFonts w:ascii="宋体" w:eastAsia="宋体" w:hAnsi="宋体" w:cs="宋体"/>
                <w:sz w:val="18"/>
                <w:szCs w:val="18"/>
              </w:rPr>
              <w:t>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2023年12月22日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2,210.4</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14个月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青岛软控机电工程</w:t>
            </w:r>
            <w:proofErr w:type="gramEnd"/>
            <w:r>
              <w:rPr>
                <w:rFonts w:ascii="宋体" w:eastAsia="宋体" w:hAnsi="宋体" w:cs="宋体"/>
                <w:sz w:val="18"/>
                <w:szCs w:val="18"/>
              </w:rPr>
              <w:t>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2023年12月22日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3,163.8</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13个月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青岛软控机电工程</w:t>
            </w:r>
            <w:proofErr w:type="gramEnd"/>
            <w:r>
              <w:rPr>
                <w:rFonts w:ascii="宋体" w:eastAsia="宋体" w:hAnsi="宋体" w:cs="宋体"/>
                <w:sz w:val="18"/>
                <w:szCs w:val="18"/>
              </w:rPr>
              <w:t>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2023年12月22日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526.2</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10个月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青岛软控机电工程</w:t>
            </w:r>
            <w:proofErr w:type="gramEnd"/>
            <w:r>
              <w:rPr>
                <w:rFonts w:ascii="宋体" w:eastAsia="宋体" w:hAnsi="宋体" w:cs="宋体"/>
                <w:sz w:val="18"/>
                <w:szCs w:val="18"/>
              </w:rPr>
              <w:t>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2023年12月22日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551.07</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13个月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青岛软控机电工程</w:t>
            </w:r>
            <w:proofErr w:type="gramEnd"/>
            <w:r>
              <w:rPr>
                <w:rFonts w:ascii="宋体" w:eastAsia="宋体" w:hAnsi="宋体" w:cs="宋体"/>
                <w:sz w:val="18"/>
                <w:szCs w:val="18"/>
              </w:rPr>
              <w:t>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2023年12月22日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529.71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25个月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青岛软控机电工程</w:t>
            </w:r>
            <w:proofErr w:type="gramEnd"/>
            <w:r>
              <w:rPr>
                <w:rFonts w:ascii="宋体" w:eastAsia="宋体" w:hAnsi="宋体" w:cs="宋体"/>
                <w:sz w:val="18"/>
                <w:szCs w:val="18"/>
              </w:rPr>
              <w:t>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2023年12月22日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846.42</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青岛软控机电工程</w:t>
            </w:r>
            <w:proofErr w:type="gramEnd"/>
            <w:r>
              <w:rPr>
                <w:rFonts w:ascii="宋体" w:eastAsia="宋体" w:hAnsi="宋体" w:cs="宋体"/>
                <w:sz w:val="18"/>
                <w:szCs w:val="18"/>
              </w:rPr>
              <w:t>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2023年12月22日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582</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18个月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青岛软控机电工程</w:t>
            </w:r>
            <w:proofErr w:type="gramEnd"/>
            <w:r>
              <w:rPr>
                <w:rFonts w:ascii="宋体" w:eastAsia="宋体" w:hAnsi="宋体" w:cs="宋体"/>
                <w:sz w:val="18"/>
                <w:szCs w:val="18"/>
              </w:rPr>
              <w:t>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2023年12月22日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1,509</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13个月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软控欧洲</w:t>
            </w:r>
            <w:proofErr w:type="gramEnd"/>
            <w:r>
              <w:rPr>
                <w:rFonts w:ascii="宋体" w:eastAsia="宋体" w:hAnsi="宋体" w:cs="宋体"/>
                <w:sz w:val="18"/>
                <w:szCs w:val="18"/>
              </w:rPr>
              <w:t>研发和技术中心有限责任公司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2021年05月20日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818,513</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2022年02月15日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186.64</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19个月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软控欧洲</w:t>
            </w:r>
            <w:proofErr w:type="gramEnd"/>
            <w:r>
              <w:rPr>
                <w:rFonts w:ascii="宋体" w:eastAsia="宋体" w:hAnsi="宋体" w:cs="宋体"/>
                <w:sz w:val="18"/>
                <w:szCs w:val="18"/>
              </w:rPr>
              <w:t>研发和技术中心有限责任公司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2021年05月20日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818,513</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2022年04月22日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1,255.57</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12个月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软控欧洲</w:t>
            </w:r>
            <w:proofErr w:type="gramEnd"/>
            <w:r>
              <w:rPr>
                <w:rFonts w:ascii="宋体" w:eastAsia="宋体" w:hAnsi="宋体" w:cs="宋体"/>
                <w:sz w:val="18"/>
                <w:szCs w:val="18"/>
              </w:rPr>
              <w:t>研发和技术</w:t>
            </w:r>
            <w:r>
              <w:rPr>
                <w:rFonts w:ascii="宋体" w:eastAsia="宋体" w:hAnsi="宋体" w:cs="宋体"/>
                <w:sz w:val="18"/>
                <w:szCs w:val="18"/>
              </w:rPr>
              <w:lastRenderedPageBreak/>
              <w:t>中心有限责任公司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lastRenderedPageBreak/>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2022年05月31日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318.27</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11个月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lastRenderedPageBreak/>
              <w:t>软控欧洲</w:t>
            </w:r>
            <w:proofErr w:type="gramEnd"/>
            <w:r>
              <w:rPr>
                <w:rFonts w:ascii="宋体" w:eastAsia="宋体" w:hAnsi="宋体" w:cs="宋体"/>
                <w:sz w:val="18"/>
                <w:szCs w:val="18"/>
              </w:rPr>
              <w:t>研发和技术中心有限责任公司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2022年09月07日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202.68</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7个月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软控欧洲</w:t>
            </w:r>
            <w:proofErr w:type="gramEnd"/>
            <w:r>
              <w:rPr>
                <w:rFonts w:ascii="宋体" w:eastAsia="宋体" w:hAnsi="宋体" w:cs="宋体"/>
                <w:sz w:val="18"/>
                <w:szCs w:val="18"/>
              </w:rPr>
              <w:t>研发和技术中心有限责任公司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2022年10月06日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493.84</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12个月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软控欧洲</w:t>
            </w:r>
            <w:proofErr w:type="gramEnd"/>
            <w:r>
              <w:rPr>
                <w:rFonts w:ascii="宋体" w:eastAsia="宋体" w:hAnsi="宋体" w:cs="宋体"/>
                <w:sz w:val="18"/>
                <w:szCs w:val="18"/>
              </w:rPr>
              <w:t>研发和技术中心有限责任公司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2022年11月16日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175.08</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4个月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软控欧洲</w:t>
            </w:r>
            <w:proofErr w:type="gramEnd"/>
            <w:r>
              <w:rPr>
                <w:rFonts w:ascii="宋体" w:eastAsia="宋体" w:hAnsi="宋体" w:cs="宋体"/>
                <w:sz w:val="18"/>
                <w:szCs w:val="18"/>
              </w:rPr>
              <w:t>研发和技术中心有限责任公司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2023年02月03日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182.08</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6个月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软控欧洲</w:t>
            </w:r>
            <w:proofErr w:type="gramEnd"/>
            <w:r>
              <w:rPr>
                <w:rFonts w:ascii="宋体" w:eastAsia="宋体" w:hAnsi="宋体" w:cs="宋体"/>
                <w:sz w:val="18"/>
                <w:szCs w:val="18"/>
              </w:rPr>
              <w:t>研发和技术中心有限责任公司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2023年02月10日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527.8</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9个月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软控欧洲</w:t>
            </w:r>
            <w:proofErr w:type="gramEnd"/>
            <w:r>
              <w:rPr>
                <w:rFonts w:ascii="宋体" w:eastAsia="宋体" w:hAnsi="宋体" w:cs="宋体"/>
                <w:sz w:val="18"/>
                <w:szCs w:val="18"/>
              </w:rPr>
              <w:t>研发和技术中心有限责任公司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2023年02月10日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188.81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10个月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软控欧洲</w:t>
            </w:r>
            <w:proofErr w:type="gramEnd"/>
            <w:r>
              <w:rPr>
                <w:rFonts w:ascii="宋体" w:eastAsia="宋体" w:hAnsi="宋体" w:cs="宋体"/>
                <w:sz w:val="18"/>
                <w:szCs w:val="18"/>
              </w:rPr>
              <w:t>研发和技术中心有限责任公司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2023年04月25日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582.84</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10个月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软控欧洲</w:t>
            </w:r>
            <w:proofErr w:type="gramEnd"/>
            <w:r>
              <w:rPr>
                <w:rFonts w:ascii="宋体" w:eastAsia="宋体" w:hAnsi="宋体" w:cs="宋体"/>
                <w:sz w:val="18"/>
                <w:szCs w:val="18"/>
              </w:rPr>
              <w:t>研发和技术中心有限责任公司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2023年11月03日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796.61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3个月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软控欧洲</w:t>
            </w:r>
            <w:proofErr w:type="gramEnd"/>
            <w:r>
              <w:rPr>
                <w:rFonts w:ascii="宋体" w:eastAsia="宋体" w:hAnsi="宋体" w:cs="宋体"/>
                <w:sz w:val="18"/>
                <w:szCs w:val="18"/>
              </w:rPr>
              <w:t>研发和技术中心有限责任公司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2023年12月04日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1,448.83</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19个月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lastRenderedPageBreak/>
              <w:t>软控欧洲</w:t>
            </w:r>
            <w:proofErr w:type="gramEnd"/>
            <w:r>
              <w:rPr>
                <w:rFonts w:ascii="宋体" w:eastAsia="宋体" w:hAnsi="宋体" w:cs="宋体"/>
                <w:sz w:val="18"/>
                <w:szCs w:val="18"/>
              </w:rPr>
              <w:t>研发和技术中心有限责任公司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2023年12月11日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153.29</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19个月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软控欧洲</w:t>
            </w:r>
            <w:proofErr w:type="gramEnd"/>
            <w:r>
              <w:rPr>
                <w:rFonts w:ascii="宋体" w:eastAsia="宋体" w:hAnsi="宋体" w:cs="宋体"/>
                <w:sz w:val="18"/>
                <w:szCs w:val="18"/>
              </w:rPr>
              <w:t>研发和技术中心有限责任公司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2023年12月15日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548.1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12个月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软控欧洲</w:t>
            </w:r>
            <w:proofErr w:type="gramEnd"/>
            <w:r>
              <w:rPr>
                <w:rFonts w:ascii="宋体" w:eastAsia="宋体" w:hAnsi="宋体" w:cs="宋体"/>
                <w:sz w:val="18"/>
                <w:szCs w:val="18"/>
              </w:rPr>
              <w:t>研发和技术中心有限责任公司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2023年12月22日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312.72</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14个月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软控欧洲</w:t>
            </w:r>
            <w:proofErr w:type="gramEnd"/>
            <w:r>
              <w:rPr>
                <w:rFonts w:ascii="宋体" w:eastAsia="宋体" w:hAnsi="宋体" w:cs="宋体"/>
                <w:sz w:val="18"/>
                <w:szCs w:val="18"/>
              </w:rPr>
              <w:t>研发和技术中心有限责任公司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2023年12月22日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810.23</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15个月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浙江软控智能科技股份有限公司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2023年11月24日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1,010</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6个月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益</w:t>
            </w:r>
            <w:proofErr w:type="gramStart"/>
            <w:r>
              <w:rPr>
                <w:rFonts w:ascii="宋体" w:eastAsia="宋体" w:hAnsi="宋体" w:cs="宋体"/>
                <w:sz w:val="18"/>
                <w:szCs w:val="18"/>
              </w:rPr>
              <w:t>凯</w:t>
            </w:r>
            <w:proofErr w:type="gramEnd"/>
            <w:r>
              <w:rPr>
                <w:rFonts w:ascii="宋体" w:eastAsia="宋体" w:hAnsi="宋体" w:cs="宋体"/>
                <w:sz w:val="18"/>
                <w:szCs w:val="18"/>
              </w:rPr>
              <w:t>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2020年06月30日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80,000</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2020年12月31日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49,615.61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132个月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益</w:t>
            </w:r>
            <w:proofErr w:type="gramStart"/>
            <w:r>
              <w:rPr>
                <w:rFonts w:ascii="宋体" w:eastAsia="宋体" w:hAnsi="宋体" w:cs="宋体"/>
                <w:sz w:val="18"/>
                <w:szCs w:val="18"/>
              </w:rPr>
              <w:t>凯</w:t>
            </w:r>
            <w:proofErr w:type="gramEnd"/>
            <w:r>
              <w:rPr>
                <w:rFonts w:ascii="宋体" w:eastAsia="宋体" w:hAnsi="宋体" w:cs="宋体"/>
                <w:sz w:val="18"/>
                <w:szCs w:val="18"/>
              </w:rPr>
              <w:t>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2020年06月30日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80,000</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2022年04月02日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2,221.97</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109个月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益</w:t>
            </w:r>
            <w:proofErr w:type="gramStart"/>
            <w:r>
              <w:rPr>
                <w:rFonts w:ascii="宋体" w:eastAsia="宋体" w:hAnsi="宋体" w:cs="宋体"/>
                <w:sz w:val="18"/>
                <w:szCs w:val="18"/>
              </w:rPr>
              <w:t>凯</w:t>
            </w:r>
            <w:proofErr w:type="gramEnd"/>
            <w:r>
              <w:rPr>
                <w:rFonts w:ascii="宋体" w:eastAsia="宋体" w:hAnsi="宋体" w:cs="宋体"/>
                <w:sz w:val="18"/>
                <w:szCs w:val="18"/>
              </w:rPr>
              <w:t>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2020年06月30日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80,000</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2022年05月18日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949.5</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108个月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益</w:t>
            </w:r>
            <w:proofErr w:type="gramStart"/>
            <w:r>
              <w:rPr>
                <w:rFonts w:ascii="宋体" w:eastAsia="宋体" w:hAnsi="宋体" w:cs="宋体"/>
                <w:sz w:val="18"/>
                <w:szCs w:val="18"/>
              </w:rPr>
              <w:t>凯</w:t>
            </w:r>
            <w:proofErr w:type="gramEnd"/>
            <w:r>
              <w:rPr>
                <w:rFonts w:ascii="宋体" w:eastAsia="宋体" w:hAnsi="宋体" w:cs="宋体"/>
                <w:sz w:val="18"/>
                <w:szCs w:val="18"/>
              </w:rPr>
              <w:t>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2022年05月31日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6,500</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12个月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益</w:t>
            </w:r>
            <w:proofErr w:type="gramStart"/>
            <w:r>
              <w:rPr>
                <w:rFonts w:ascii="宋体" w:eastAsia="宋体" w:hAnsi="宋体" w:cs="宋体"/>
                <w:sz w:val="18"/>
                <w:szCs w:val="18"/>
              </w:rPr>
              <w:t>凯</w:t>
            </w:r>
            <w:proofErr w:type="gramEnd"/>
            <w:r>
              <w:rPr>
                <w:rFonts w:ascii="宋体" w:eastAsia="宋体" w:hAnsi="宋体" w:cs="宋体"/>
                <w:sz w:val="18"/>
                <w:szCs w:val="18"/>
              </w:rPr>
              <w:t>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2022年06月27日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561.59</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107个月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益</w:t>
            </w:r>
            <w:proofErr w:type="gramStart"/>
            <w:r>
              <w:rPr>
                <w:rFonts w:ascii="宋体" w:eastAsia="宋体" w:hAnsi="宋体" w:cs="宋体"/>
                <w:sz w:val="18"/>
                <w:szCs w:val="18"/>
              </w:rPr>
              <w:t>凯</w:t>
            </w:r>
            <w:proofErr w:type="gramEnd"/>
            <w:r>
              <w:rPr>
                <w:rFonts w:ascii="宋体" w:eastAsia="宋体" w:hAnsi="宋体" w:cs="宋体"/>
                <w:sz w:val="18"/>
                <w:szCs w:val="18"/>
              </w:rPr>
              <w:t>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2022年06月27日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667.27</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41个月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益</w:t>
            </w:r>
            <w:proofErr w:type="gramStart"/>
            <w:r>
              <w:rPr>
                <w:rFonts w:ascii="宋体" w:eastAsia="宋体" w:hAnsi="宋体" w:cs="宋体"/>
                <w:sz w:val="18"/>
                <w:szCs w:val="18"/>
              </w:rPr>
              <w:t>凯</w:t>
            </w:r>
            <w:proofErr w:type="gramEnd"/>
            <w:r>
              <w:rPr>
                <w:rFonts w:ascii="宋体" w:eastAsia="宋体" w:hAnsi="宋体" w:cs="宋体"/>
                <w:sz w:val="18"/>
                <w:szCs w:val="18"/>
              </w:rPr>
              <w:t>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2022年07月27日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818.29</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106个月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益</w:t>
            </w:r>
            <w:proofErr w:type="gramStart"/>
            <w:r>
              <w:rPr>
                <w:rFonts w:ascii="宋体" w:eastAsia="宋体" w:hAnsi="宋体" w:cs="宋体"/>
                <w:sz w:val="18"/>
                <w:szCs w:val="18"/>
              </w:rPr>
              <w:t>凯</w:t>
            </w:r>
            <w:proofErr w:type="gramEnd"/>
            <w:r>
              <w:rPr>
                <w:rFonts w:ascii="宋体" w:eastAsia="宋体" w:hAnsi="宋体" w:cs="宋体"/>
                <w:sz w:val="18"/>
                <w:szCs w:val="18"/>
              </w:rPr>
              <w:t>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2022年07月29日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1,217.14</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10个月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益</w:t>
            </w:r>
            <w:proofErr w:type="gramStart"/>
            <w:r>
              <w:rPr>
                <w:rFonts w:ascii="宋体" w:eastAsia="宋体" w:hAnsi="宋体" w:cs="宋体"/>
                <w:sz w:val="18"/>
                <w:szCs w:val="18"/>
              </w:rPr>
              <w:t>凯</w:t>
            </w:r>
            <w:proofErr w:type="gramEnd"/>
            <w:r>
              <w:rPr>
                <w:rFonts w:ascii="宋体" w:eastAsia="宋体" w:hAnsi="宋体" w:cs="宋体"/>
                <w:sz w:val="18"/>
                <w:szCs w:val="18"/>
              </w:rPr>
              <w:t>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2022年08月25日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649.49</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105个月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益</w:t>
            </w:r>
            <w:proofErr w:type="gramStart"/>
            <w:r>
              <w:rPr>
                <w:rFonts w:ascii="宋体" w:eastAsia="宋体" w:hAnsi="宋体" w:cs="宋体"/>
                <w:sz w:val="18"/>
                <w:szCs w:val="18"/>
              </w:rPr>
              <w:t>凯</w:t>
            </w:r>
            <w:proofErr w:type="gramEnd"/>
            <w:r>
              <w:rPr>
                <w:rFonts w:ascii="宋体" w:eastAsia="宋体" w:hAnsi="宋体" w:cs="宋体"/>
                <w:sz w:val="18"/>
                <w:szCs w:val="18"/>
              </w:rPr>
              <w:t>新</w:t>
            </w:r>
            <w:r>
              <w:rPr>
                <w:rFonts w:ascii="宋体" w:eastAsia="宋体" w:hAnsi="宋体" w:cs="宋体"/>
                <w:sz w:val="18"/>
                <w:szCs w:val="18"/>
              </w:rPr>
              <w:lastRenderedPageBreak/>
              <w:t>材料有限公司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lastRenderedPageBreak/>
              <w:t>2022年</w:t>
            </w:r>
            <w:r>
              <w:rPr>
                <w:rFonts w:ascii="宋体" w:eastAsia="宋体" w:hAnsi="宋体" w:cs="宋体"/>
                <w:sz w:val="18"/>
                <w:szCs w:val="18"/>
              </w:rPr>
              <w:lastRenderedPageBreak/>
              <w:t>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lastRenderedPageBreak/>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w:t>
            </w:r>
            <w:r>
              <w:rPr>
                <w:rFonts w:ascii="宋体" w:eastAsia="宋体" w:hAnsi="宋体" w:cs="宋体"/>
                <w:sz w:val="18"/>
                <w:szCs w:val="18"/>
              </w:rPr>
              <w:lastRenderedPageBreak/>
              <w:t>08月25日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lastRenderedPageBreak/>
              <w:t>664.71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w:t>
            </w:r>
            <w:r>
              <w:rPr>
                <w:rFonts w:ascii="宋体" w:eastAsia="宋体" w:hAnsi="宋体" w:cs="宋体"/>
                <w:sz w:val="18"/>
                <w:szCs w:val="18"/>
              </w:rPr>
              <w:lastRenderedPageBreak/>
              <w:t>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15个月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是</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lastRenderedPageBreak/>
              <w:t>益</w:t>
            </w:r>
            <w:proofErr w:type="gramStart"/>
            <w:r>
              <w:rPr>
                <w:rFonts w:ascii="宋体" w:eastAsia="宋体" w:hAnsi="宋体" w:cs="宋体"/>
                <w:sz w:val="18"/>
                <w:szCs w:val="18"/>
              </w:rPr>
              <w:t>凯</w:t>
            </w:r>
            <w:proofErr w:type="gramEnd"/>
            <w:r>
              <w:rPr>
                <w:rFonts w:ascii="宋体" w:eastAsia="宋体" w:hAnsi="宋体" w:cs="宋体"/>
                <w:sz w:val="18"/>
                <w:szCs w:val="18"/>
              </w:rPr>
              <w:t>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2022年09月27日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1,543.8</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益</w:t>
            </w:r>
            <w:proofErr w:type="gramStart"/>
            <w:r>
              <w:rPr>
                <w:rFonts w:ascii="宋体" w:eastAsia="宋体" w:hAnsi="宋体" w:cs="宋体"/>
                <w:sz w:val="18"/>
                <w:szCs w:val="18"/>
              </w:rPr>
              <w:t>凯</w:t>
            </w:r>
            <w:proofErr w:type="gramEnd"/>
            <w:r>
              <w:rPr>
                <w:rFonts w:ascii="宋体" w:eastAsia="宋体" w:hAnsi="宋体" w:cs="宋体"/>
                <w:sz w:val="18"/>
                <w:szCs w:val="18"/>
              </w:rPr>
              <w:t>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2022年09月29日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982.66</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104个月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益</w:t>
            </w:r>
            <w:proofErr w:type="gramStart"/>
            <w:r>
              <w:rPr>
                <w:rFonts w:ascii="宋体" w:eastAsia="宋体" w:hAnsi="宋体" w:cs="宋体"/>
                <w:sz w:val="18"/>
                <w:szCs w:val="18"/>
              </w:rPr>
              <w:t>凯</w:t>
            </w:r>
            <w:proofErr w:type="gramEnd"/>
            <w:r>
              <w:rPr>
                <w:rFonts w:ascii="宋体" w:eastAsia="宋体" w:hAnsi="宋体" w:cs="宋体"/>
                <w:sz w:val="18"/>
                <w:szCs w:val="18"/>
              </w:rPr>
              <w:t>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2022年10月28日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1,188.01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25个月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益</w:t>
            </w:r>
            <w:proofErr w:type="gramStart"/>
            <w:r>
              <w:rPr>
                <w:rFonts w:ascii="宋体" w:eastAsia="宋体" w:hAnsi="宋体" w:cs="宋体"/>
                <w:sz w:val="18"/>
                <w:szCs w:val="18"/>
              </w:rPr>
              <w:t>凯</w:t>
            </w:r>
            <w:proofErr w:type="gramEnd"/>
            <w:r>
              <w:rPr>
                <w:rFonts w:ascii="宋体" w:eastAsia="宋体" w:hAnsi="宋体" w:cs="宋体"/>
                <w:sz w:val="18"/>
                <w:szCs w:val="18"/>
              </w:rPr>
              <w:t>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2022年11月02日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928.43</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103个月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益</w:t>
            </w:r>
            <w:proofErr w:type="gramStart"/>
            <w:r>
              <w:rPr>
                <w:rFonts w:ascii="宋体" w:eastAsia="宋体" w:hAnsi="宋体" w:cs="宋体"/>
                <w:sz w:val="18"/>
                <w:szCs w:val="18"/>
              </w:rPr>
              <w:t>凯</w:t>
            </w:r>
            <w:proofErr w:type="gramEnd"/>
            <w:r>
              <w:rPr>
                <w:rFonts w:ascii="宋体" w:eastAsia="宋体" w:hAnsi="宋体" w:cs="宋体"/>
                <w:sz w:val="18"/>
                <w:szCs w:val="18"/>
              </w:rPr>
              <w:t>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2022年11月29日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2,111.85</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30个月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益</w:t>
            </w:r>
            <w:proofErr w:type="gramStart"/>
            <w:r>
              <w:rPr>
                <w:rFonts w:ascii="宋体" w:eastAsia="宋体" w:hAnsi="宋体" w:cs="宋体"/>
                <w:sz w:val="18"/>
                <w:szCs w:val="18"/>
              </w:rPr>
              <w:t>凯</w:t>
            </w:r>
            <w:proofErr w:type="gramEnd"/>
            <w:r>
              <w:rPr>
                <w:rFonts w:ascii="宋体" w:eastAsia="宋体" w:hAnsi="宋体" w:cs="宋体"/>
                <w:sz w:val="18"/>
                <w:szCs w:val="18"/>
              </w:rPr>
              <w:t>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2022年11月30日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845.6</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78个月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益</w:t>
            </w:r>
            <w:proofErr w:type="gramStart"/>
            <w:r>
              <w:rPr>
                <w:rFonts w:ascii="宋体" w:eastAsia="宋体" w:hAnsi="宋体" w:cs="宋体"/>
                <w:sz w:val="18"/>
                <w:szCs w:val="18"/>
              </w:rPr>
              <w:t>凯</w:t>
            </w:r>
            <w:proofErr w:type="gramEnd"/>
            <w:r>
              <w:rPr>
                <w:rFonts w:ascii="宋体" w:eastAsia="宋体" w:hAnsi="宋体" w:cs="宋体"/>
                <w:sz w:val="18"/>
                <w:szCs w:val="18"/>
              </w:rPr>
              <w:t>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2022年11月30日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1,046.22</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24个月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益</w:t>
            </w:r>
            <w:proofErr w:type="gramStart"/>
            <w:r>
              <w:rPr>
                <w:rFonts w:ascii="宋体" w:eastAsia="宋体" w:hAnsi="宋体" w:cs="宋体"/>
                <w:sz w:val="18"/>
                <w:szCs w:val="18"/>
              </w:rPr>
              <w:t>凯</w:t>
            </w:r>
            <w:proofErr w:type="gramEnd"/>
            <w:r>
              <w:rPr>
                <w:rFonts w:ascii="宋体" w:eastAsia="宋体" w:hAnsi="宋体" w:cs="宋体"/>
                <w:sz w:val="18"/>
                <w:szCs w:val="18"/>
              </w:rPr>
              <w:t>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2022年12月02日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1,613.69</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101个月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益</w:t>
            </w:r>
            <w:proofErr w:type="gramStart"/>
            <w:r>
              <w:rPr>
                <w:rFonts w:ascii="宋体" w:eastAsia="宋体" w:hAnsi="宋体" w:cs="宋体"/>
                <w:sz w:val="18"/>
                <w:szCs w:val="18"/>
              </w:rPr>
              <w:t>凯</w:t>
            </w:r>
            <w:proofErr w:type="gramEnd"/>
            <w:r>
              <w:rPr>
                <w:rFonts w:ascii="宋体" w:eastAsia="宋体" w:hAnsi="宋体" w:cs="宋体"/>
                <w:sz w:val="18"/>
                <w:szCs w:val="18"/>
              </w:rPr>
              <w:t>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2022年05月27日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2023年02月24日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12个月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益</w:t>
            </w:r>
            <w:proofErr w:type="gramStart"/>
            <w:r>
              <w:rPr>
                <w:rFonts w:ascii="宋体" w:eastAsia="宋体" w:hAnsi="宋体" w:cs="宋体"/>
                <w:sz w:val="18"/>
                <w:szCs w:val="18"/>
              </w:rPr>
              <w:t>凯</w:t>
            </w:r>
            <w:proofErr w:type="gramEnd"/>
            <w:r>
              <w:rPr>
                <w:rFonts w:ascii="宋体" w:eastAsia="宋体" w:hAnsi="宋体" w:cs="宋体"/>
                <w:sz w:val="18"/>
                <w:szCs w:val="18"/>
              </w:rPr>
              <w:t>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2023年05月08日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775,040</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2023年06月13日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3,900</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24个月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益</w:t>
            </w:r>
            <w:proofErr w:type="gramStart"/>
            <w:r>
              <w:rPr>
                <w:rFonts w:ascii="宋体" w:eastAsia="宋体" w:hAnsi="宋体" w:cs="宋体"/>
                <w:sz w:val="18"/>
                <w:szCs w:val="18"/>
              </w:rPr>
              <w:t>凯</w:t>
            </w:r>
            <w:proofErr w:type="gramEnd"/>
            <w:r>
              <w:rPr>
                <w:rFonts w:ascii="宋体" w:eastAsia="宋体" w:hAnsi="宋体" w:cs="宋体"/>
                <w:sz w:val="18"/>
                <w:szCs w:val="18"/>
              </w:rPr>
              <w:t>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2023年05月08日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775,040</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2023年06月19日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6,500</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12个月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报告期内审批对子公司担保额度合计（B1）</w:t>
            </w:r>
          </w:p>
        </w:tc>
        <w:tc>
          <w:tcPr>
            <w:tcW w:w="1753" w:type="dxa"/>
            <w:gridSpan w:val="2"/>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775,040</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报告期内对子公司担保实际发生额合计（B2）</w:t>
            </w:r>
          </w:p>
        </w:tc>
        <w:tc>
          <w:tcPr>
            <w:tcW w:w="4381" w:type="dxa"/>
            <w:gridSpan w:val="5"/>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84,742</w:t>
            </w:r>
          </w:p>
        </w:tc>
      </w:tr>
      <w:tr w:rsidR="00157EA0">
        <w:trPr>
          <w:trHeight w:val="240"/>
        </w:trPr>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报告</w:t>
            </w:r>
            <w:proofErr w:type="gramStart"/>
            <w:r>
              <w:rPr>
                <w:rFonts w:ascii="宋体" w:eastAsia="宋体" w:hAnsi="宋体" w:cs="宋体"/>
                <w:sz w:val="18"/>
                <w:szCs w:val="18"/>
              </w:rPr>
              <w:t>期末已</w:t>
            </w:r>
            <w:proofErr w:type="gramEnd"/>
            <w:r>
              <w:rPr>
                <w:rFonts w:ascii="宋体" w:eastAsia="宋体" w:hAnsi="宋体" w:cs="宋体"/>
                <w:sz w:val="18"/>
                <w:szCs w:val="18"/>
              </w:rPr>
              <w:t>审批的对子公司担保额度合计（B3）</w:t>
            </w:r>
          </w:p>
        </w:tc>
        <w:tc>
          <w:tcPr>
            <w:tcW w:w="1753" w:type="dxa"/>
            <w:gridSpan w:val="2"/>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2,383,544</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报告</w:t>
            </w:r>
            <w:proofErr w:type="gramStart"/>
            <w:r>
              <w:rPr>
                <w:rFonts w:ascii="宋体" w:eastAsia="宋体" w:hAnsi="宋体" w:cs="宋体"/>
                <w:sz w:val="18"/>
                <w:szCs w:val="18"/>
              </w:rPr>
              <w:t>期末对</w:t>
            </w:r>
            <w:proofErr w:type="gramEnd"/>
            <w:r>
              <w:rPr>
                <w:rFonts w:ascii="宋体" w:eastAsia="宋体" w:hAnsi="宋体" w:cs="宋体"/>
                <w:sz w:val="18"/>
                <w:szCs w:val="18"/>
              </w:rPr>
              <w:t>子公司实际担保余额合计（B4）</w:t>
            </w:r>
          </w:p>
        </w:tc>
        <w:tc>
          <w:tcPr>
            <w:tcW w:w="4381" w:type="dxa"/>
            <w:gridSpan w:val="5"/>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155,141.33</w:t>
            </w:r>
          </w:p>
        </w:tc>
      </w:tr>
      <w:tr w:rsidR="00157EA0">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子公司对子公司的担保情况</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担保对象名称</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担保额度相关公告披露日期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担保额度</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实际发生日期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实际担保金额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担保类型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担保物（如有）</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反担保情况（如有）</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担保期</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是否履行完毕</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是否为关联方担保</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盘锦伊科思新材料有限公司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2023年04月12日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40,000</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2023年09月26日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1,127.25</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72个月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盘锦伊科思新材料有限公司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2023年04月12日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40,000</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2023年09月28日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677.98</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72个月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盘锦伊科思新</w:t>
            </w:r>
            <w:r>
              <w:rPr>
                <w:rFonts w:ascii="宋体" w:eastAsia="宋体" w:hAnsi="宋体" w:cs="宋体"/>
                <w:sz w:val="18"/>
                <w:szCs w:val="18"/>
              </w:rPr>
              <w:lastRenderedPageBreak/>
              <w:t>材料有限公司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lastRenderedPageBreak/>
              <w:t>2023年04月12</w:t>
            </w:r>
            <w:r>
              <w:rPr>
                <w:rFonts w:ascii="宋体" w:eastAsia="宋体" w:hAnsi="宋体" w:cs="宋体"/>
                <w:sz w:val="18"/>
                <w:szCs w:val="18"/>
              </w:rPr>
              <w:lastRenderedPageBreak/>
              <w:t>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lastRenderedPageBreak/>
              <w:t>40,000</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2023年10月17</w:t>
            </w:r>
            <w:r>
              <w:rPr>
                <w:rFonts w:ascii="宋体" w:eastAsia="宋体" w:hAnsi="宋体" w:cs="宋体"/>
                <w:sz w:val="18"/>
                <w:szCs w:val="18"/>
              </w:rPr>
              <w:lastRenderedPageBreak/>
              <w:t>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lastRenderedPageBreak/>
              <w:t>1,860.51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72个月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lastRenderedPageBreak/>
              <w:t>盘锦伊科思新材料有限公司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2023年04月12日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40,000</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2023年11月02日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380.85</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71个月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盘锦伊科思新材料有限公司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2023年04月12日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40,000</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2023年11月15日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1,015.25</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71个月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盘锦伊科思新材料有限公司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2023年04月12日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40,000</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2023年11月29日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400.28</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70个月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盘锦伊科思新材料有限公司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2023年04月12日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40,000</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2023年12月26日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1,170.11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69个月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盘锦伊科思新材料有限公司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2023年04月12日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40,000</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2023年12月27日</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1,592.05</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连带责任保证</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69个月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报告期内审批对子公司担保额度合计（C1）</w:t>
            </w:r>
          </w:p>
        </w:tc>
        <w:tc>
          <w:tcPr>
            <w:tcW w:w="1753" w:type="dxa"/>
            <w:gridSpan w:val="2"/>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40,000</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报告期内对子公司担保实际发生额合计（C2）</w:t>
            </w:r>
          </w:p>
        </w:tc>
        <w:tc>
          <w:tcPr>
            <w:tcW w:w="4381" w:type="dxa"/>
            <w:gridSpan w:val="5"/>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8,224.28</w:t>
            </w:r>
          </w:p>
        </w:tc>
      </w:tr>
      <w:tr w:rsidR="00157EA0">
        <w:trPr>
          <w:trHeight w:val="240"/>
        </w:trPr>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报告</w:t>
            </w:r>
            <w:proofErr w:type="gramStart"/>
            <w:r>
              <w:rPr>
                <w:rFonts w:ascii="宋体" w:eastAsia="宋体" w:hAnsi="宋体" w:cs="宋体"/>
                <w:sz w:val="18"/>
                <w:szCs w:val="18"/>
              </w:rPr>
              <w:t>期末已</w:t>
            </w:r>
            <w:proofErr w:type="gramEnd"/>
            <w:r>
              <w:rPr>
                <w:rFonts w:ascii="宋体" w:eastAsia="宋体" w:hAnsi="宋体" w:cs="宋体"/>
                <w:sz w:val="18"/>
                <w:szCs w:val="18"/>
              </w:rPr>
              <w:t>审批的对子公司担保额度合计（C3）</w:t>
            </w:r>
          </w:p>
        </w:tc>
        <w:tc>
          <w:tcPr>
            <w:tcW w:w="1753" w:type="dxa"/>
            <w:gridSpan w:val="2"/>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40,000</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报告</w:t>
            </w:r>
            <w:proofErr w:type="gramStart"/>
            <w:r>
              <w:rPr>
                <w:rFonts w:ascii="宋体" w:eastAsia="宋体" w:hAnsi="宋体" w:cs="宋体"/>
                <w:sz w:val="18"/>
                <w:szCs w:val="18"/>
              </w:rPr>
              <w:t>期末对</w:t>
            </w:r>
            <w:proofErr w:type="gramEnd"/>
            <w:r>
              <w:rPr>
                <w:rFonts w:ascii="宋体" w:eastAsia="宋体" w:hAnsi="宋体" w:cs="宋体"/>
                <w:sz w:val="18"/>
                <w:szCs w:val="18"/>
              </w:rPr>
              <w:t>子公司实际担保余额合计（C4）</w:t>
            </w:r>
          </w:p>
        </w:tc>
        <w:tc>
          <w:tcPr>
            <w:tcW w:w="4381" w:type="dxa"/>
            <w:gridSpan w:val="5"/>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8,224.28</w:t>
            </w:r>
          </w:p>
        </w:tc>
      </w:tr>
      <w:tr w:rsidR="00157EA0">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公司担保总额（即前三大项的合计）</w:t>
            </w:r>
          </w:p>
        </w:tc>
      </w:tr>
      <w:tr w:rsidR="00157EA0">
        <w:trPr>
          <w:trHeight w:val="240"/>
        </w:trPr>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报告期内审批担保额度合计（A1+B1+C1）</w:t>
            </w:r>
          </w:p>
        </w:tc>
        <w:tc>
          <w:tcPr>
            <w:tcW w:w="1753" w:type="dxa"/>
            <w:gridSpan w:val="2"/>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815,040</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报告期内担保实际发生额合计（A2+B2+C2）</w:t>
            </w:r>
          </w:p>
        </w:tc>
        <w:tc>
          <w:tcPr>
            <w:tcW w:w="4381" w:type="dxa"/>
            <w:gridSpan w:val="5"/>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92,966.28</w:t>
            </w:r>
          </w:p>
        </w:tc>
      </w:tr>
      <w:tr w:rsidR="00157EA0">
        <w:trPr>
          <w:trHeight w:val="240"/>
        </w:trPr>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报告</w:t>
            </w:r>
            <w:proofErr w:type="gramStart"/>
            <w:r>
              <w:rPr>
                <w:rFonts w:ascii="宋体" w:eastAsia="宋体" w:hAnsi="宋体" w:cs="宋体"/>
                <w:sz w:val="18"/>
                <w:szCs w:val="18"/>
              </w:rPr>
              <w:t>期末已</w:t>
            </w:r>
            <w:proofErr w:type="gramEnd"/>
            <w:r>
              <w:rPr>
                <w:rFonts w:ascii="宋体" w:eastAsia="宋体" w:hAnsi="宋体" w:cs="宋体"/>
                <w:sz w:val="18"/>
                <w:szCs w:val="18"/>
              </w:rPr>
              <w:t>审批的担保额度合计（A3+B3+C3）</w:t>
            </w:r>
          </w:p>
        </w:tc>
        <w:tc>
          <w:tcPr>
            <w:tcW w:w="1753" w:type="dxa"/>
            <w:gridSpan w:val="2"/>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2,423,544</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报告期末实际担保余额合计（A4+B4+C4）</w:t>
            </w:r>
          </w:p>
        </w:tc>
        <w:tc>
          <w:tcPr>
            <w:tcW w:w="4381" w:type="dxa"/>
            <w:gridSpan w:val="5"/>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163,365.61</w:t>
            </w:r>
          </w:p>
        </w:tc>
      </w:tr>
      <w:tr w:rsidR="00157EA0">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实际担保总额（即A4+B4+C4）占公司净资产的比例</w:t>
            </w:r>
          </w:p>
        </w:tc>
        <w:tc>
          <w:tcPr>
            <w:tcW w:w="6134" w:type="dxa"/>
            <w:gridSpan w:val="7"/>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30.89%</w:t>
            </w:r>
          </w:p>
        </w:tc>
      </w:tr>
      <w:tr w:rsidR="00157EA0">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其中：</w:t>
            </w:r>
          </w:p>
        </w:tc>
      </w:tr>
      <w:tr w:rsidR="00157EA0">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为股东、实际控制人及其关联方提供担保的余额（D）</w:t>
            </w:r>
          </w:p>
        </w:tc>
        <w:tc>
          <w:tcPr>
            <w:tcW w:w="6134" w:type="dxa"/>
            <w:gridSpan w:val="7"/>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157EA0">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直接或间接为资产负债率超过70%的被担保对象提供的债务担保余额（E）</w:t>
            </w:r>
          </w:p>
        </w:tc>
        <w:tc>
          <w:tcPr>
            <w:tcW w:w="6134" w:type="dxa"/>
            <w:gridSpan w:val="7"/>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155,141.33</w:t>
            </w:r>
          </w:p>
        </w:tc>
      </w:tr>
      <w:tr w:rsidR="00157EA0">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担保总额超过净资产50%部分的金额（F）</w:t>
            </w:r>
          </w:p>
        </w:tc>
        <w:tc>
          <w:tcPr>
            <w:tcW w:w="6134" w:type="dxa"/>
            <w:gridSpan w:val="7"/>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157EA0">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上述三项担保金额合计（D+E+F）</w:t>
            </w:r>
          </w:p>
        </w:tc>
        <w:tc>
          <w:tcPr>
            <w:tcW w:w="6134" w:type="dxa"/>
            <w:gridSpan w:val="7"/>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155,141.33</w:t>
            </w:r>
          </w:p>
        </w:tc>
      </w:tr>
      <w:tr w:rsidR="00157EA0">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对未到期担保合同，报告期内发生担保责任或有证据表明有可能承担连带清偿责任的情况说明（如有）</w:t>
            </w:r>
          </w:p>
        </w:tc>
        <w:tc>
          <w:tcPr>
            <w:tcW w:w="6134" w:type="dxa"/>
            <w:gridSpan w:val="7"/>
            <w:tcBorders>
              <w:top w:val="single" w:sz="2" w:space="0" w:color="auto"/>
              <w:left w:val="single" w:sz="2" w:space="0" w:color="auto"/>
              <w:bottom w:val="single" w:sz="2" w:space="0" w:color="auto"/>
              <w:right w:val="single" w:sz="2" w:space="0" w:color="auto"/>
            </w:tcBorders>
            <w:vAlign w:val="center"/>
          </w:tcPr>
          <w:p w:rsidR="00BA0365" w:rsidRDefault="008D4B2E" w:rsidP="00C067EE">
            <w:pPr>
              <w:spacing w:line="240" w:lineRule="exact"/>
              <w:jc w:val="right"/>
              <w:rPr>
                <w:rFonts w:ascii="宋体" w:eastAsia="宋体" w:hAnsi="宋体" w:cs="宋体"/>
                <w:sz w:val="18"/>
                <w:szCs w:val="18"/>
              </w:rPr>
            </w:pPr>
            <w:r>
              <w:rPr>
                <w:rFonts w:ascii="宋体" w:eastAsia="宋体" w:hAnsi="宋体" w:cs="宋体"/>
                <w:sz w:val="18"/>
                <w:szCs w:val="18"/>
              </w:rPr>
              <w:t>不适用</w:t>
            </w:r>
          </w:p>
        </w:tc>
      </w:tr>
      <w:tr w:rsidR="00157EA0">
        <w:trPr>
          <w:trHeight w:val="240"/>
        </w:trPr>
        <w:tc>
          <w:tcPr>
            <w:tcW w:w="350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违反规定程序对外提供担保的说明（如有）</w:t>
            </w:r>
          </w:p>
        </w:tc>
        <w:tc>
          <w:tcPr>
            <w:tcW w:w="6134" w:type="dxa"/>
            <w:gridSpan w:val="7"/>
            <w:tcBorders>
              <w:top w:val="single" w:sz="2" w:space="0" w:color="auto"/>
              <w:left w:val="single" w:sz="2" w:space="0" w:color="auto"/>
              <w:bottom w:val="single" w:sz="2" w:space="0" w:color="auto"/>
              <w:right w:val="single" w:sz="2" w:space="0" w:color="auto"/>
            </w:tcBorders>
            <w:vAlign w:val="center"/>
          </w:tcPr>
          <w:p w:rsidR="00BA0365" w:rsidRDefault="008D4B2E" w:rsidP="00C067EE">
            <w:pPr>
              <w:spacing w:line="240" w:lineRule="exact"/>
              <w:jc w:val="right"/>
              <w:rPr>
                <w:rFonts w:ascii="宋体" w:eastAsia="宋体" w:hAnsi="宋体" w:cs="宋体"/>
                <w:sz w:val="18"/>
                <w:szCs w:val="18"/>
              </w:rPr>
            </w:pPr>
            <w:r>
              <w:rPr>
                <w:rFonts w:ascii="宋体" w:eastAsia="宋体" w:hAnsi="宋体" w:cs="宋体"/>
                <w:sz w:val="18"/>
                <w:szCs w:val="18"/>
              </w:rPr>
              <w:t>不适用</w:t>
            </w:r>
          </w:p>
        </w:tc>
      </w:tr>
    </w:tbl>
    <w:p w:rsidR="008D4B2E" w:rsidRPr="00102670" w:rsidRDefault="008D4B2E" w:rsidP="00102670">
      <w:pPr>
        <w:spacing w:before="100" w:after="100" w:line="240" w:lineRule="exact"/>
        <w:rPr>
          <w:rFonts w:ascii="宋体" w:eastAsia="宋体" w:hAnsi="宋体" w:cs="宋体"/>
          <w:sz w:val="18"/>
          <w:szCs w:val="18"/>
        </w:rPr>
      </w:pPr>
      <w:r>
        <w:rPr>
          <w:rFonts w:ascii="宋体" w:eastAsia="宋体" w:hAnsi="宋体" w:cs="宋体"/>
          <w:sz w:val="18"/>
          <w:szCs w:val="18"/>
        </w:rPr>
        <w:t>采用复合方式担保的具体情况说明</w:t>
      </w:r>
      <w:r w:rsidR="00102670">
        <w:rPr>
          <w:rFonts w:ascii="宋体" w:eastAsia="宋体" w:hAnsi="宋体" w:cs="宋体"/>
          <w:sz w:val="18"/>
          <w:szCs w:val="18"/>
        </w:rPr>
        <w:t>：</w:t>
      </w:r>
      <w:r>
        <w:rPr>
          <w:rFonts w:hint="eastAsia"/>
          <w:sz w:val="18"/>
          <w:szCs w:val="18"/>
        </w:rPr>
        <w:t>不适用</w:t>
      </w:r>
    </w:p>
    <w:p w:rsidR="00BA0365" w:rsidRDefault="008D4B2E">
      <w:pPr>
        <w:pStyle w:val="3"/>
        <w:spacing w:line="280" w:lineRule="exact"/>
        <w:jc w:val="left"/>
        <w:rPr>
          <w:rFonts w:ascii="宋体" w:hAnsi="宋体" w:cs="宋体"/>
          <w:b/>
          <w:bCs/>
        </w:rPr>
      </w:pPr>
      <w:bookmarkStart w:id="125" w:name="_Toc989014"/>
      <w:r>
        <w:rPr>
          <w:rFonts w:ascii="宋体" w:hAnsi="宋体" w:cs="宋体"/>
          <w:b/>
          <w:bCs/>
        </w:rPr>
        <w:lastRenderedPageBreak/>
        <w:t>3、委托他人进行现金资产管理情况</w:t>
      </w:r>
      <w:bookmarkEnd w:id="125"/>
    </w:p>
    <w:p w:rsidR="00BA0365" w:rsidRDefault="008D4B2E">
      <w:pPr>
        <w:keepNext/>
        <w:keepLines/>
        <w:spacing w:before="300" w:after="300" w:line="280" w:lineRule="exact"/>
        <w:outlineLvl w:val="3"/>
        <w:rPr>
          <w:rFonts w:ascii="宋体" w:eastAsia="宋体" w:hAnsi="宋体" w:cs="宋体"/>
          <w:b/>
          <w:bCs/>
          <w:sz w:val="18"/>
          <w:szCs w:val="18"/>
        </w:rPr>
      </w:pPr>
      <w:bookmarkStart w:id="126" w:name="_Toc989015"/>
      <w:r>
        <w:rPr>
          <w:rFonts w:ascii="宋体" w:eastAsia="宋体" w:hAnsi="宋体" w:cs="宋体"/>
          <w:b/>
          <w:bCs/>
          <w:sz w:val="18"/>
          <w:szCs w:val="18"/>
        </w:rPr>
        <w:t>（1） 委托理财情况</w:t>
      </w:r>
      <w:bookmarkEnd w:id="126"/>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报告期内委托理财概况</w:t>
      </w:r>
    </w:p>
    <w:p w:rsidR="00BA0365" w:rsidRDefault="008D4B2E">
      <w:pPr>
        <w:spacing w:before="120" w:after="120" w:line="240" w:lineRule="exact"/>
        <w:jc w:val="right"/>
        <w:rPr>
          <w:rFonts w:ascii="宋体" w:eastAsia="宋体" w:hAnsi="宋体" w:cs="宋体"/>
          <w:sz w:val="18"/>
          <w:szCs w:val="18"/>
        </w:rPr>
      </w:pPr>
      <w:r>
        <w:rPr>
          <w:rFonts w:ascii="宋体" w:eastAsia="宋体" w:hAnsi="宋体" w:cs="宋体"/>
          <w:sz w:val="18"/>
          <w:szCs w:val="18"/>
        </w:rPr>
        <w:t>单位：万元</w:t>
      </w:r>
    </w:p>
    <w:tbl>
      <w:tblPr>
        <w:tblW w:w="9639" w:type="dxa"/>
        <w:tblLayout w:type="fixed"/>
        <w:tblLook w:val="04A0" w:firstRow="1" w:lastRow="0" w:firstColumn="1" w:lastColumn="0" w:noHBand="0" w:noVBand="1"/>
      </w:tblPr>
      <w:tblGrid>
        <w:gridCol w:w="1607"/>
        <w:gridCol w:w="1608"/>
        <w:gridCol w:w="1606"/>
        <w:gridCol w:w="1606"/>
        <w:gridCol w:w="1606"/>
        <w:gridCol w:w="1606"/>
      </w:tblGrid>
      <w:tr w:rsidR="00157EA0">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具体类型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委托理财的资金来源</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委托理财发生额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未到期余额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逾期未收回的金额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逾期未收回理财已计提减值金额</w:t>
            </w:r>
          </w:p>
        </w:tc>
      </w:tr>
      <w:tr w:rsidR="00157EA0">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银行理财产品</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募集资金</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15,000</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157EA0">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银行理财产品</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自有资金</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141,000</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70,000</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157EA0">
        <w:trPr>
          <w:trHeight w:val="240"/>
        </w:trPr>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156,000</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70,000</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r>
    </w:tbl>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单项金额重大或安全性较低、流动性较差的高风险委托理财具体情况</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委托理财出现预期无法收回本金或存在其他可能导致减值的情形</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keepNext/>
        <w:keepLines/>
        <w:spacing w:before="300" w:after="300" w:line="280" w:lineRule="exact"/>
        <w:outlineLvl w:val="3"/>
        <w:rPr>
          <w:rFonts w:ascii="宋体" w:eastAsia="宋体" w:hAnsi="宋体" w:cs="宋体"/>
          <w:b/>
          <w:bCs/>
          <w:sz w:val="18"/>
          <w:szCs w:val="18"/>
        </w:rPr>
      </w:pPr>
      <w:bookmarkStart w:id="127" w:name="_Toc989016"/>
      <w:r>
        <w:rPr>
          <w:rFonts w:ascii="宋体" w:eastAsia="宋体" w:hAnsi="宋体" w:cs="宋体"/>
          <w:b/>
          <w:bCs/>
          <w:sz w:val="18"/>
          <w:szCs w:val="18"/>
        </w:rPr>
        <w:t>（2） 委托贷款情况</w:t>
      </w:r>
      <w:bookmarkEnd w:id="127"/>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公司报告期不存在委托贷款。</w:t>
      </w:r>
    </w:p>
    <w:p w:rsidR="00BA0365" w:rsidRDefault="008D4B2E">
      <w:pPr>
        <w:pStyle w:val="3"/>
        <w:spacing w:line="280" w:lineRule="exact"/>
        <w:jc w:val="left"/>
        <w:rPr>
          <w:rFonts w:ascii="宋体" w:hAnsi="宋体" w:cs="宋体"/>
          <w:b/>
          <w:bCs/>
        </w:rPr>
      </w:pPr>
      <w:bookmarkStart w:id="128" w:name="_Toc989017"/>
      <w:r>
        <w:rPr>
          <w:rFonts w:ascii="宋体" w:hAnsi="宋体" w:cs="宋体"/>
          <w:b/>
          <w:bCs/>
        </w:rPr>
        <w:t>4、其他重大合同</w:t>
      </w:r>
      <w:bookmarkEnd w:id="128"/>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公司报告期不存在其他重大合同。</w:t>
      </w:r>
    </w:p>
    <w:p w:rsidR="00BA0365" w:rsidRDefault="008D4B2E">
      <w:pPr>
        <w:pStyle w:val="2"/>
        <w:spacing w:before="300" w:after="300" w:line="320" w:lineRule="exact"/>
        <w:rPr>
          <w:rFonts w:ascii="宋体" w:eastAsia="宋体" w:hAnsi="宋体" w:cs="宋体"/>
          <w:b/>
          <w:bCs/>
          <w:sz w:val="24"/>
          <w:szCs w:val="24"/>
        </w:rPr>
      </w:pPr>
      <w:bookmarkStart w:id="129" w:name="_Toc989018"/>
      <w:r>
        <w:rPr>
          <w:rFonts w:ascii="宋体" w:eastAsia="宋体" w:hAnsi="宋体" w:cs="宋体"/>
          <w:b/>
          <w:bCs/>
          <w:sz w:val="24"/>
          <w:szCs w:val="24"/>
        </w:rPr>
        <w:t>十六、其他重大事项的说明</w:t>
      </w:r>
      <w:bookmarkEnd w:id="129"/>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公司报告期不存在需要说明的其他重大事项。</w:t>
      </w:r>
    </w:p>
    <w:p w:rsidR="00BA0365" w:rsidRDefault="008D4B2E">
      <w:pPr>
        <w:pStyle w:val="2"/>
        <w:spacing w:before="300" w:after="300" w:line="320" w:lineRule="exact"/>
        <w:rPr>
          <w:rFonts w:ascii="宋体" w:eastAsia="宋体" w:hAnsi="宋体" w:cs="宋体"/>
          <w:b/>
          <w:bCs/>
          <w:sz w:val="24"/>
          <w:szCs w:val="24"/>
        </w:rPr>
      </w:pPr>
      <w:bookmarkStart w:id="130" w:name="_Toc989019"/>
      <w:r>
        <w:rPr>
          <w:rFonts w:ascii="宋体" w:eastAsia="宋体" w:hAnsi="宋体" w:cs="宋体"/>
          <w:b/>
          <w:bCs/>
          <w:sz w:val="24"/>
          <w:szCs w:val="24"/>
        </w:rPr>
        <w:t>十七、公司子公司重大事项</w:t>
      </w:r>
      <w:bookmarkEnd w:id="130"/>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8D4B2E" w:rsidRDefault="008D4B2E" w:rsidP="00102670">
      <w:pPr>
        <w:pStyle w:val="a3"/>
        <w:ind w:firstLineChars="200" w:firstLine="360"/>
        <w:divId w:val="1051883665"/>
        <w:rPr>
          <w:sz w:val="18"/>
          <w:szCs w:val="18"/>
        </w:rPr>
      </w:pPr>
      <w:r>
        <w:rPr>
          <w:rFonts w:hint="eastAsia"/>
          <w:sz w:val="18"/>
          <w:szCs w:val="18"/>
        </w:rPr>
        <w:t>1、 公司于2023年4月10日召开第八届董事会第六次会议及第八届监事会第七次会议审议通过了《关于控股子公司新三板挂牌的议案》，同意公司控股子公司浙江软控智能科技有限公司（以下简称“软控科技”）按账面</w:t>
      </w:r>
      <w:proofErr w:type="gramStart"/>
      <w:r>
        <w:rPr>
          <w:rFonts w:hint="eastAsia"/>
          <w:sz w:val="18"/>
          <w:szCs w:val="18"/>
        </w:rPr>
        <w:t>净资产值折股</w:t>
      </w:r>
      <w:proofErr w:type="gramEnd"/>
      <w:r>
        <w:rPr>
          <w:rFonts w:hint="eastAsia"/>
          <w:sz w:val="18"/>
          <w:szCs w:val="18"/>
        </w:rPr>
        <w:t>整体变更为股份有限公司并申请在全国中小企业股份转让系统（以下简称“新三板”）挂牌，并授权</w:t>
      </w:r>
      <w:proofErr w:type="gramStart"/>
      <w:r>
        <w:rPr>
          <w:rFonts w:hint="eastAsia"/>
          <w:sz w:val="18"/>
          <w:szCs w:val="18"/>
        </w:rPr>
        <w:t>软控科技</w:t>
      </w:r>
      <w:proofErr w:type="gramEnd"/>
      <w:r>
        <w:rPr>
          <w:rFonts w:hint="eastAsia"/>
          <w:sz w:val="18"/>
          <w:szCs w:val="18"/>
        </w:rPr>
        <w:t>董事长会同其经营</w:t>
      </w:r>
      <w:proofErr w:type="gramStart"/>
      <w:r>
        <w:rPr>
          <w:rFonts w:hint="eastAsia"/>
          <w:sz w:val="18"/>
          <w:szCs w:val="18"/>
        </w:rPr>
        <w:t>层具体办理软控科技</w:t>
      </w:r>
      <w:proofErr w:type="gramEnd"/>
      <w:r>
        <w:rPr>
          <w:rFonts w:hint="eastAsia"/>
          <w:sz w:val="18"/>
          <w:szCs w:val="18"/>
        </w:rPr>
        <w:t>新三板挂牌相关事宜。《关于控股子公司新三板挂牌的公告》详见</w:t>
      </w:r>
      <w:r>
        <w:rPr>
          <w:rFonts w:ascii="Times New Roman" w:hAnsi="Times New Roman" w:cs="Times New Roman"/>
          <w:sz w:val="18"/>
          <w:szCs w:val="18"/>
        </w:rPr>
        <w:t>2023</w:t>
      </w:r>
      <w:r>
        <w:rPr>
          <w:rFonts w:hint="eastAsia"/>
          <w:sz w:val="18"/>
          <w:szCs w:val="18"/>
        </w:rPr>
        <w:t>年</w:t>
      </w:r>
      <w:r>
        <w:rPr>
          <w:rFonts w:ascii="Calibri" w:hAnsi="Calibri" w:cs="Calibri"/>
          <w:sz w:val="18"/>
          <w:szCs w:val="18"/>
        </w:rPr>
        <w:t>4</w:t>
      </w:r>
      <w:r>
        <w:rPr>
          <w:rFonts w:hint="eastAsia"/>
          <w:sz w:val="18"/>
          <w:szCs w:val="18"/>
        </w:rPr>
        <w:t>月</w:t>
      </w:r>
      <w:r>
        <w:rPr>
          <w:rFonts w:ascii="Calibri" w:hAnsi="Calibri" w:cs="Calibri"/>
          <w:sz w:val="18"/>
          <w:szCs w:val="18"/>
        </w:rPr>
        <w:t>12</w:t>
      </w:r>
      <w:r>
        <w:rPr>
          <w:rFonts w:hint="eastAsia"/>
          <w:sz w:val="18"/>
          <w:szCs w:val="18"/>
        </w:rPr>
        <w:t>日的巨潮资讯网（</w:t>
      </w:r>
      <w:r>
        <w:rPr>
          <w:rFonts w:ascii="Times New Roman" w:hAnsi="Times New Roman" w:cs="Times New Roman"/>
          <w:sz w:val="18"/>
          <w:szCs w:val="18"/>
        </w:rPr>
        <w:t>http://www.cninfo.com.cn</w:t>
      </w:r>
      <w:r>
        <w:rPr>
          <w:rFonts w:hint="eastAsia"/>
          <w:sz w:val="18"/>
          <w:szCs w:val="18"/>
        </w:rPr>
        <w:t>）及指定信息披露媒体。</w:t>
      </w:r>
      <w:r>
        <w:rPr>
          <w:rFonts w:ascii="Calibri" w:hAnsi="Calibri" w:cs="Calibri"/>
          <w:sz w:val="18"/>
          <w:szCs w:val="18"/>
        </w:rPr>
        <w:t> </w:t>
      </w:r>
      <w:r>
        <w:rPr>
          <w:rFonts w:hint="eastAsia"/>
          <w:sz w:val="18"/>
          <w:szCs w:val="18"/>
        </w:rPr>
        <w:t xml:space="preserve">  </w:t>
      </w:r>
    </w:p>
    <w:p w:rsidR="008D4B2E" w:rsidRDefault="008D4B2E" w:rsidP="00102670">
      <w:pPr>
        <w:pStyle w:val="a3"/>
        <w:ind w:firstLineChars="200" w:firstLine="360"/>
        <w:divId w:val="1051883665"/>
        <w:rPr>
          <w:sz w:val="18"/>
          <w:szCs w:val="18"/>
        </w:rPr>
      </w:pPr>
      <w:r>
        <w:rPr>
          <w:rFonts w:hint="eastAsia"/>
          <w:sz w:val="18"/>
          <w:szCs w:val="18"/>
        </w:rPr>
        <w:t>2、 公司于2023年4月25日召开第八届董事会第七次会议审议通过了《关于转让全资子公司股权的议案》，将全资子公司青岛软控智能装备有限公司（以下简称“软控智能”）100%的股权全部转让给科捷智能科技股份有限公司。本次交易完成后，</w:t>
      </w:r>
      <w:proofErr w:type="gramStart"/>
      <w:r>
        <w:rPr>
          <w:rFonts w:hint="eastAsia"/>
          <w:sz w:val="18"/>
          <w:szCs w:val="18"/>
        </w:rPr>
        <w:t>软控智能</w:t>
      </w:r>
      <w:proofErr w:type="gramEnd"/>
      <w:r>
        <w:rPr>
          <w:rFonts w:hint="eastAsia"/>
          <w:sz w:val="18"/>
          <w:szCs w:val="18"/>
        </w:rPr>
        <w:t>不再纳入公司合并报表范围。《</w:t>
      </w:r>
      <w:r>
        <w:rPr>
          <w:rFonts w:hint="eastAsia"/>
          <w:color w:val="000000"/>
          <w:sz w:val="18"/>
          <w:szCs w:val="18"/>
        </w:rPr>
        <w:t>关于转让全资子公司股权的公告</w:t>
      </w:r>
      <w:r>
        <w:rPr>
          <w:rFonts w:hint="eastAsia"/>
          <w:sz w:val="18"/>
          <w:szCs w:val="18"/>
        </w:rPr>
        <w:t>》详见</w:t>
      </w:r>
      <w:r>
        <w:rPr>
          <w:rFonts w:ascii="Times New Roman" w:hAnsi="Times New Roman" w:cs="Times New Roman"/>
          <w:sz w:val="18"/>
          <w:szCs w:val="18"/>
        </w:rPr>
        <w:t>2023</w:t>
      </w:r>
      <w:r>
        <w:rPr>
          <w:rFonts w:hint="eastAsia"/>
          <w:sz w:val="18"/>
          <w:szCs w:val="18"/>
        </w:rPr>
        <w:t>年</w:t>
      </w:r>
      <w:r>
        <w:rPr>
          <w:rFonts w:ascii="Calibri" w:hAnsi="Calibri" w:cs="Calibri"/>
          <w:sz w:val="18"/>
          <w:szCs w:val="18"/>
        </w:rPr>
        <w:t>4</w:t>
      </w:r>
      <w:r>
        <w:rPr>
          <w:rFonts w:hint="eastAsia"/>
          <w:sz w:val="18"/>
          <w:szCs w:val="18"/>
        </w:rPr>
        <w:t>月</w:t>
      </w:r>
      <w:r>
        <w:rPr>
          <w:rFonts w:ascii="Calibri" w:hAnsi="Calibri" w:cs="Calibri"/>
          <w:sz w:val="18"/>
          <w:szCs w:val="18"/>
        </w:rPr>
        <w:t>26</w:t>
      </w:r>
      <w:r>
        <w:rPr>
          <w:rFonts w:hint="eastAsia"/>
          <w:sz w:val="18"/>
          <w:szCs w:val="18"/>
        </w:rPr>
        <w:t>日的巨潮资讯网（</w:t>
      </w:r>
      <w:hyperlink r:id="rId11" w:history="1">
        <w:r>
          <w:rPr>
            <w:rStyle w:val="a5"/>
            <w:rFonts w:ascii="Times New Roman" w:hAnsi="Times New Roman" w:cs="Times New Roman"/>
            <w:sz w:val="18"/>
            <w:szCs w:val="18"/>
          </w:rPr>
          <w:t>http://www.cninfo.com.cn</w:t>
        </w:r>
      </w:hyperlink>
      <w:r>
        <w:rPr>
          <w:rFonts w:hint="eastAsia"/>
          <w:sz w:val="18"/>
          <w:szCs w:val="18"/>
        </w:rPr>
        <w:t>）及指定信息披露媒体。</w:t>
      </w:r>
      <w:r>
        <w:rPr>
          <w:rFonts w:ascii="Calibri" w:hAnsi="Calibri" w:cs="Calibri"/>
          <w:sz w:val="18"/>
          <w:szCs w:val="18"/>
        </w:rPr>
        <w:t> </w:t>
      </w:r>
      <w:r>
        <w:rPr>
          <w:rFonts w:hint="eastAsia"/>
          <w:sz w:val="18"/>
          <w:szCs w:val="18"/>
        </w:rPr>
        <w:t> </w:t>
      </w:r>
    </w:p>
    <w:p w:rsidR="008D4B2E" w:rsidRDefault="008D4B2E" w:rsidP="00102670">
      <w:pPr>
        <w:pStyle w:val="a3"/>
        <w:ind w:firstLineChars="200" w:firstLine="360"/>
        <w:divId w:val="1051883665"/>
        <w:rPr>
          <w:sz w:val="18"/>
          <w:szCs w:val="18"/>
        </w:rPr>
      </w:pPr>
      <w:r>
        <w:rPr>
          <w:rFonts w:hint="eastAsia"/>
          <w:sz w:val="18"/>
          <w:szCs w:val="18"/>
        </w:rPr>
        <w:lastRenderedPageBreak/>
        <w:t xml:space="preserve">3、 公司于2023年6月29日召开的第八届董事会第八次会议审议通过《关于对全资子公司增资的议案》，公司使用自有资金对 </w:t>
      </w:r>
      <w:proofErr w:type="gramStart"/>
      <w:r>
        <w:rPr>
          <w:rFonts w:hint="eastAsia"/>
          <w:sz w:val="18"/>
          <w:szCs w:val="18"/>
        </w:rPr>
        <w:t>软控联合</w:t>
      </w:r>
      <w:proofErr w:type="gramEnd"/>
      <w:r>
        <w:rPr>
          <w:rFonts w:hint="eastAsia"/>
          <w:sz w:val="18"/>
          <w:szCs w:val="18"/>
        </w:rPr>
        <w:t>科技有限公司（以下简称“联合科技”） 增资人民币10,000元，全部计入注册资本。本次增资完成后，联合科技的注册资本由6,000万增加至16,000万元，联合科技仍为公司的全资子公司。《关于对全资子公司增资的公告 》详见</w:t>
      </w:r>
      <w:r>
        <w:rPr>
          <w:rFonts w:ascii="Times New Roman" w:hAnsi="Times New Roman" w:cs="Times New Roman"/>
          <w:sz w:val="18"/>
          <w:szCs w:val="18"/>
        </w:rPr>
        <w:t>2023</w:t>
      </w:r>
      <w:r>
        <w:rPr>
          <w:rFonts w:hint="eastAsia"/>
          <w:sz w:val="18"/>
          <w:szCs w:val="18"/>
        </w:rPr>
        <w:t>年</w:t>
      </w:r>
      <w:r>
        <w:rPr>
          <w:rFonts w:ascii="Calibri" w:hAnsi="Calibri" w:cs="Calibri"/>
          <w:sz w:val="18"/>
          <w:szCs w:val="18"/>
        </w:rPr>
        <w:t>6</w:t>
      </w:r>
      <w:r>
        <w:rPr>
          <w:rFonts w:hint="eastAsia"/>
          <w:sz w:val="18"/>
          <w:szCs w:val="18"/>
        </w:rPr>
        <w:t>月</w:t>
      </w:r>
      <w:r>
        <w:rPr>
          <w:rFonts w:ascii="Calibri" w:hAnsi="Calibri" w:cs="Calibri"/>
          <w:sz w:val="18"/>
          <w:szCs w:val="18"/>
        </w:rPr>
        <w:t>30</w:t>
      </w:r>
      <w:r>
        <w:rPr>
          <w:rFonts w:hint="eastAsia"/>
          <w:sz w:val="18"/>
          <w:szCs w:val="18"/>
        </w:rPr>
        <w:t>日的巨潮资讯网（</w:t>
      </w:r>
      <w:hyperlink r:id="rId12" w:history="1">
        <w:r>
          <w:rPr>
            <w:rStyle w:val="a5"/>
            <w:rFonts w:ascii="Times New Roman" w:hAnsi="Times New Roman" w:cs="Times New Roman"/>
            <w:sz w:val="18"/>
            <w:szCs w:val="18"/>
          </w:rPr>
          <w:t>http://www.cninfo.com.cn</w:t>
        </w:r>
      </w:hyperlink>
      <w:r>
        <w:rPr>
          <w:rFonts w:hint="eastAsia"/>
          <w:sz w:val="18"/>
          <w:szCs w:val="18"/>
        </w:rPr>
        <w:t>）及指定信息披露媒体。</w:t>
      </w:r>
      <w:r>
        <w:rPr>
          <w:rFonts w:ascii="Calibri" w:hAnsi="Calibri" w:cs="Calibri"/>
          <w:sz w:val="18"/>
          <w:szCs w:val="18"/>
        </w:rPr>
        <w:t> </w:t>
      </w:r>
    </w:p>
    <w:p w:rsidR="008D4B2E" w:rsidRDefault="008D4B2E">
      <w:pPr>
        <w:pStyle w:val="a3"/>
        <w:divId w:val="1051883665"/>
        <w:rPr>
          <w:sz w:val="18"/>
          <w:szCs w:val="18"/>
        </w:rPr>
      </w:pPr>
      <w:r>
        <w:rPr>
          <w:rFonts w:hint="eastAsia"/>
          <w:sz w:val="18"/>
          <w:szCs w:val="18"/>
        </w:rPr>
        <w:t>  公司于2023年6月29日召开的第八届董事会第八次会议审议通过《关于全资子公司购买土地使用权及地上房屋建筑物的议案》，全资子公司联合科技与诸城安</w:t>
      </w:r>
      <w:proofErr w:type="gramStart"/>
      <w:r>
        <w:rPr>
          <w:rFonts w:hint="eastAsia"/>
          <w:sz w:val="18"/>
          <w:szCs w:val="18"/>
        </w:rPr>
        <w:t>邦</w:t>
      </w:r>
      <w:proofErr w:type="gramEnd"/>
      <w:r>
        <w:rPr>
          <w:rFonts w:hint="eastAsia"/>
          <w:sz w:val="18"/>
          <w:szCs w:val="18"/>
        </w:rPr>
        <w:t>建设有限公司签订《资产转让协议》，使用其自有资金人民币8,341万元购买位于诸城市林家村镇东店子村154号的土地使用权及房屋建筑物的所有权，以满足生产经营需求。《关于全资子公司购买土地使用权及地上房屋建筑物的公告》详见</w:t>
      </w:r>
      <w:r>
        <w:rPr>
          <w:rFonts w:ascii="Times New Roman" w:hAnsi="Times New Roman" w:cs="Times New Roman"/>
          <w:sz w:val="18"/>
          <w:szCs w:val="18"/>
        </w:rPr>
        <w:t>2023</w:t>
      </w:r>
      <w:r>
        <w:rPr>
          <w:rFonts w:hint="eastAsia"/>
          <w:sz w:val="18"/>
          <w:szCs w:val="18"/>
        </w:rPr>
        <w:t>年</w:t>
      </w:r>
      <w:r>
        <w:rPr>
          <w:rFonts w:ascii="Calibri" w:hAnsi="Calibri" w:cs="Calibri"/>
          <w:sz w:val="18"/>
          <w:szCs w:val="18"/>
        </w:rPr>
        <w:t>6</w:t>
      </w:r>
      <w:r>
        <w:rPr>
          <w:rFonts w:hint="eastAsia"/>
          <w:sz w:val="18"/>
          <w:szCs w:val="18"/>
        </w:rPr>
        <w:t>月</w:t>
      </w:r>
      <w:r>
        <w:rPr>
          <w:rFonts w:ascii="Calibri" w:hAnsi="Calibri" w:cs="Calibri"/>
          <w:sz w:val="18"/>
          <w:szCs w:val="18"/>
        </w:rPr>
        <w:t>30</w:t>
      </w:r>
      <w:r>
        <w:rPr>
          <w:rFonts w:hint="eastAsia"/>
          <w:sz w:val="18"/>
          <w:szCs w:val="18"/>
        </w:rPr>
        <w:t>日的巨潮资讯网（</w:t>
      </w:r>
      <w:hyperlink r:id="rId13" w:history="1">
        <w:r>
          <w:rPr>
            <w:rStyle w:val="a5"/>
            <w:rFonts w:ascii="Times New Roman" w:hAnsi="Times New Roman" w:cs="Times New Roman"/>
            <w:sz w:val="18"/>
            <w:szCs w:val="18"/>
          </w:rPr>
          <w:t>http://www.cninfo.com.cn</w:t>
        </w:r>
      </w:hyperlink>
      <w:r>
        <w:rPr>
          <w:rFonts w:hint="eastAsia"/>
          <w:sz w:val="18"/>
          <w:szCs w:val="18"/>
        </w:rPr>
        <w:t>）及指定信息披露媒体。</w:t>
      </w:r>
    </w:p>
    <w:p w:rsidR="008D4B2E" w:rsidRDefault="008D4B2E" w:rsidP="00102670">
      <w:pPr>
        <w:pStyle w:val="a3"/>
        <w:ind w:firstLineChars="200" w:firstLine="360"/>
        <w:divId w:val="1051883665"/>
        <w:rPr>
          <w:sz w:val="18"/>
          <w:szCs w:val="18"/>
        </w:rPr>
      </w:pPr>
      <w:r>
        <w:rPr>
          <w:rFonts w:hint="eastAsia"/>
          <w:sz w:val="18"/>
          <w:szCs w:val="18"/>
        </w:rPr>
        <w:t>4、 公司于2023年12月1日召开的第八届董事会第十四次会议审议通过了《关于购买控股子公司股权的议案》，公司与诸暨</w:t>
      </w:r>
      <w:proofErr w:type="gramStart"/>
      <w:r>
        <w:rPr>
          <w:rFonts w:hint="eastAsia"/>
          <w:sz w:val="18"/>
          <w:szCs w:val="18"/>
        </w:rPr>
        <w:t>市高盈股权</w:t>
      </w:r>
      <w:proofErr w:type="gramEnd"/>
      <w:r>
        <w:rPr>
          <w:rFonts w:hint="eastAsia"/>
          <w:sz w:val="18"/>
          <w:szCs w:val="18"/>
        </w:rPr>
        <w:t>投资合伙企业（有限合伙）（以下简称“高盈投资”）签署《股权转让协议》，</w:t>
      </w:r>
      <w:proofErr w:type="gramStart"/>
      <w:r>
        <w:rPr>
          <w:rFonts w:hint="eastAsia"/>
          <w:sz w:val="18"/>
          <w:szCs w:val="18"/>
        </w:rPr>
        <w:t>将高盈投资</w:t>
      </w:r>
      <w:proofErr w:type="gramEnd"/>
      <w:r>
        <w:rPr>
          <w:rFonts w:hint="eastAsia"/>
          <w:sz w:val="18"/>
          <w:szCs w:val="18"/>
        </w:rPr>
        <w:t>所持有的软控（诸暨）智能装备有限公司（以下简称“软控诸暨”）48.9913%的股权以人民币19,209万元全部收购，收购完成后，</w:t>
      </w:r>
      <w:proofErr w:type="gramStart"/>
      <w:r>
        <w:rPr>
          <w:rFonts w:hint="eastAsia"/>
          <w:sz w:val="18"/>
          <w:szCs w:val="18"/>
        </w:rPr>
        <w:t>软控诸暨</w:t>
      </w:r>
      <w:proofErr w:type="gramEnd"/>
      <w:r>
        <w:rPr>
          <w:rFonts w:hint="eastAsia"/>
          <w:sz w:val="18"/>
          <w:szCs w:val="18"/>
        </w:rPr>
        <w:t>将成为公司的全资子公司，继续纳入公司合并报表范围。《</w:t>
      </w:r>
      <w:r>
        <w:rPr>
          <w:rFonts w:hint="eastAsia"/>
          <w:color w:val="000000"/>
          <w:sz w:val="18"/>
          <w:szCs w:val="18"/>
        </w:rPr>
        <w:t>关于购买控股子公司股权的公告</w:t>
      </w:r>
      <w:r>
        <w:rPr>
          <w:rFonts w:hint="eastAsia"/>
          <w:sz w:val="18"/>
          <w:szCs w:val="18"/>
        </w:rPr>
        <w:t>》详见</w:t>
      </w:r>
      <w:r>
        <w:rPr>
          <w:rFonts w:ascii="Times New Roman" w:hAnsi="Times New Roman" w:cs="Times New Roman"/>
          <w:sz w:val="18"/>
          <w:szCs w:val="18"/>
        </w:rPr>
        <w:t>2023</w:t>
      </w:r>
      <w:r>
        <w:rPr>
          <w:rFonts w:hint="eastAsia"/>
          <w:sz w:val="18"/>
          <w:szCs w:val="18"/>
        </w:rPr>
        <w:t>年</w:t>
      </w:r>
      <w:r>
        <w:rPr>
          <w:rFonts w:ascii="Calibri" w:hAnsi="Calibri" w:cs="Calibri"/>
          <w:sz w:val="18"/>
          <w:szCs w:val="18"/>
        </w:rPr>
        <w:t>12</w:t>
      </w:r>
      <w:r>
        <w:rPr>
          <w:rFonts w:hint="eastAsia"/>
          <w:sz w:val="18"/>
          <w:szCs w:val="18"/>
        </w:rPr>
        <w:t>月</w:t>
      </w:r>
      <w:r>
        <w:rPr>
          <w:rFonts w:ascii="Calibri" w:hAnsi="Calibri" w:cs="Calibri"/>
          <w:sz w:val="18"/>
          <w:szCs w:val="18"/>
        </w:rPr>
        <w:t>2</w:t>
      </w:r>
      <w:r>
        <w:rPr>
          <w:rFonts w:hint="eastAsia"/>
          <w:sz w:val="18"/>
          <w:szCs w:val="18"/>
        </w:rPr>
        <w:t>日的巨潮资讯网（</w:t>
      </w:r>
      <w:hyperlink r:id="rId14" w:history="1">
        <w:r>
          <w:rPr>
            <w:rStyle w:val="a5"/>
            <w:rFonts w:ascii="Times New Roman" w:hAnsi="Times New Roman" w:cs="Times New Roman"/>
            <w:sz w:val="18"/>
            <w:szCs w:val="18"/>
          </w:rPr>
          <w:t>http://www.cninfo.com.cn</w:t>
        </w:r>
      </w:hyperlink>
      <w:r>
        <w:rPr>
          <w:rFonts w:hint="eastAsia"/>
          <w:sz w:val="18"/>
          <w:szCs w:val="18"/>
        </w:rPr>
        <w:t>）及指定信息披露媒体。</w:t>
      </w:r>
    </w:p>
    <w:p w:rsidR="00BA0365" w:rsidRDefault="008D4B2E">
      <w:r>
        <w:br w:type="page"/>
      </w:r>
    </w:p>
    <w:p w:rsidR="00BA0365" w:rsidRDefault="008D4B2E">
      <w:pPr>
        <w:pStyle w:val="headingh1"/>
        <w:spacing w:before="340" w:after="330" w:line="773" w:lineRule="exact"/>
        <w:jc w:val="center"/>
        <w:rPr>
          <w:rFonts w:ascii="宋体" w:eastAsia="宋体" w:hAnsi="宋体" w:cs="宋体"/>
          <w:b/>
          <w:bCs/>
          <w:sz w:val="32"/>
          <w:szCs w:val="32"/>
        </w:rPr>
      </w:pPr>
      <w:bookmarkStart w:id="131" w:name="_Toc989020"/>
      <w:r>
        <w:rPr>
          <w:rFonts w:ascii="宋体" w:eastAsia="宋体" w:hAnsi="宋体" w:cs="宋体"/>
          <w:b/>
          <w:bCs/>
          <w:sz w:val="32"/>
          <w:szCs w:val="32"/>
        </w:rPr>
        <w:lastRenderedPageBreak/>
        <w:t>第七节 股份变动及股东情况</w:t>
      </w:r>
      <w:bookmarkEnd w:id="131"/>
    </w:p>
    <w:p w:rsidR="00BA0365" w:rsidRDefault="008D4B2E">
      <w:pPr>
        <w:pStyle w:val="2"/>
        <w:spacing w:before="300" w:after="300" w:line="320" w:lineRule="exact"/>
        <w:rPr>
          <w:rFonts w:ascii="宋体" w:eastAsia="宋体" w:hAnsi="宋体" w:cs="宋体"/>
          <w:b/>
          <w:bCs/>
          <w:sz w:val="24"/>
          <w:szCs w:val="24"/>
        </w:rPr>
      </w:pPr>
      <w:bookmarkStart w:id="132" w:name="_Toc989021"/>
      <w:r>
        <w:rPr>
          <w:rFonts w:ascii="宋体" w:eastAsia="宋体" w:hAnsi="宋体" w:cs="宋体"/>
          <w:b/>
          <w:bCs/>
          <w:sz w:val="24"/>
          <w:szCs w:val="24"/>
        </w:rPr>
        <w:t>一、股份变动情况</w:t>
      </w:r>
      <w:bookmarkEnd w:id="132"/>
    </w:p>
    <w:p w:rsidR="00BA0365" w:rsidRDefault="008D4B2E">
      <w:pPr>
        <w:pStyle w:val="3"/>
        <w:spacing w:line="280" w:lineRule="exact"/>
        <w:jc w:val="left"/>
        <w:rPr>
          <w:rFonts w:ascii="宋体" w:hAnsi="宋体" w:cs="宋体"/>
          <w:b/>
          <w:bCs/>
        </w:rPr>
      </w:pPr>
      <w:bookmarkStart w:id="133" w:name="_Toc989022"/>
      <w:r>
        <w:rPr>
          <w:rFonts w:ascii="宋体" w:hAnsi="宋体" w:cs="宋体"/>
          <w:b/>
          <w:bCs/>
        </w:rPr>
        <w:t>1、股份变动情况</w:t>
      </w:r>
      <w:bookmarkEnd w:id="133"/>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单位：股</w:t>
      </w:r>
    </w:p>
    <w:tbl>
      <w:tblPr>
        <w:tblW w:w="9639" w:type="dxa"/>
        <w:tblLayout w:type="fixed"/>
        <w:tblLook w:val="04A0" w:firstRow="1" w:lastRow="0" w:firstColumn="1" w:lastColumn="0" w:noHBand="0" w:noVBand="1"/>
      </w:tblPr>
      <w:tblGrid>
        <w:gridCol w:w="1526"/>
        <w:gridCol w:w="1134"/>
        <w:gridCol w:w="850"/>
        <w:gridCol w:w="851"/>
        <w:gridCol w:w="709"/>
        <w:gridCol w:w="850"/>
        <w:gridCol w:w="992"/>
        <w:gridCol w:w="993"/>
        <w:gridCol w:w="992"/>
        <w:gridCol w:w="742"/>
      </w:tblGrid>
      <w:tr w:rsidR="00157EA0" w:rsidTr="006C5451">
        <w:trPr>
          <w:trHeight w:val="240"/>
        </w:trPr>
        <w:tc>
          <w:tcPr>
            <w:tcW w:w="152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98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本次变动前</w:t>
            </w:r>
          </w:p>
        </w:tc>
        <w:tc>
          <w:tcPr>
            <w:tcW w:w="4395"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本次变动增减（＋，－）</w:t>
            </w:r>
          </w:p>
        </w:tc>
        <w:tc>
          <w:tcPr>
            <w:tcW w:w="173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本次变动后</w:t>
            </w:r>
          </w:p>
        </w:tc>
      </w:tr>
      <w:tr w:rsidR="00157EA0" w:rsidTr="006C5451">
        <w:trPr>
          <w:trHeight w:val="240"/>
        </w:trPr>
        <w:tc>
          <w:tcPr>
            <w:tcW w:w="152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数量</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发行新股</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送股</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公积金转股</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小计</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数量</w:t>
            </w:r>
          </w:p>
        </w:tc>
        <w:tc>
          <w:tcPr>
            <w:tcW w:w="74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r>
      <w:tr w:rsidR="00157EA0" w:rsidTr="006C5451">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一、有限</w:t>
            </w:r>
            <w:proofErr w:type="gramStart"/>
            <w:r>
              <w:rPr>
                <w:rFonts w:ascii="宋体" w:eastAsia="宋体" w:hAnsi="宋体" w:cs="宋体"/>
                <w:sz w:val="18"/>
                <w:szCs w:val="18"/>
              </w:rPr>
              <w:t>售条件</w:t>
            </w:r>
            <w:proofErr w:type="gramEnd"/>
            <w:r>
              <w:rPr>
                <w:rFonts w:ascii="宋体" w:eastAsia="宋体" w:hAnsi="宋体" w:cs="宋体"/>
                <w:sz w:val="18"/>
                <w:szCs w:val="18"/>
              </w:rPr>
              <w:t>股份</w:t>
            </w:r>
          </w:p>
        </w:tc>
        <w:tc>
          <w:tcPr>
            <w:tcW w:w="11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28,214,600</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2.91%</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37,500,000</w:t>
            </w:r>
          </w:p>
        </w:tc>
        <w:tc>
          <w:tcPr>
            <w:tcW w:w="70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-10,934,000</w:t>
            </w:r>
          </w:p>
        </w:tc>
        <w:tc>
          <w:tcPr>
            <w:tcW w:w="99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26,566,000</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54,780,600</w:t>
            </w:r>
          </w:p>
        </w:tc>
        <w:tc>
          <w:tcPr>
            <w:tcW w:w="7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5.41%</w:t>
            </w:r>
          </w:p>
        </w:tc>
      </w:tr>
      <w:tr w:rsidR="00157EA0" w:rsidTr="006C5451">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1、国家持股</w:t>
            </w:r>
          </w:p>
        </w:tc>
        <w:tc>
          <w:tcPr>
            <w:tcW w:w="11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0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9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57EA0" w:rsidTr="006C5451">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2、国有法人持股</w:t>
            </w:r>
          </w:p>
        </w:tc>
        <w:tc>
          <w:tcPr>
            <w:tcW w:w="11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0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9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57EA0" w:rsidTr="006C5451">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3、其他内资持股</w:t>
            </w:r>
          </w:p>
        </w:tc>
        <w:tc>
          <w:tcPr>
            <w:tcW w:w="11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28,210,600</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2.91%</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37,500,000</w:t>
            </w:r>
          </w:p>
        </w:tc>
        <w:tc>
          <w:tcPr>
            <w:tcW w:w="70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-10,932,400</w:t>
            </w:r>
          </w:p>
        </w:tc>
        <w:tc>
          <w:tcPr>
            <w:tcW w:w="99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26,567,600</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54,778,200</w:t>
            </w:r>
          </w:p>
        </w:tc>
        <w:tc>
          <w:tcPr>
            <w:tcW w:w="7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5.41%</w:t>
            </w:r>
          </w:p>
        </w:tc>
      </w:tr>
      <w:tr w:rsidR="00157EA0" w:rsidTr="006C5451">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其中：境内法人持股</w:t>
            </w:r>
          </w:p>
        </w:tc>
        <w:tc>
          <w:tcPr>
            <w:tcW w:w="11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0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9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57EA0" w:rsidTr="006C5451">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境内自然人持股</w:t>
            </w:r>
          </w:p>
        </w:tc>
        <w:tc>
          <w:tcPr>
            <w:tcW w:w="11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28,210,600</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2.91%</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37,500,000</w:t>
            </w:r>
          </w:p>
        </w:tc>
        <w:tc>
          <w:tcPr>
            <w:tcW w:w="70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-10,932,400</w:t>
            </w:r>
          </w:p>
        </w:tc>
        <w:tc>
          <w:tcPr>
            <w:tcW w:w="99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26,567,600</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54,778,200</w:t>
            </w:r>
          </w:p>
        </w:tc>
        <w:tc>
          <w:tcPr>
            <w:tcW w:w="7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5.41%</w:t>
            </w:r>
          </w:p>
        </w:tc>
      </w:tr>
      <w:tr w:rsidR="00157EA0" w:rsidTr="006C5451">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4、外资持股</w:t>
            </w:r>
          </w:p>
        </w:tc>
        <w:tc>
          <w:tcPr>
            <w:tcW w:w="11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4,000</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0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-1,600</w:t>
            </w:r>
          </w:p>
        </w:tc>
        <w:tc>
          <w:tcPr>
            <w:tcW w:w="99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-1,600</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2,400</w:t>
            </w:r>
          </w:p>
        </w:tc>
        <w:tc>
          <w:tcPr>
            <w:tcW w:w="7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57EA0" w:rsidTr="006C5451">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其中：境外法人持股</w:t>
            </w:r>
          </w:p>
        </w:tc>
        <w:tc>
          <w:tcPr>
            <w:tcW w:w="11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0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9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57EA0" w:rsidTr="006C5451">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境外自然人持股</w:t>
            </w:r>
          </w:p>
        </w:tc>
        <w:tc>
          <w:tcPr>
            <w:tcW w:w="11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4,000</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0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-1,600</w:t>
            </w:r>
          </w:p>
        </w:tc>
        <w:tc>
          <w:tcPr>
            <w:tcW w:w="99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-1,600</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2,400</w:t>
            </w:r>
          </w:p>
        </w:tc>
        <w:tc>
          <w:tcPr>
            <w:tcW w:w="7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57EA0" w:rsidTr="006C5451">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二、无限</w:t>
            </w:r>
            <w:proofErr w:type="gramStart"/>
            <w:r>
              <w:rPr>
                <w:rFonts w:ascii="宋体" w:eastAsia="宋体" w:hAnsi="宋体" w:cs="宋体"/>
                <w:sz w:val="18"/>
                <w:szCs w:val="18"/>
              </w:rPr>
              <w:t>售条件</w:t>
            </w:r>
            <w:proofErr w:type="gramEnd"/>
            <w:r>
              <w:rPr>
                <w:rFonts w:ascii="宋体" w:eastAsia="宋体" w:hAnsi="宋体" w:cs="宋体"/>
                <w:sz w:val="18"/>
                <w:szCs w:val="18"/>
              </w:rPr>
              <w:t>股份</w:t>
            </w:r>
          </w:p>
        </w:tc>
        <w:tc>
          <w:tcPr>
            <w:tcW w:w="11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941,292,074</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97.09%</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0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16,023,830</w:t>
            </w:r>
          </w:p>
        </w:tc>
        <w:tc>
          <w:tcPr>
            <w:tcW w:w="99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16,023,830</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957,315,904</w:t>
            </w:r>
          </w:p>
        </w:tc>
        <w:tc>
          <w:tcPr>
            <w:tcW w:w="7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94.59%</w:t>
            </w:r>
          </w:p>
        </w:tc>
      </w:tr>
      <w:tr w:rsidR="00157EA0" w:rsidTr="006C5451">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1、人民币普通股</w:t>
            </w:r>
          </w:p>
        </w:tc>
        <w:tc>
          <w:tcPr>
            <w:tcW w:w="11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941,292,074</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97.09%</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0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16,023,830</w:t>
            </w:r>
          </w:p>
        </w:tc>
        <w:tc>
          <w:tcPr>
            <w:tcW w:w="99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16,023,830</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957,315,904</w:t>
            </w:r>
          </w:p>
        </w:tc>
        <w:tc>
          <w:tcPr>
            <w:tcW w:w="7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94.59%</w:t>
            </w:r>
          </w:p>
        </w:tc>
      </w:tr>
      <w:tr w:rsidR="00157EA0" w:rsidTr="006C5451">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2、境内上市的外资股</w:t>
            </w:r>
          </w:p>
        </w:tc>
        <w:tc>
          <w:tcPr>
            <w:tcW w:w="11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0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9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57EA0" w:rsidTr="006C5451">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3、境外上市的外资股</w:t>
            </w:r>
          </w:p>
        </w:tc>
        <w:tc>
          <w:tcPr>
            <w:tcW w:w="11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0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9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57EA0" w:rsidTr="006C5451">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4、其他</w:t>
            </w:r>
          </w:p>
        </w:tc>
        <w:tc>
          <w:tcPr>
            <w:tcW w:w="11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0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9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7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57EA0" w:rsidTr="006C5451">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三、股份总数</w:t>
            </w:r>
          </w:p>
        </w:tc>
        <w:tc>
          <w:tcPr>
            <w:tcW w:w="11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969,506,674</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37,500,000</w:t>
            </w:r>
          </w:p>
        </w:tc>
        <w:tc>
          <w:tcPr>
            <w:tcW w:w="70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5,089,830</w:t>
            </w:r>
          </w:p>
        </w:tc>
        <w:tc>
          <w:tcPr>
            <w:tcW w:w="99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42,589,830</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1,012,096,504</w:t>
            </w:r>
          </w:p>
        </w:tc>
        <w:tc>
          <w:tcPr>
            <w:tcW w:w="7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w:t>
            </w:r>
          </w:p>
        </w:tc>
      </w:tr>
    </w:tbl>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股份变动的原因</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8D4B2E" w:rsidRPr="00606927" w:rsidRDefault="008D4B2E" w:rsidP="00C067EE">
      <w:pPr>
        <w:pStyle w:val="a3"/>
        <w:spacing w:before="0" w:beforeAutospacing="0" w:after="0" w:afterAutospacing="0"/>
        <w:ind w:firstLineChars="200" w:firstLine="360"/>
        <w:divId w:val="259997742"/>
        <w:rPr>
          <w:kern w:val="2"/>
          <w:sz w:val="18"/>
          <w:szCs w:val="18"/>
        </w:rPr>
      </w:pPr>
      <w:r w:rsidRPr="00606927">
        <w:rPr>
          <w:kern w:val="2"/>
          <w:sz w:val="18"/>
          <w:szCs w:val="18"/>
        </w:rPr>
        <w:t>2023</w:t>
      </w:r>
      <w:r w:rsidRPr="00606927">
        <w:rPr>
          <w:rFonts w:hint="eastAsia"/>
          <w:kern w:val="2"/>
          <w:sz w:val="18"/>
          <w:szCs w:val="18"/>
        </w:rPr>
        <w:t>年</w:t>
      </w:r>
      <w:r w:rsidRPr="00606927">
        <w:rPr>
          <w:kern w:val="2"/>
          <w:sz w:val="18"/>
          <w:szCs w:val="18"/>
        </w:rPr>
        <w:t>7</w:t>
      </w:r>
      <w:r w:rsidRPr="00606927">
        <w:rPr>
          <w:rFonts w:hint="eastAsia"/>
          <w:kern w:val="2"/>
          <w:sz w:val="18"/>
          <w:szCs w:val="18"/>
        </w:rPr>
        <w:t>月</w:t>
      </w:r>
      <w:r w:rsidRPr="00606927">
        <w:rPr>
          <w:kern w:val="2"/>
          <w:sz w:val="18"/>
          <w:szCs w:val="18"/>
        </w:rPr>
        <w:t>18</w:t>
      </w:r>
      <w:r w:rsidRPr="00606927">
        <w:rPr>
          <w:rFonts w:hint="eastAsia"/>
          <w:kern w:val="2"/>
          <w:sz w:val="18"/>
          <w:szCs w:val="18"/>
        </w:rPr>
        <w:t>日，公司披露了《关于注销部分股票期权和回购注销部分限制性股票完成的公告》，因3名激励对象离职，公司完成了对其</w:t>
      </w:r>
      <w:proofErr w:type="gramStart"/>
      <w:r w:rsidRPr="00606927">
        <w:rPr>
          <w:rFonts w:hint="eastAsia"/>
          <w:kern w:val="2"/>
          <w:sz w:val="18"/>
          <w:szCs w:val="18"/>
        </w:rPr>
        <w:t>已获授但尚未</w:t>
      </w:r>
      <w:proofErr w:type="gramEnd"/>
      <w:r w:rsidRPr="00606927">
        <w:rPr>
          <w:rFonts w:hint="eastAsia"/>
          <w:kern w:val="2"/>
          <w:sz w:val="18"/>
          <w:szCs w:val="18"/>
        </w:rPr>
        <w:t>解除限售的限制性股票合计10,000股予以回购注销，其</w:t>
      </w:r>
      <w:proofErr w:type="gramStart"/>
      <w:r w:rsidRPr="00606927">
        <w:rPr>
          <w:rFonts w:hint="eastAsia"/>
          <w:kern w:val="2"/>
          <w:sz w:val="18"/>
          <w:szCs w:val="18"/>
        </w:rPr>
        <w:t>已获授但尚未</w:t>
      </w:r>
      <w:proofErr w:type="gramEnd"/>
      <w:r w:rsidRPr="00606927">
        <w:rPr>
          <w:rFonts w:hint="eastAsia"/>
          <w:kern w:val="2"/>
          <w:sz w:val="18"/>
          <w:szCs w:val="18"/>
        </w:rPr>
        <w:t>行权的股票期权合计200,000份予以注销。</w:t>
      </w:r>
    </w:p>
    <w:p w:rsidR="008D4B2E" w:rsidRPr="00606927" w:rsidRDefault="008D4B2E" w:rsidP="00C067EE">
      <w:pPr>
        <w:pStyle w:val="a3"/>
        <w:spacing w:before="0" w:beforeAutospacing="0" w:after="0" w:afterAutospacing="0"/>
        <w:ind w:firstLineChars="200" w:firstLine="360"/>
        <w:divId w:val="259997742"/>
        <w:rPr>
          <w:kern w:val="2"/>
          <w:sz w:val="18"/>
          <w:szCs w:val="18"/>
        </w:rPr>
      </w:pPr>
      <w:r w:rsidRPr="00606927">
        <w:rPr>
          <w:rFonts w:hint="eastAsia"/>
          <w:kern w:val="2"/>
          <w:sz w:val="18"/>
          <w:szCs w:val="18"/>
        </w:rPr>
        <w:t>2023年10月13日，公司披露了《关于公司2022年股票期权与限制性股票激励计划第一个行权期采用自主行权模式的提示性公告》，本次激励计划第一个</w:t>
      </w:r>
      <w:proofErr w:type="gramStart"/>
      <w:r w:rsidRPr="00606927">
        <w:rPr>
          <w:rFonts w:hint="eastAsia"/>
          <w:kern w:val="2"/>
          <w:sz w:val="18"/>
          <w:szCs w:val="18"/>
        </w:rPr>
        <w:t>可行权期自</w:t>
      </w:r>
      <w:proofErr w:type="gramEnd"/>
      <w:r w:rsidRPr="00606927">
        <w:rPr>
          <w:rFonts w:hint="eastAsia"/>
          <w:kern w:val="2"/>
          <w:sz w:val="18"/>
          <w:szCs w:val="18"/>
        </w:rPr>
        <w:t>2023年9月30日起至2024年9月29日止，因行权日期须为交易日，因</w:t>
      </w:r>
      <w:r w:rsidRPr="00606927">
        <w:rPr>
          <w:rFonts w:hint="eastAsia"/>
          <w:kern w:val="2"/>
          <w:sz w:val="18"/>
          <w:szCs w:val="18"/>
        </w:rPr>
        <w:lastRenderedPageBreak/>
        <w:t>此本次激励计划第一个</w:t>
      </w:r>
      <w:proofErr w:type="gramStart"/>
      <w:r w:rsidRPr="00606927">
        <w:rPr>
          <w:rFonts w:hint="eastAsia"/>
          <w:kern w:val="2"/>
          <w:sz w:val="18"/>
          <w:szCs w:val="18"/>
        </w:rPr>
        <w:t>可行权期自</w:t>
      </w:r>
      <w:proofErr w:type="gramEnd"/>
      <w:r w:rsidRPr="00606927">
        <w:rPr>
          <w:rFonts w:hint="eastAsia"/>
          <w:kern w:val="2"/>
          <w:sz w:val="18"/>
          <w:szCs w:val="18"/>
        </w:rPr>
        <w:t>2023年10月13日起至2024年9月27日止，本次符合行权条件的激励对象为248人，本次可行权的股票期权数量为947.20万股。截止至2023年12月31日，已行权的股份数为</w:t>
      </w:r>
      <w:r w:rsidRPr="00606927">
        <w:rPr>
          <w:kern w:val="2"/>
          <w:sz w:val="18"/>
          <w:szCs w:val="18"/>
        </w:rPr>
        <w:t>5,099,830</w:t>
      </w:r>
      <w:r w:rsidRPr="00606927">
        <w:rPr>
          <w:rFonts w:hint="eastAsia"/>
          <w:kern w:val="2"/>
          <w:sz w:val="18"/>
          <w:szCs w:val="18"/>
        </w:rPr>
        <w:t>股。</w:t>
      </w:r>
    </w:p>
    <w:p w:rsidR="008D4B2E" w:rsidRPr="00606927" w:rsidRDefault="008D4B2E" w:rsidP="00C067EE">
      <w:pPr>
        <w:pStyle w:val="a3"/>
        <w:spacing w:before="0" w:beforeAutospacing="0" w:after="0" w:afterAutospacing="0"/>
        <w:ind w:firstLineChars="200" w:firstLine="360"/>
        <w:divId w:val="259997742"/>
        <w:rPr>
          <w:kern w:val="2"/>
          <w:sz w:val="18"/>
          <w:szCs w:val="18"/>
        </w:rPr>
      </w:pPr>
      <w:r w:rsidRPr="00606927">
        <w:rPr>
          <w:rFonts w:hint="eastAsia"/>
          <w:kern w:val="2"/>
          <w:sz w:val="18"/>
          <w:szCs w:val="18"/>
        </w:rPr>
        <w:t>2023年10月17日，公司披露了《关于公司2022年股票期权与限制性股票激励计划第一个解除限售期解除限售股份上市流通的公告》，本次解除限售的限制性股票上市流通日为2023年10月20日，本次符合解除限售条件的激励对象为244人，本次解除限售的限制性股票上市流通数量为636.40万股。</w:t>
      </w:r>
    </w:p>
    <w:p w:rsidR="008D4B2E" w:rsidRPr="00606927" w:rsidRDefault="008D4B2E" w:rsidP="00C067EE">
      <w:pPr>
        <w:pStyle w:val="a3"/>
        <w:spacing w:before="0" w:beforeAutospacing="0" w:after="0" w:afterAutospacing="0"/>
        <w:ind w:firstLineChars="200" w:firstLine="360"/>
        <w:divId w:val="259997742"/>
        <w:rPr>
          <w:kern w:val="2"/>
          <w:sz w:val="18"/>
          <w:szCs w:val="18"/>
        </w:rPr>
      </w:pPr>
      <w:r w:rsidRPr="00606927">
        <w:rPr>
          <w:rFonts w:hint="eastAsia"/>
          <w:kern w:val="2"/>
          <w:sz w:val="18"/>
          <w:szCs w:val="18"/>
        </w:rPr>
        <w:t>2023年10月19日，公司披露了《关于2023年限制性股票激励计划限制性股票授予登记完成的公告》，公司完成了2023年限制性股票的登记工作，本次实际向51名激励对象授予3,750万股限制性股票，该次授予的限制性股票的上市日为2023年10月20日。</w:t>
      </w:r>
    </w:p>
    <w:p w:rsidR="008D4B2E" w:rsidRPr="00606927" w:rsidRDefault="008D4B2E" w:rsidP="00C067EE">
      <w:pPr>
        <w:pStyle w:val="a3"/>
        <w:spacing w:before="0" w:beforeAutospacing="0" w:after="0" w:afterAutospacing="0"/>
        <w:ind w:firstLineChars="200" w:firstLine="360"/>
        <w:divId w:val="259997742"/>
        <w:rPr>
          <w:kern w:val="2"/>
          <w:sz w:val="18"/>
          <w:szCs w:val="18"/>
        </w:rPr>
      </w:pPr>
      <w:r w:rsidRPr="00606927">
        <w:rPr>
          <w:rFonts w:hint="eastAsia"/>
          <w:kern w:val="2"/>
          <w:sz w:val="18"/>
          <w:szCs w:val="18"/>
        </w:rPr>
        <w:t>2023年11月16日，公司披露了《关于公司2021年限制性股票激励计划第二个解除限售期解除限售股份上市流通的公告》，本次解除限售的限制性股票上市流通日为2023年11月21日，本次符合解除限售条件的激励对象为20人，本次解除限售的限制性股票上市流通数量为588.00万股。</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股份变动的批准情况</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8D4B2E" w:rsidRPr="00606927" w:rsidRDefault="008D4B2E" w:rsidP="00C067EE">
      <w:pPr>
        <w:pStyle w:val="a3"/>
        <w:spacing w:before="0" w:beforeAutospacing="0" w:after="0" w:afterAutospacing="0"/>
        <w:ind w:firstLineChars="200" w:firstLine="360"/>
        <w:jc w:val="both"/>
        <w:divId w:val="824975226"/>
        <w:rPr>
          <w:kern w:val="2"/>
          <w:sz w:val="18"/>
          <w:szCs w:val="18"/>
        </w:rPr>
      </w:pPr>
      <w:r w:rsidRPr="00606927">
        <w:rPr>
          <w:kern w:val="2"/>
          <w:sz w:val="18"/>
          <w:szCs w:val="18"/>
        </w:rPr>
        <w:t>2023</w:t>
      </w:r>
      <w:r w:rsidRPr="00606927">
        <w:rPr>
          <w:rFonts w:hint="eastAsia"/>
          <w:kern w:val="2"/>
          <w:sz w:val="18"/>
          <w:szCs w:val="18"/>
        </w:rPr>
        <w:t>年</w:t>
      </w:r>
      <w:r w:rsidRPr="00606927">
        <w:rPr>
          <w:kern w:val="2"/>
          <w:sz w:val="18"/>
          <w:szCs w:val="18"/>
        </w:rPr>
        <w:t>4</w:t>
      </w:r>
      <w:r w:rsidRPr="00606927">
        <w:rPr>
          <w:rFonts w:hint="eastAsia"/>
          <w:kern w:val="2"/>
          <w:sz w:val="18"/>
          <w:szCs w:val="18"/>
        </w:rPr>
        <w:t>月</w:t>
      </w:r>
      <w:r w:rsidRPr="00606927">
        <w:rPr>
          <w:kern w:val="2"/>
          <w:sz w:val="18"/>
          <w:szCs w:val="18"/>
        </w:rPr>
        <w:t>10</w:t>
      </w:r>
      <w:r w:rsidRPr="00606927">
        <w:rPr>
          <w:rFonts w:hint="eastAsia"/>
          <w:kern w:val="2"/>
          <w:sz w:val="18"/>
          <w:szCs w:val="18"/>
        </w:rPr>
        <w:t>日，公司召开第八届董事会第六次会议与第八届监事会第七次会议，审议通过了《关于注销部分股票期权和回购注销部分限制性股票的议案》，因</w:t>
      </w:r>
      <w:r w:rsidRPr="00606927">
        <w:rPr>
          <w:kern w:val="2"/>
          <w:sz w:val="18"/>
          <w:szCs w:val="18"/>
        </w:rPr>
        <w:t>3</w:t>
      </w:r>
      <w:r w:rsidRPr="00606927">
        <w:rPr>
          <w:rFonts w:hint="eastAsia"/>
          <w:kern w:val="2"/>
          <w:sz w:val="18"/>
          <w:szCs w:val="18"/>
        </w:rPr>
        <w:t>名激励对象离职，同意对其</w:t>
      </w:r>
      <w:proofErr w:type="gramStart"/>
      <w:r w:rsidRPr="00606927">
        <w:rPr>
          <w:rFonts w:hint="eastAsia"/>
          <w:kern w:val="2"/>
          <w:sz w:val="18"/>
          <w:szCs w:val="18"/>
        </w:rPr>
        <w:t>已获授但尚未</w:t>
      </w:r>
      <w:proofErr w:type="gramEnd"/>
      <w:r w:rsidRPr="00606927">
        <w:rPr>
          <w:rFonts w:hint="eastAsia"/>
          <w:kern w:val="2"/>
          <w:sz w:val="18"/>
          <w:szCs w:val="18"/>
        </w:rPr>
        <w:t>解除限售的限制性股票合计</w:t>
      </w:r>
      <w:r w:rsidRPr="00606927">
        <w:rPr>
          <w:kern w:val="2"/>
          <w:sz w:val="18"/>
          <w:szCs w:val="18"/>
        </w:rPr>
        <w:t>10,000</w:t>
      </w:r>
      <w:r w:rsidRPr="00606927">
        <w:rPr>
          <w:rFonts w:hint="eastAsia"/>
          <w:kern w:val="2"/>
          <w:sz w:val="18"/>
          <w:szCs w:val="18"/>
        </w:rPr>
        <w:t>股予以回购注销，其</w:t>
      </w:r>
      <w:proofErr w:type="gramStart"/>
      <w:r w:rsidRPr="00606927">
        <w:rPr>
          <w:rFonts w:hint="eastAsia"/>
          <w:kern w:val="2"/>
          <w:sz w:val="18"/>
          <w:szCs w:val="18"/>
        </w:rPr>
        <w:t>已获授但尚未</w:t>
      </w:r>
      <w:proofErr w:type="gramEnd"/>
      <w:r w:rsidRPr="00606927">
        <w:rPr>
          <w:rFonts w:hint="eastAsia"/>
          <w:kern w:val="2"/>
          <w:sz w:val="18"/>
          <w:szCs w:val="18"/>
        </w:rPr>
        <w:t>行权的股票期权合计</w:t>
      </w:r>
      <w:r w:rsidRPr="00606927">
        <w:rPr>
          <w:kern w:val="2"/>
          <w:sz w:val="18"/>
          <w:szCs w:val="18"/>
        </w:rPr>
        <w:t>200,000</w:t>
      </w:r>
      <w:r w:rsidRPr="00606927">
        <w:rPr>
          <w:rFonts w:hint="eastAsia"/>
          <w:kern w:val="2"/>
          <w:sz w:val="18"/>
          <w:szCs w:val="18"/>
        </w:rPr>
        <w:t>份予以注销。</w:t>
      </w:r>
      <w:r w:rsidRPr="00606927">
        <w:rPr>
          <w:kern w:val="2"/>
          <w:sz w:val="18"/>
          <w:szCs w:val="18"/>
        </w:rPr>
        <w:t>2023</w:t>
      </w:r>
      <w:r w:rsidRPr="00606927">
        <w:rPr>
          <w:rFonts w:hint="eastAsia"/>
          <w:kern w:val="2"/>
          <w:sz w:val="18"/>
          <w:szCs w:val="18"/>
        </w:rPr>
        <w:t>年</w:t>
      </w:r>
      <w:r w:rsidRPr="00606927">
        <w:rPr>
          <w:kern w:val="2"/>
          <w:sz w:val="18"/>
          <w:szCs w:val="18"/>
        </w:rPr>
        <w:t>5</w:t>
      </w:r>
      <w:r w:rsidRPr="00606927">
        <w:rPr>
          <w:rFonts w:hint="eastAsia"/>
          <w:kern w:val="2"/>
          <w:sz w:val="18"/>
          <w:szCs w:val="18"/>
        </w:rPr>
        <w:t>月</w:t>
      </w:r>
      <w:r w:rsidRPr="00606927">
        <w:rPr>
          <w:kern w:val="2"/>
          <w:sz w:val="18"/>
          <w:szCs w:val="18"/>
        </w:rPr>
        <w:t>8</w:t>
      </w:r>
      <w:r w:rsidRPr="00606927">
        <w:rPr>
          <w:rFonts w:hint="eastAsia"/>
          <w:kern w:val="2"/>
          <w:sz w:val="18"/>
          <w:szCs w:val="18"/>
        </w:rPr>
        <w:t>日，公司召开</w:t>
      </w:r>
      <w:r w:rsidRPr="00606927">
        <w:rPr>
          <w:kern w:val="2"/>
          <w:sz w:val="18"/>
          <w:szCs w:val="18"/>
        </w:rPr>
        <w:t>2022</w:t>
      </w:r>
      <w:r w:rsidRPr="00606927">
        <w:rPr>
          <w:rFonts w:hint="eastAsia"/>
          <w:kern w:val="2"/>
          <w:sz w:val="18"/>
          <w:szCs w:val="18"/>
        </w:rPr>
        <w:t>年度股东大会，审议通过《关于注销部分股票期权和回购注销部分限制性股票的议案》。截至</w:t>
      </w:r>
      <w:r w:rsidRPr="00606927">
        <w:rPr>
          <w:kern w:val="2"/>
          <w:sz w:val="18"/>
          <w:szCs w:val="18"/>
        </w:rPr>
        <w:t>2023</w:t>
      </w:r>
      <w:r w:rsidRPr="00606927">
        <w:rPr>
          <w:rFonts w:hint="eastAsia"/>
          <w:kern w:val="2"/>
          <w:sz w:val="18"/>
          <w:szCs w:val="18"/>
        </w:rPr>
        <w:t>年</w:t>
      </w:r>
      <w:r w:rsidRPr="00606927">
        <w:rPr>
          <w:kern w:val="2"/>
          <w:sz w:val="18"/>
          <w:szCs w:val="18"/>
        </w:rPr>
        <w:t>07</w:t>
      </w:r>
      <w:r w:rsidRPr="00606927">
        <w:rPr>
          <w:rFonts w:hint="eastAsia"/>
          <w:kern w:val="2"/>
          <w:sz w:val="18"/>
          <w:szCs w:val="18"/>
        </w:rPr>
        <w:t>月</w:t>
      </w:r>
      <w:r w:rsidRPr="00606927">
        <w:rPr>
          <w:kern w:val="2"/>
          <w:sz w:val="18"/>
          <w:szCs w:val="18"/>
        </w:rPr>
        <w:t>18</w:t>
      </w:r>
      <w:r w:rsidRPr="00606927">
        <w:rPr>
          <w:rFonts w:hint="eastAsia"/>
          <w:kern w:val="2"/>
          <w:sz w:val="18"/>
          <w:szCs w:val="18"/>
        </w:rPr>
        <w:t>日，公司已在中国证券登记结算有限责任公司深圳分公司办理完成上述限制性股票的回购注销以及股票期权的注销手续，并于同日披露了《关于注销部分股票期权和回购注销部分限制性股票完成的公告》（公告编号：</w:t>
      </w:r>
      <w:r w:rsidRPr="00606927">
        <w:rPr>
          <w:kern w:val="2"/>
          <w:sz w:val="18"/>
          <w:szCs w:val="18"/>
        </w:rPr>
        <w:t>2023-041</w:t>
      </w:r>
      <w:r w:rsidRPr="00606927">
        <w:rPr>
          <w:rFonts w:hint="eastAsia"/>
          <w:kern w:val="2"/>
          <w:sz w:val="18"/>
          <w:szCs w:val="18"/>
        </w:rPr>
        <w:t>）。</w:t>
      </w:r>
    </w:p>
    <w:p w:rsidR="008D4B2E" w:rsidRPr="00606927" w:rsidRDefault="008D4B2E" w:rsidP="00C067EE">
      <w:pPr>
        <w:pStyle w:val="a3"/>
        <w:spacing w:before="0" w:beforeAutospacing="0" w:after="0" w:afterAutospacing="0"/>
        <w:ind w:firstLineChars="200" w:firstLine="360"/>
        <w:jc w:val="both"/>
        <w:divId w:val="824975226"/>
        <w:rPr>
          <w:kern w:val="2"/>
          <w:sz w:val="18"/>
          <w:szCs w:val="18"/>
        </w:rPr>
      </w:pPr>
      <w:r w:rsidRPr="00606927">
        <w:rPr>
          <w:kern w:val="2"/>
          <w:sz w:val="18"/>
          <w:szCs w:val="18"/>
        </w:rPr>
        <w:t>2023</w:t>
      </w:r>
      <w:r w:rsidRPr="00606927">
        <w:rPr>
          <w:rFonts w:hint="eastAsia"/>
          <w:kern w:val="2"/>
          <w:sz w:val="18"/>
          <w:szCs w:val="18"/>
        </w:rPr>
        <w:t>年</w:t>
      </w:r>
      <w:r w:rsidRPr="00606927">
        <w:rPr>
          <w:kern w:val="2"/>
          <w:sz w:val="18"/>
          <w:szCs w:val="18"/>
        </w:rPr>
        <w:t>7</w:t>
      </w:r>
      <w:r w:rsidRPr="00606927">
        <w:rPr>
          <w:rFonts w:hint="eastAsia"/>
          <w:kern w:val="2"/>
          <w:sz w:val="18"/>
          <w:szCs w:val="18"/>
        </w:rPr>
        <w:t>月</w:t>
      </w:r>
      <w:r w:rsidRPr="00606927">
        <w:rPr>
          <w:kern w:val="2"/>
          <w:sz w:val="18"/>
          <w:szCs w:val="18"/>
        </w:rPr>
        <w:t>13</w:t>
      </w:r>
      <w:r w:rsidRPr="00606927">
        <w:rPr>
          <w:rFonts w:hint="eastAsia"/>
          <w:kern w:val="2"/>
          <w:sz w:val="18"/>
          <w:szCs w:val="18"/>
        </w:rPr>
        <w:t>日，公司第八届董事会第九次会议审议通过了《关于</w:t>
      </w:r>
      <w:r w:rsidRPr="00606927">
        <w:rPr>
          <w:kern w:val="2"/>
          <w:sz w:val="18"/>
          <w:szCs w:val="18"/>
        </w:rPr>
        <w:t>〈</w:t>
      </w:r>
      <w:r w:rsidRPr="00606927">
        <w:rPr>
          <w:rFonts w:hint="eastAsia"/>
          <w:kern w:val="2"/>
          <w:sz w:val="18"/>
          <w:szCs w:val="18"/>
        </w:rPr>
        <w:t>软控股份有限公司</w:t>
      </w:r>
      <w:r w:rsidRPr="00606927">
        <w:rPr>
          <w:kern w:val="2"/>
          <w:sz w:val="18"/>
          <w:szCs w:val="18"/>
        </w:rPr>
        <w:t>2023</w:t>
      </w:r>
      <w:r w:rsidRPr="00606927">
        <w:rPr>
          <w:rFonts w:hint="eastAsia"/>
          <w:kern w:val="2"/>
          <w:sz w:val="18"/>
          <w:szCs w:val="18"/>
        </w:rPr>
        <w:t>年限制性股票激励计划（草案）</w:t>
      </w:r>
      <w:r w:rsidRPr="00606927">
        <w:rPr>
          <w:kern w:val="2"/>
          <w:sz w:val="18"/>
          <w:szCs w:val="18"/>
        </w:rPr>
        <w:t>〉</w:t>
      </w:r>
      <w:r w:rsidRPr="00606927">
        <w:rPr>
          <w:rFonts w:hint="eastAsia"/>
          <w:kern w:val="2"/>
          <w:sz w:val="18"/>
          <w:szCs w:val="18"/>
        </w:rPr>
        <w:t>及其摘要的议案》《关于</w:t>
      </w:r>
      <w:r w:rsidRPr="00606927">
        <w:rPr>
          <w:kern w:val="2"/>
          <w:sz w:val="18"/>
          <w:szCs w:val="18"/>
        </w:rPr>
        <w:t>〈</w:t>
      </w:r>
      <w:r w:rsidRPr="00606927">
        <w:rPr>
          <w:rFonts w:hint="eastAsia"/>
          <w:kern w:val="2"/>
          <w:sz w:val="18"/>
          <w:szCs w:val="18"/>
        </w:rPr>
        <w:t>软控股份有限公司</w:t>
      </w:r>
      <w:r w:rsidRPr="00606927">
        <w:rPr>
          <w:kern w:val="2"/>
          <w:sz w:val="18"/>
          <w:szCs w:val="18"/>
        </w:rPr>
        <w:t>2023</w:t>
      </w:r>
      <w:r w:rsidRPr="00606927">
        <w:rPr>
          <w:rFonts w:hint="eastAsia"/>
          <w:kern w:val="2"/>
          <w:sz w:val="18"/>
          <w:szCs w:val="18"/>
        </w:rPr>
        <w:t>年限制性股票激励计划实施考核管理办法</w:t>
      </w:r>
      <w:r w:rsidRPr="00606927">
        <w:rPr>
          <w:kern w:val="2"/>
          <w:sz w:val="18"/>
          <w:szCs w:val="18"/>
        </w:rPr>
        <w:t>〉</w:t>
      </w:r>
      <w:r w:rsidRPr="00606927">
        <w:rPr>
          <w:rFonts w:hint="eastAsia"/>
          <w:kern w:val="2"/>
          <w:sz w:val="18"/>
          <w:szCs w:val="18"/>
        </w:rPr>
        <w:t>的议案》《关于提请股东大会授权董事会办理股权激励相关事宜的议案》。独立董事就本激励计划相关议案发表了同意的独立意见。同日，公司召开了第八届监事会第十次会议审议通过了《关于</w:t>
      </w:r>
      <w:r w:rsidRPr="00606927">
        <w:rPr>
          <w:kern w:val="2"/>
          <w:sz w:val="18"/>
          <w:szCs w:val="18"/>
        </w:rPr>
        <w:t>〈</w:t>
      </w:r>
      <w:r w:rsidRPr="00606927">
        <w:rPr>
          <w:rFonts w:hint="eastAsia"/>
          <w:kern w:val="2"/>
          <w:sz w:val="18"/>
          <w:szCs w:val="18"/>
        </w:rPr>
        <w:t>软控股份有限公司</w:t>
      </w:r>
      <w:r w:rsidRPr="00606927">
        <w:rPr>
          <w:kern w:val="2"/>
          <w:sz w:val="18"/>
          <w:szCs w:val="18"/>
        </w:rPr>
        <w:t>2023</w:t>
      </w:r>
      <w:r w:rsidRPr="00606927">
        <w:rPr>
          <w:rFonts w:hint="eastAsia"/>
          <w:kern w:val="2"/>
          <w:sz w:val="18"/>
          <w:szCs w:val="18"/>
        </w:rPr>
        <w:t>年限制性股票激励计划（草案）</w:t>
      </w:r>
      <w:r w:rsidRPr="00606927">
        <w:rPr>
          <w:kern w:val="2"/>
          <w:sz w:val="18"/>
          <w:szCs w:val="18"/>
        </w:rPr>
        <w:t>〉</w:t>
      </w:r>
      <w:r w:rsidRPr="00606927">
        <w:rPr>
          <w:rFonts w:hint="eastAsia"/>
          <w:kern w:val="2"/>
          <w:sz w:val="18"/>
          <w:szCs w:val="18"/>
        </w:rPr>
        <w:t>及其摘要的议案》《关于</w:t>
      </w:r>
      <w:r w:rsidRPr="00606927">
        <w:rPr>
          <w:kern w:val="2"/>
          <w:sz w:val="18"/>
          <w:szCs w:val="18"/>
        </w:rPr>
        <w:t>〈</w:t>
      </w:r>
      <w:r w:rsidRPr="00606927">
        <w:rPr>
          <w:rFonts w:hint="eastAsia"/>
          <w:kern w:val="2"/>
          <w:sz w:val="18"/>
          <w:szCs w:val="18"/>
        </w:rPr>
        <w:t>软控股份有限公司</w:t>
      </w:r>
      <w:r w:rsidRPr="00606927">
        <w:rPr>
          <w:kern w:val="2"/>
          <w:sz w:val="18"/>
          <w:szCs w:val="18"/>
        </w:rPr>
        <w:t>2023</w:t>
      </w:r>
      <w:r w:rsidRPr="00606927">
        <w:rPr>
          <w:rFonts w:hint="eastAsia"/>
          <w:kern w:val="2"/>
          <w:sz w:val="18"/>
          <w:szCs w:val="18"/>
        </w:rPr>
        <w:t>年限制性股票激励计划实施考核管理办法</w:t>
      </w:r>
      <w:r w:rsidRPr="00606927">
        <w:rPr>
          <w:kern w:val="2"/>
          <w:sz w:val="18"/>
          <w:szCs w:val="18"/>
        </w:rPr>
        <w:t>〉</w:t>
      </w:r>
      <w:r w:rsidRPr="00606927">
        <w:rPr>
          <w:rFonts w:hint="eastAsia"/>
          <w:kern w:val="2"/>
          <w:sz w:val="18"/>
          <w:szCs w:val="18"/>
        </w:rPr>
        <w:t>的议案》及《关于核查</w:t>
      </w:r>
      <w:r w:rsidRPr="00606927">
        <w:rPr>
          <w:kern w:val="2"/>
          <w:sz w:val="18"/>
          <w:szCs w:val="18"/>
        </w:rPr>
        <w:t>〈</w:t>
      </w:r>
      <w:r w:rsidRPr="00606927">
        <w:rPr>
          <w:rFonts w:hint="eastAsia"/>
          <w:kern w:val="2"/>
          <w:sz w:val="18"/>
          <w:szCs w:val="18"/>
        </w:rPr>
        <w:t>软控股份有限公司</w:t>
      </w:r>
      <w:r w:rsidRPr="00606927">
        <w:rPr>
          <w:kern w:val="2"/>
          <w:sz w:val="18"/>
          <w:szCs w:val="18"/>
        </w:rPr>
        <w:t>2023</w:t>
      </w:r>
      <w:r w:rsidRPr="00606927">
        <w:rPr>
          <w:rFonts w:hint="eastAsia"/>
          <w:kern w:val="2"/>
          <w:sz w:val="18"/>
          <w:szCs w:val="18"/>
        </w:rPr>
        <w:t>年限制性股票激励计划激励对象名单</w:t>
      </w:r>
      <w:r w:rsidRPr="00606927">
        <w:rPr>
          <w:kern w:val="2"/>
          <w:sz w:val="18"/>
          <w:szCs w:val="18"/>
        </w:rPr>
        <w:t>〉</w:t>
      </w:r>
      <w:r w:rsidRPr="00606927">
        <w:rPr>
          <w:rFonts w:hint="eastAsia"/>
          <w:kern w:val="2"/>
          <w:sz w:val="18"/>
          <w:szCs w:val="18"/>
        </w:rPr>
        <w:t>的议案》，监事会对本次激励计划的激励对象进行了核查，认为激励对象的主体资格合法、有效。</w:t>
      </w:r>
    </w:p>
    <w:p w:rsidR="008D4B2E" w:rsidRPr="00606927" w:rsidRDefault="008D4B2E" w:rsidP="00C067EE">
      <w:pPr>
        <w:pStyle w:val="a3"/>
        <w:spacing w:before="0" w:beforeAutospacing="0" w:after="0" w:afterAutospacing="0"/>
        <w:ind w:firstLineChars="200" w:firstLine="360"/>
        <w:jc w:val="both"/>
        <w:divId w:val="824975226"/>
        <w:rPr>
          <w:kern w:val="2"/>
          <w:sz w:val="18"/>
          <w:szCs w:val="18"/>
        </w:rPr>
      </w:pPr>
      <w:r w:rsidRPr="00606927">
        <w:rPr>
          <w:kern w:val="2"/>
          <w:sz w:val="18"/>
          <w:szCs w:val="18"/>
        </w:rPr>
        <w:t>2023</w:t>
      </w:r>
      <w:r w:rsidRPr="00606927">
        <w:rPr>
          <w:rFonts w:hint="eastAsia"/>
          <w:kern w:val="2"/>
          <w:sz w:val="18"/>
          <w:szCs w:val="18"/>
        </w:rPr>
        <w:t>年</w:t>
      </w:r>
      <w:r w:rsidRPr="00606927">
        <w:rPr>
          <w:kern w:val="2"/>
          <w:sz w:val="18"/>
          <w:szCs w:val="18"/>
        </w:rPr>
        <w:t>7</w:t>
      </w:r>
      <w:r w:rsidRPr="00606927">
        <w:rPr>
          <w:rFonts w:hint="eastAsia"/>
          <w:kern w:val="2"/>
          <w:sz w:val="18"/>
          <w:szCs w:val="18"/>
        </w:rPr>
        <w:t>月</w:t>
      </w:r>
      <w:r w:rsidRPr="00606927">
        <w:rPr>
          <w:kern w:val="2"/>
          <w:sz w:val="18"/>
          <w:szCs w:val="18"/>
        </w:rPr>
        <w:t>17</w:t>
      </w:r>
      <w:r w:rsidRPr="00606927">
        <w:rPr>
          <w:rFonts w:hint="eastAsia"/>
          <w:kern w:val="2"/>
          <w:sz w:val="18"/>
          <w:szCs w:val="18"/>
        </w:rPr>
        <w:t>日至</w:t>
      </w:r>
      <w:r w:rsidRPr="00606927">
        <w:rPr>
          <w:kern w:val="2"/>
          <w:sz w:val="18"/>
          <w:szCs w:val="18"/>
        </w:rPr>
        <w:t>2023</w:t>
      </w:r>
      <w:r w:rsidRPr="00606927">
        <w:rPr>
          <w:rFonts w:hint="eastAsia"/>
          <w:kern w:val="2"/>
          <w:sz w:val="18"/>
          <w:szCs w:val="18"/>
        </w:rPr>
        <w:t>年</w:t>
      </w:r>
      <w:r w:rsidRPr="00606927">
        <w:rPr>
          <w:kern w:val="2"/>
          <w:sz w:val="18"/>
          <w:szCs w:val="18"/>
        </w:rPr>
        <w:t>7</w:t>
      </w:r>
      <w:r w:rsidRPr="00606927">
        <w:rPr>
          <w:rFonts w:hint="eastAsia"/>
          <w:kern w:val="2"/>
          <w:sz w:val="18"/>
          <w:szCs w:val="18"/>
        </w:rPr>
        <w:t>月</w:t>
      </w:r>
      <w:r w:rsidRPr="00606927">
        <w:rPr>
          <w:kern w:val="2"/>
          <w:sz w:val="18"/>
          <w:szCs w:val="18"/>
        </w:rPr>
        <w:t>27</w:t>
      </w:r>
      <w:r w:rsidRPr="00606927">
        <w:rPr>
          <w:rFonts w:hint="eastAsia"/>
          <w:kern w:val="2"/>
          <w:sz w:val="18"/>
          <w:szCs w:val="18"/>
        </w:rPr>
        <w:t>日，公司对《软控股份有限公司</w:t>
      </w:r>
      <w:r w:rsidRPr="00606927">
        <w:rPr>
          <w:kern w:val="2"/>
          <w:sz w:val="18"/>
          <w:szCs w:val="18"/>
        </w:rPr>
        <w:t>2023</w:t>
      </w:r>
      <w:r w:rsidRPr="00606927">
        <w:rPr>
          <w:rFonts w:hint="eastAsia"/>
          <w:kern w:val="2"/>
          <w:sz w:val="18"/>
          <w:szCs w:val="18"/>
        </w:rPr>
        <w:t>年限制性股票激励计划激励对象名单》在公司内部进行了公示。公示期满，监事会未收到任何异议。公司于</w:t>
      </w:r>
      <w:r w:rsidRPr="00606927">
        <w:rPr>
          <w:kern w:val="2"/>
          <w:sz w:val="18"/>
          <w:szCs w:val="18"/>
        </w:rPr>
        <w:t>2023</w:t>
      </w:r>
      <w:r w:rsidRPr="00606927">
        <w:rPr>
          <w:rFonts w:hint="eastAsia"/>
          <w:kern w:val="2"/>
          <w:sz w:val="18"/>
          <w:szCs w:val="18"/>
        </w:rPr>
        <w:t>年</w:t>
      </w:r>
      <w:r w:rsidRPr="00606927">
        <w:rPr>
          <w:kern w:val="2"/>
          <w:sz w:val="18"/>
          <w:szCs w:val="18"/>
        </w:rPr>
        <w:t>8</w:t>
      </w:r>
      <w:r w:rsidRPr="00606927">
        <w:rPr>
          <w:rFonts w:hint="eastAsia"/>
          <w:kern w:val="2"/>
          <w:sz w:val="18"/>
          <w:szCs w:val="18"/>
        </w:rPr>
        <w:t>月</w:t>
      </w:r>
      <w:r w:rsidRPr="00606927">
        <w:rPr>
          <w:kern w:val="2"/>
          <w:sz w:val="18"/>
          <w:szCs w:val="18"/>
        </w:rPr>
        <w:t>11</w:t>
      </w:r>
      <w:r w:rsidRPr="00606927">
        <w:rPr>
          <w:rFonts w:hint="eastAsia"/>
          <w:kern w:val="2"/>
          <w:sz w:val="18"/>
          <w:szCs w:val="18"/>
        </w:rPr>
        <w:t>日披露了《软控股份有限公司第八届监事会第十一次会议决议公告》（公告编号：</w:t>
      </w:r>
      <w:r w:rsidRPr="00606927">
        <w:rPr>
          <w:kern w:val="2"/>
          <w:sz w:val="18"/>
          <w:szCs w:val="18"/>
        </w:rPr>
        <w:t>2023-042</w:t>
      </w:r>
      <w:r w:rsidRPr="00606927">
        <w:rPr>
          <w:rFonts w:hint="eastAsia"/>
          <w:kern w:val="2"/>
          <w:sz w:val="18"/>
          <w:szCs w:val="18"/>
        </w:rPr>
        <w:t>）《监事会关于</w:t>
      </w:r>
      <w:r w:rsidRPr="00606927">
        <w:rPr>
          <w:kern w:val="2"/>
          <w:sz w:val="18"/>
          <w:szCs w:val="18"/>
        </w:rPr>
        <w:t>2023</w:t>
      </w:r>
      <w:r w:rsidRPr="00606927">
        <w:rPr>
          <w:rFonts w:hint="eastAsia"/>
          <w:kern w:val="2"/>
          <w:sz w:val="18"/>
          <w:szCs w:val="18"/>
        </w:rPr>
        <w:t>年限制性股票激励计划激励对象名单的公示情况说明及核查意见的公告》（公告编号：</w:t>
      </w:r>
      <w:r w:rsidRPr="00606927">
        <w:rPr>
          <w:kern w:val="2"/>
          <w:sz w:val="18"/>
          <w:szCs w:val="18"/>
        </w:rPr>
        <w:t>2023-043</w:t>
      </w:r>
      <w:r w:rsidRPr="00606927">
        <w:rPr>
          <w:rFonts w:hint="eastAsia"/>
          <w:kern w:val="2"/>
          <w:sz w:val="18"/>
          <w:szCs w:val="18"/>
        </w:rPr>
        <w:t>）。</w:t>
      </w:r>
    </w:p>
    <w:p w:rsidR="008D4B2E" w:rsidRPr="00606927" w:rsidRDefault="008D4B2E" w:rsidP="00C067EE">
      <w:pPr>
        <w:pStyle w:val="a3"/>
        <w:spacing w:before="0" w:beforeAutospacing="0" w:after="0" w:afterAutospacing="0"/>
        <w:ind w:firstLineChars="200" w:firstLine="360"/>
        <w:jc w:val="both"/>
        <w:divId w:val="824975226"/>
        <w:rPr>
          <w:kern w:val="2"/>
          <w:sz w:val="18"/>
          <w:szCs w:val="18"/>
        </w:rPr>
      </w:pPr>
      <w:r w:rsidRPr="00606927">
        <w:rPr>
          <w:kern w:val="2"/>
          <w:sz w:val="18"/>
          <w:szCs w:val="18"/>
        </w:rPr>
        <w:t>2023</w:t>
      </w:r>
      <w:r w:rsidRPr="00606927">
        <w:rPr>
          <w:rFonts w:hint="eastAsia"/>
          <w:kern w:val="2"/>
          <w:sz w:val="18"/>
          <w:szCs w:val="18"/>
        </w:rPr>
        <w:t>年</w:t>
      </w:r>
      <w:r w:rsidRPr="00606927">
        <w:rPr>
          <w:kern w:val="2"/>
          <w:sz w:val="18"/>
          <w:szCs w:val="18"/>
        </w:rPr>
        <w:t>8</w:t>
      </w:r>
      <w:r w:rsidRPr="00606927">
        <w:rPr>
          <w:rFonts w:hint="eastAsia"/>
          <w:kern w:val="2"/>
          <w:sz w:val="18"/>
          <w:szCs w:val="18"/>
        </w:rPr>
        <w:t>月</w:t>
      </w:r>
      <w:r w:rsidRPr="00606927">
        <w:rPr>
          <w:kern w:val="2"/>
          <w:sz w:val="18"/>
          <w:szCs w:val="18"/>
        </w:rPr>
        <w:t>15</w:t>
      </w:r>
      <w:r w:rsidRPr="00606927">
        <w:rPr>
          <w:rFonts w:hint="eastAsia"/>
          <w:kern w:val="2"/>
          <w:sz w:val="18"/>
          <w:szCs w:val="18"/>
        </w:rPr>
        <w:t>日，公司召开</w:t>
      </w:r>
      <w:r w:rsidRPr="00606927">
        <w:rPr>
          <w:kern w:val="2"/>
          <w:sz w:val="18"/>
          <w:szCs w:val="18"/>
        </w:rPr>
        <w:t>2023</w:t>
      </w:r>
      <w:r w:rsidRPr="00606927">
        <w:rPr>
          <w:rFonts w:hint="eastAsia"/>
          <w:kern w:val="2"/>
          <w:sz w:val="18"/>
          <w:szCs w:val="18"/>
        </w:rPr>
        <w:t>年第一次临时股东大会，审议并通过了《关于</w:t>
      </w:r>
      <w:r w:rsidRPr="00606927">
        <w:rPr>
          <w:kern w:val="2"/>
          <w:sz w:val="18"/>
          <w:szCs w:val="18"/>
        </w:rPr>
        <w:t>〈</w:t>
      </w:r>
      <w:r w:rsidRPr="00606927">
        <w:rPr>
          <w:rFonts w:hint="eastAsia"/>
          <w:kern w:val="2"/>
          <w:sz w:val="18"/>
          <w:szCs w:val="18"/>
        </w:rPr>
        <w:t>软控股份有限公司</w:t>
      </w:r>
      <w:r w:rsidRPr="00606927">
        <w:rPr>
          <w:kern w:val="2"/>
          <w:sz w:val="18"/>
          <w:szCs w:val="18"/>
        </w:rPr>
        <w:t>2023</w:t>
      </w:r>
      <w:r w:rsidRPr="00606927">
        <w:rPr>
          <w:rFonts w:hint="eastAsia"/>
          <w:kern w:val="2"/>
          <w:sz w:val="18"/>
          <w:szCs w:val="18"/>
        </w:rPr>
        <w:t>年限制性股票激励计划（草案）</w:t>
      </w:r>
      <w:r w:rsidRPr="00606927">
        <w:rPr>
          <w:kern w:val="2"/>
          <w:sz w:val="18"/>
          <w:szCs w:val="18"/>
        </w:rPr>
        <w:t>〉</w:t>
      </w:r>
      <w:r w:rsidRPr="00606927">
        <w:rPr>
          <w:rFonts w:hint="eastAsia"/>
          <w:kern w:val="2"/>
          <w:sz w:val="18"/>
          <w:szCs w:val="18"/>
        </w:rPr>
        <w:t>及其摘要的议案》《关于</w:t>
      </w:r>
      <w:r w:rsidRPr="00606927">
        <w:rPr>
          <w:kern w:val="2"/>
          <w:sz w:val="18"/>
          <w:szCs w:val="18"/>
        </w:rPr>
        <w:t>〈</w:t>
      </w:r>
      <w:r w:rsidRPr="00606927">
        <w:rPr>
          <w:rFonts w:hint="eastAsia"/>
          <w:kern w:val="2"/>
          <w:sz w:val="18"/>
          <w:szCs w:val="18"/>
        </w:rPr>
        <w:t>软控股份有限公司</w:t>
      </w:r>
      <w:r w:rsidRPr="00606927">
        <w:rPr>
          <w:kern w:val="2"/>
          <w:sz w:val="18"/>
          <w:szCs w:val="18"/>
        </w:rPr>
        <w:t>2023</w:t>
      </w:r>
      <w:r w:rsidRPr="00606927">
        <w:rPr>
          <w:rFonts w:hint="eastAsia"/>
          <w:kern w:val="2"/>
          <w:sz w:val="18"/>
          <w:szCs w:val="18"/>
        </w:rPr>
        <w:t>年限制性股票激励计划实施考核管理办法</w:t>
      </w:r>
      <w:r w:rsidRPr="00606927">
        <w:rPr>
          <w:kern w:val="2"/>
          <w:sz w:val="18"/>
          <w:szCs w:val="18"/>
        </w:rPr>
        <w:t>〉</w:t>
      </w:r>
      <w:r w:rsidRPr="00606927">
        <w:rPr>
          <w:rFonts w:hint="eastAsia"/>
          <w:kern w:val="2"/>
          <w:sz w:val="18"/>
          <w:szCs w:val="18"/>
        </w:rPr>
        <w:t>的议案》《关于提请股东大会授权董事会办理股权激励相关事宜的议案》。公司就本激励计划内幕信息知情人及激励对象在本激励计划草案公开披露前</w:t>
      </w:r>
      <w:r w:rsidRPr="00606927">
        <w:rPr>
          <w:kern w:val="2"/>
          <w:sz w:val="18"/>
          <w:szCs w:val="18"/>
        </w:rPr>
        <w:t>6</w:t>
      </w:r>
      <w:r w:rsidRPr="00606927">
        <w:rPr>
          <w:rFonts w:hint="eastAsia"/>
          <w:kern w:val="2"/>
          <w:sz w:val="18"/>
          <w:szCs w:val="18"/>
        </w:rPr>
        <w:t>个月内买卖公司股票的情况进行了自查，并于</w:t>
      </w:r>
      <w:r w:rsidRPr="00606927">
        <w:rPr>
          <w:kern w:val="2"/>
          <w:sz w:val="18"/>
          <w:szCs w:val="18"/>
        </w:rPr>
        <w:t>2023</w:t>
      </w:r>
      <w:r w:rsidRPr="00606927">
        <w:rPr>
          <w:rFonts w:hint="eastAsia"/>
          <w:kern w:val="2"/>
          <w:sz w:val="18"/>
          <w:szCs w:val="18"/>
        </w:rPr>
        <w:t>年</w:t>
      </w:r>
      <w:r w:rsidRPr="00606927">
        <w:rPr>
          <w:kern w:val="2"/>
          <w:sz w:val="18"/>
          <w:szCs w:val="18"/>
        </w:rPr>
        <w:t>8</w:t>
      </w:r>
      <w:r w:rsidRPr="00606927">
        <w:rPr>
          <w:rFonts w:hint="eastAsia"/>
          <w:kern w:val="2"/>
          <w:sz w:val="18"/>
          <w:szCs w:val="18"/>
        </w:rPr>
        <w:t>月</w:t>
      </w:r>
      <w:r w:rsidRPr="00606927">
        <w:rPr>
          <w:kern w:val="2"/>
          <w:sz w:val="18"/>
          <w:szCs w:val="18"/>
        </w:rPr>
        <w:t>16</w:t>
      </w:r>
      <w:r w:rsidRPr="00606927">
        <w:rPr>
          <w:rFonts w:hint="eastAsia"/>
          <w:kern w:val="2"/>
          <w:sz w:val="18"/>
          <w:szCs w:val="18"/>
        </w:rPr>
        <w:t>日披露了《关于</w:t>
      </w:r>
      <w:r w:rsidRPr="00606927">
        <w:rPr>
          <w:kern w:val="2"/>
          <w:sz w:val="18"/>
          <w:szCs w:val="18"/>
        </w:rPr>
        <w:t>2023</w:t>
      </w:r>
      <w:r w:rsidRPr="00606927">
        <w:rPr>
          <w:rFonts w:hint="eastAsia"/>
          <w:kern w:val="2"/>
          <w:sz w:val="18"/>
          <w:szCs w:val="18"/>
        </w:rPr>
        <w:t>年限制性股票激励计划内幕信息知情人及激励对象买卖公司股票情况的自查报告》（公告编号：</w:t>
      </w:r>
      <w:r w:rsidRPr="00606927">
        <w:rPr>
          <w:kern w:val="2"/>
          <w:sz w:val="18"/>
          <w:szCs w:val="18"/>
        </w:rPr>
        <w:t>2023-046</w:t>
      </w:r>
      <w:r w:rsidRPr="00606927">
        <w:rPr>
          <w:rFonts w:hint="eastAsia"/>
          <w:kern w:val="2"/>
          <w:sz w:val="18"/>
          <w:szCs w:val="18"/>
        </w:rPr>
        <w:t>）。</w:t>
      </w:r>
    </w:p>
    <w:p w:rsidR="008D4B2E" w:rsidRPr="00606927" w:rsidRDefault="008D4B2E" w:rsidP="00606927">
      <w:pPr>
        <w:pStyle w:val="a3"/>
        <w:spacing w:before="0" w:beforeAutospacing="0" w:after="0" w:afterAutospacing="0"/>
        <w:ind w:firstLineChars="200" w:firstLine="360"/>
        <w:jc w:val="both"/>
        <w:divId w:val="824975226"/>
        <w:rPr>
          <w:kern w:val="2"/>
          <w:sz w:val="18"/>
          <w:szCs w:val="18"/>
        </w:rPr>
      </w:pPr>
      <w:r w:rsidRPr="00606927">
        <w:rPr>
          <w:kern w:val="2"/>
          <w:sz w:val="18"/>
          <w:szCs w:val="18"/>
        </w:rPr>
        <w:t>2023</w:t>
      </w:r>
      <w:r w:rsidRPr="00606927">
        <w:rPr>
          <w:rFonts w:hint="eastAsia"/>
          <w:kern w:val="2"/>
          <w:sz w:val="18"/>
          <w:szCs w:val="18"/>
        </w:rPr>
        <w:t>年</w:t>
      </w:r>
      <w:r w:rsidRPr="00606927">
        <w:rPr>
          <w:kern w:val="2"/>
          <w:sz w:val="18"/>
          <w:szCs w:val="18"/>
        </w:rPr>
        <w:t>8</w:t>
      </w:r>
      <w:r w:rsidRPr="00606927">
        <w:rPr>
          <w:rFonts w:hint="eastAsia"/>
          <w:kern w:val="2"/>
          <w:sz w:val="18"/>
          <w:szCs w:val="18"/>
        </w:rPr>
        <w:t>月</w:t>
      </w:r>
      <w:r w:rsidRPr="00606927">
        <w:rPr>
          <w:kern w:val="2"/>
          <w:sz w:val="18"/>
          <w:szCs w:val="18"/>
        </w:rPr>
        <w:t>28</w:t>
      </w:r>
      <w:r w:rsidRPr="00606927">
        <w:rPr>
          <w:rFonts w:hint="eastAsia"/>
          <w:kern w:val="2"/>
          <w:sz w:val="18"/>
          <w:szCs w:val="18"/>
        </w:rPr>
        <w:t>日，公司召开第八届董事会第十一次会议和第八届监事会第十三次会议，审议通过了《关于向激励对象授予限制性股票的议案》。根据公司</w:t>
      </w:r>
      <w:r w:rsidRPr="00606927">
        <w:rPr>
          <w:kern w:val="2"/>
          <w:sz w:val="18"/>
          <w:szCs w:val="18"/>
        </w:rPr>
        <w:t>2023</w:t>
      </w:r>
      <w:r w:rsidRPr="00606927">
        <w:rPr>
          <w:rFonts w:hint="eastAsia"/>
          <w:kern w:val="2"/>
          <w:sz w:val="18"/>
          <w:szCs w:val="18"/>
        </w:rPr>
        <w:t>年第一次临时股东大会的授权，董事会确定本激励计划的授予日为</w:t>
      </w:r>
      <w:r w:rsidRPr="00606927">
        <w:rPr>
          <w:kern w:val="2"/>
          <w:sz w:val="18"/>
          <w:szCs w:val="18"/>
        </w:rPr>
        <w:t>2023</w:t>
      </w:r>
      <w:r w:rsidRPr="00606927">
        <w:rPr>
          <w:rFonts w:hint="eastAsia"/>
          <w:kern w:val="2"/>
          <w:sz w:val="18"/>
          <w:szCs w:val="18"/>
        </w:rPr>
        <w:t>年</w:t>
      </w:r>
      <w:r w:rsidRPr="00606927">
        <w:rPr>
          <w:kern w:val="2"/>
          <w:sz w:val="18"/>
          <w:szCs w:val="18"/>
        </w:rPr>
        <w:t>8</w:t>
      </w:r>
      <w:r w:rsidRPr="00606927">
        <w:rPr>
          <w:rFonts w:hint="eastAsia"/>
          <w:kern w:val="2"/>
          <w:sz w:val="18"/>
          <w:szCs w:val="18"/>
        </w:rPr>
        <w:t>月</w:t>
      </w:r>
      <w:r w:rsidRPr="00606927">
        <w:rPr>
          <w:kern w:val="2"/>
          <w:sz w:val="18"/>
          <w:szCs w:val="18"/>
        </w:rPr>
        <w:t>28</w:t>
      </w:r>
      <w:r w:rsidRPr="00606927">
        <w:rPr>
          <w:rFonts w:hint="eastAsia"/>
          <w:kern w:val="2"/>
          <w:sz w:val="18"/>
          <w:szCs w:val="18"/>
        </w:rPr>
        <w:t>日，向符合条件的</w:t>
      </w:r>
      <w:r w:rsidRPr="00606927">
        <w:rPr>
          <w:kern w:val="2"/>
          <w:sz w:val="18"/>
          <w:szCs w:val="18"/>
        </w:rPr>
        <w:t>51</w:t>
      </w:r>
      <w:r w:rsidRPr="00606927">
        <w:rPr>
          <w:rFonts w:hint="eastAsia"/>
          <w:kern w:val="2"/>
          <w:sz w:val="18"/>
          <w:szCs w:val="18"/>
        </w:rPr>
        <w:t>名激励对象授予</w:t>
      </w:r>
      <w:r w:rsidRPr="00606927">
        <w:rPr>
          <w:kern w:val="2"/>
          <w:sz w:val="18"/>
          <w:szCs w:val="18"/>
        </w:rPr>
        <w:t>3,750.00</w:t>
      </w:r>
      <w:r w:rsidRPr="00606927">
        <w:rPr>
          <w:rFonts w:hint="eastAsia"/>
          <w:kern w:val="2"/>
          <w:sz w:val="18"/>
          <w:szCs w:val="18"/>
        </w:rPr>
        <w:t>万股限制性股票，授予价格为</w:t>
      </w:r>
      <w:r w:rsidRPr="00606927">
        <w:rPr>
          <w:kern w:val="2"/>
          <w:sz w:val="18"/>
          <w:szCs w:val="18"/>
        </w:rPr>
        <w:t>4.00</w:t>
      </w:r>
      <w:r w:rsidRPr="00606927">
        <w:rPr>
          <w:rFonts w:hint="eastAsia"/>
          <w:kern w:val="2"/>
          <w:sz w:val="18"/>
          <w:szCs w:val="18"/>
        </w:rPr>
        <w:t>元</w:t>
      </w:r>
      <w:r w:rsidRPr="00606927">
        <w:rPr>
          <w:kern w:val="2"/>
          <w:sz w:val="18"/>
          <w:szCs w:val="18"/>
        </w:rPr>
        <w:t>/</w:t>
      </w:r>
      <w:r w:rsidRPr="00606927">
        <w:rPr>
          <w:rFonts w:hint="eastAsia"/>
          <w:kern w:val="2"/>
          <w:sz w:val="18"/>
          <w:szCs w:val="18"/>
        </w:rPr>
        <w:t>股。公司独立董事对此发表了独立意见，公司监事会对授予的激励对象名单及授予事项进行审核并发表了核查意见。</w:t>
      </w:r>
    </w:p>
    <w:p w:rsidR="008D4B2E" w:rsidRPr="00606927" w:rsidRDefault="008D4B2E" w:rsidP="00606927">
      <w:pPr>
        <w:pStyle w:val="a3"/>
        <w:spacing w:before="0" w:beforeAutospacing="0" w:after="0" w:afterAutospacing="0"/>
        <w:ind w:firstLineChars="200" w:firstLine="360"/>
        <w:jc w:val="both"/>
        <w:divId w:val="824975226"/>
        <w:rPr>
          <w:kern w:val="2"/>
          <w:sz w:val="18"/>
          <w:szCs w:val="18"/>
        </w:rPr>
      </w:pPr>
      <w:r w:rsidRPr="00606927">
        <w:rPr>
          <w:kern w:val="2"/>
          <w:sz w:val="18"/>
          <w:szCs w:val="18"/>
        </w:rPr>
        <w:t>2023</w:t>
      </w:r>
      <w:r w:rsidRPr="00606927">
        <w:rPr>
          <w:rFonts w:hint="eastAsia"/>
          <w:kern w:val="2"/>
          <w:sz w:val="18"/>
          <w:szCs w:val="18"/>
        </w:rPr>
        <w:t>年</w:t>
      </w:r>
      <w:r w:rsidRPr="00606927">
        <w:rPr>
          <w:kern w:val="2"/>
          <w:sz w:val="18"/>
          <w:szCs w:val="18"/>
        </w:rPr>
        <w:t>9</w:t>
      </w:r>
      <w:r w:rsidRPr="00606927">
        <w:rPr>
          <w:rFonts w:hint="eastAsia"/>
          <w:kern w:val="2"/>
          <w:sz w:val="18"/>
          <w:szCs w:val="18"/>
        </w:rPr>
        <w:t>月</w:t>
      </w:r>
      <w:r w:rsidRPr="00606927">
        <w:rPr>
          <w:kern w:val="2"/>
          <w:sz w:val="18"/>
          <w:szCs w:val="18"/>
        </w:rPr>
        <w:t>20</w:t>
      </w:r>
      <w:r w:rsidRPr="00606927">
        <w:rPr>
          <w:rFonts w:hint="eastAsia"/>
          <w:kern w:val="2"/>
          <w:sz w:val="18"/>
          <w:szCs w:val="18"/>
        </w:rPr>
        <w:t>日，公司召开第八届董事会第十二次会议和第八届监事会第十四次会议，审议通过了《关于公司</w:t>
      </w:r>
      <w:r w:rsidRPr="00606927">
        <w:rPr>
          <w:kern w:val="2"/>
          <w:sz w:val="18"/>
          <w:szCs w:val="18"/>
        </w:rPr>
        <w:t>2022</w:t>
      </w:r>
      <w:r w:rsidRPr="00606927">
        <w:rPr>
          <w:rFonts w:hint="eastAsia"/>
          <w:kern w:val="2"/>
          <w:sz w:val="18"/>
          <w:szCs w:val="18"/>
        </w:rPr>
        <w:t>年股票期权与限制性股票激励计划第一个行权期期权行权条件成就及调整行权价格的议案》《关于公司</w:t>
      </w:r>
      <w:r w:rsidRPr="00606927">
        <w:rPr>
          <w:kern w:val="2"/>
          <w:sz w:val="18"/>
          <w:szCs w:val="18"/>
        </w:rPr>
        <w:t>2022</w:t>
      </w:r>
      <w:r w:rsidRPr="00606927">
        <w:rPr>
          <w:rFonts w:hint="eastAsia"/>
          <w:kern w:val="2"/>
          <w:sz w:val="18"/>
          <w:szCs w:val="18"/>
        </w:rPr>
        <w:t>年股票期权与限制性股票激励计划第一个解除限售期解除限售条件成就的议案》，董事会认为本次激励计划第一个行权期行权条件及第一个解除限售期解除限售条件已经成就，本次符合行权条件的激励对象共</w:t>
      </w:r>
      <w:r w:rsidRPr="00606927">
        <w:rPr>
          <w:kern w:val="2"/>
          <w:sz w:val="18"/>
          <w:szCs w:val="18"/>
        </w:rPr>
        <w:t>248</w:t>
      </w:r>
      <w:r w:rsidRPr="00606927">
        <w:rPr>
          <w:rFonts w:hint="eastAsia"/>
          <w:kern w:val="2"/>
          <w:sz w:val="18"/>
          <w:szCs w:val="18"/>
        </w:rPr>
        <w:t>人，可行权的股票期权数量为</w:t>
      </w:r>
      <w:r w:rsidRPr="00606927">
        <w:rPr>
          <w:kern w:val="2"/>
          <w:sz w:val="18"/>
          <w:szCs w:val="18"/>
        </w:rPr>
        <w:t>947.20</w:t>
      </w:r>
      <w:r w:rsidRPr="00606927">
        <w:rPr>
          <w:rFonts w:hint="eastAsia"/>
          <w:kern w:val="2"/>
          <w:sz w:val="18"/>
          <w:szCs w:val="18"/>
        </w:rPr>
        <w:t>万份；本</w:t>
      </w:r>
      <w:r w:rsidRPr="00606927">
        <w:rPr>
          <w:rFonts w:hint="eastAsia"/>
          <w:kern w:val="2"/>
          <w:sz w:val="18"/>
          <w:szCs w:val="18"/>
        </w:rPr>
        <w:lastRenderedPageBreak/>
        <w:t>次符合解除限售条件的激励对象共</w:t>
      </w:r>
      <w:r w:rsidRPr="00606927">
        <w:rPr>
          <w:kern w:val="2"/>
          <w:sz w:val="18"/>
          <w:szCs w:val="18"/>
        </w:rPr>
        <w:t>244</w:t>
      </w:r>
      <w:r w:rsidRPr="00606927">
        <w:rPr>
          <w:rFonts w:hint="eastAsia"/>
          <w:kern w:val="2"/>
          <w:sz w:val="18"/>
          <w:szCs w:val="18"/>
        </w:rPr>
        <w:t>人，可解除限售的限制性股票数量为</w:t>
      </w:r>
      <w:r w:rsidRPr="00606927">
        <w:rPr>
          <w:kern w:val="2"/>
          <w:sz w:val="18"/>
          <w:szCs w:val="18"/>
        </w:rPr>
        <w:t>636.40</w:t>
      </w:r>
      <w:r w:rsidRPr="00606927">
        <w:rPr>
          <w:rFonts w:hint="eastAsia"/>
          <w:kern w:val="2"/>
          <w:sz w:val="18"/>
          <w:szCs w:val="18"/>
        </w:rPr>
        <w:t>万股。公司独立董事对相关事项发表了同意的独立意见</w:t>
      </w:r>
      <w:r w:rsidRPr="00606927">
        <w:rPr>
          <w:kern w:val="2"/>
          <w:sz w:val="18"/>
          <w:szCs w:val="18"/>
        </w:rPr>
        <w:t>,</w:t>
      </w:r>
      <w:r w:rsidRPr="00606927">
        <w:rPr>
          <w:rFonts w:hint="eastAsia"/>
          <w:kern w:val="2"/>
          <w:sz w:val="18"/>
          <w:szCs w:val="18"/>
        </w:rPr>
        <w:t>监事会对相关事项并发表了核查意见。</w:t>
      </w:r>
    </w:p>
    <w:p w:rsidR="008D4B2E" w:rsidRPr="00606927" w:rsidRDefault="008D4B2E" w:rsidP="00606927">
      <w:pPr>
        <w:pStyle w:val="a3"/>
        <w:spacing w:before="0" w:beforeAutospacing="0" w:after="0" w:afterAutospacing="0"/>
        <w:ind w:firstLineChars="200" w:firstLine="360"/>
        <w:jc w:val="both"/>
        <w:divId w:val="824975226"/>
        <w:rPr>
          <w:kern w:val="2"/>
          <w:sz w:val="18"/>
          <w:szCs w:val="18"/>
        </w:rPr>
      </w:pPr>
      <w:r w:rsidRPr="00606927">
        <w:rPr>
          <w:kern w:val="2"/>
          <w:sz w:val="18"/>
          <w:szCs w:val="18"/>
        </w:rPr>
        <w:t>2023</w:t>
      </w:r>
      <w:r w:rsidRPr="00606927">
        <w:rPr>
          <w:rFonts w:hint="eastAsia"/>
          <w:kern w:val="2"/>
          <w:sz w:val="18"/>
          <w:szCs w:val="18"/>
        </w:rPr>
        <w:t>年</w:t>
      </w:r>
      <w:r w:rsidRPr="00606927">
        <w:rPr>
          <w:kern w:val="2"/>
          <w:sz w:val="18"/>
          <w:szCs w:val="18"/>
        </w:rPr>
        <w:t>10</w:t>
      </w:r>
      <w:r w:rsidRPr="00606927">
        <w:rPr>
          <w:rFonts w:hint="eastAsia"/>
          <w:kern w:val="2"/>
          <w:sz w:val="18"/>
          <w:szCs w:val="18"/>
        </w:rPr>
        <w:t>月</w:t>
      </w:r>
      <w:r w:rsidRPr="00606927">
        <w:rPr>
          <w:kern w:val="2"/>
          <w:sz w:val="18"/>
          <w:szCs w:val="18"/>
        </w:rPr>
        <w:t>23</w:t>
      </w:r>
      <w:r w:rsidRPr="00606927">
        <w:rPr>
          <w:rFonts w:hint="eastAsia"/>
          <w:kern w:val="2"/>
          <w:sz w:val="18"/>
          <w:szCs w:val="18"/>
        </w:rPr>
        <w:t>日，公司召开第八届董事会第十三次会议和第八届监事会第十五次会议，审议通过了《关于公司</w:t>
      </w:r>
      <w:r w:rsidRPr="00606927">
        <w:rPr>
          <w:kern w:val="2"/>
          <w:sz w:val="18"/>
          <w:szCs w:val="18"/>
        </w:rPr>
        <w:t>2021</w:t>
      </w:r>
      <w:r w:rsidRPr="00606927">
        <w:rPr>
          <w:rFonts w:hint="eastAsia"/>
          <w:kern w:val="2"/>
          <w:sz w:val="18"/>
          <w:szCs w:val="18"/>
        </w:rPr>
        <w:t>年限制性股票激励计划第二个解除限售期解除限售条件成就的议案》，董事会认为公司</w:t>
      </w:r>
      <w:r w:rsidRPr="00606927">
        <w:rPr>
          <w:kern w:val="2"/>
          <w:sz w:val="18"/>
          <w:szCs w:val="18"/>
        </w:rPr>
        <w:t>2021</w:t>
      </w:r>
      <w:r w:rsidRPr="00606927">
        <w:rPr>
          <w:rFonts w:hint="eastAsia"/>
          <w:kern w:val="2"/>
          <w:sz w:val="18"/>
          <w:szCs w:val="18"/>
        </w:rPr>
        <w:t>年限制性股票激励计划第二个解除限售期解除限售条件已成就，本次符合解除限售条件的激励对象共</w:t>
      </w:r>
      <w:r w:rsidRPr="00606927">
        <w:rPr>
          <w:kern w:val="2"/>
          <w:sz w:val="18"/>
          <w:szCs w:val="18"/>
        </w:rPr>
        <w:t>20</w:t>
      </w:r>
      <w:r w:rsidRPr="00606927">
        <w:rPr>
          <w:rFonts w:hint="eastAsia"/>
          <w:kern w:val="2"/>
          <w:sz w:val="18"/>
          <w:szCs w:val="18"/>
        </w:rPr>
        <w:t>人，可解除限售的限制性股票数量为</w:t>
      </w:r>
      <w:r w:rsidRPr="00606927">
        <w:rPr>
          <w:kern w:val="2"/>
          <w:sz w:val="18"/>
          <w:szCs w:val="18"/>
        </w:rPr>
        <w:t>588.00</w:t>
      </w:r>
      <w:r w:rsidRPr="00606927">
        <w:rPr>
          <w:rFonts w:hint="eastAsia"/>
          <w:kern w:val="2"/>
          <w:sz w:val="18"/>
          <w:szCs w:val="18"/>
        </w:rPr>
        <w:t>万股。公司监事会对相关事项并发表了核查意见。</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股份变动的过户情况</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606927" w:rsidRDefault="008D4B2E" w:rsidP="00606927">
      <w:pPr>
        <w:pStyle w:val="a3"/>
        <w:ind w:firstLineChars="200" w:firstLine="360"/>
        <w:divId w:val="267783025"/>
        <w:rPr>
          <w:kern w:val="2"/>
          <w:sz w:val="18"/>
          <w:szCs w:val="18"/>
        </w:rPr>
      </w:pPr>
      <w:r w:rsidRPr="00606927">
        <w:rPr>
          <w:kern w:val="2"/>
          <w:sz w:val="18"/>
          <w:szCs w:val="18"/>
        </w:rPr>
        <w:t>2023</w:t>
      </w:r>
      <w:r w:rsidRPr="00606927">
        <w:rPr>
          <w:rFonts w:hint="eastAsia"/>
          <w:kern w:val="2"/>
          <w:sz w:val="18"/>
          <w:szCs w:val="18"/>
        </w:rPr>
        <w:t>年</w:t>
      </w:r>
      <w:r w:rsidRPr="00606927">
        <w:rPr>
          <w:kern w:val="2"/>
          <w:sz w:val="18"/>
          <w:szCs w:val="18"/>
        </w:rPr>
        <w:t>7</w:t>
      </w:r>
      <w:r w:rsidRPr="00606927">
        <w:rPr>
          <w:rFonts w:hint="eastAsia"/>
          <w:kern w:val="2"/>
          <w:sz w:val="18"/>
          <w:szCs w:val="18"/>
        </w:rPr>
        <w:t>月</w:t>
      </w:r>
      <w:r w:rsidRPr="00606927">
        <w:rPr>
          <w:kern w:val="2"/>
          <w:sz w:val="18"/>
          <w:szCs w:val="18"/>
        </w:rPr>
        <w:t>18</w:t>
      </w:r>
      <w:r w:rsidRPr="00606927">
        <w:rPr>
          <w:rFonts w:hint="eastAsia"/>
          <w:kern w:val="2"/>
          <w:sz w:val="18"/>
          <w:szCs w:val="18"/>
        </w:rPr>
        <w:t>日，公司披露了《关于注销部分股票期权和回购注销部分限制性股票完成的公告》，因3名激励对象离职，公司完成了对其</w:t>
      </w:r>
      <w:proofErr w:type="gramStart"/>
      <w:r w:rsidRPr="00606927">
        <w:rPr>
          <w:rFonts w:hint="eastAsia"/>
          <w:kern w:val="2"/>
          <w:sz w:val="18"/>
          <w:szCs w:val="18"/>
        </w:rPr>
        <w:t>已获授但尚未</w:t>
      </w:r>
      <w:proofErr w:type="gramEnd"/>
      <w:r w:rsidRPr="00606927">
        <w:rPr>
          <w:rFonts w:hint="eastAsia"/>
          <w:kern w:val="2"/>
          <w:sz w:val="18"/>
          <w:szCs w:val="18"/>
        </w:rPr>
        <w:t>解除限售的限制性股票合计10,000股予以回购注销，其</w:t>
      </w:r>
      <w:proofErr w:type="gramStart"/>
      <w:r w:rsidRPr="00606927">
        <w:rPr>
          <w:rFonts w:hint="eastAsia"/>
          <w:kern w:val="2"/>
          <w:sz w:val="18"/>
          <w:szCs w:val="18"/>
        </w:rPr>
        <w:t>已获授但尚未</w:t>
      </w:r>
      <w:proofErr w:type="gramEnd"/>
      <w:r w:rsidRPr="00606927">
        <w:rPr>
          <w:rFonts w:hint="eastAsia"/>
          <w:kern w:val="2"/>
          <w:sz w:val="18"/>
          <w:szCs w:val="18"/>
        </w:rPr>
        <w:t>行权的股票期权合计200,000份予以注销。</w:t>
      </w:r>
    </w:p>
    <w:p w:rsidR="008D4B2E" w:rsidRPr="00606927" w:rsidRDefault="008D4B2E" w:rsidP="00606927">
      <w:pPr>
        <w:pStyle w:val="a3"/>
        <w:ind w:firstLineChars="200" w:firstLine="360"/>
        <w:divId w:val="267783025"/>
        <w:rPr>
          <w:kern w:val="2"/>
          <w:sz w:val="18"/>
          <w:szCs w:val="18"/>
        </w:rPr>
      </w:pPr>
      <w:r w:rsidRPr="00606927">
        <w:rPr>
          <w:rFonts w:hint="eastAsia"/>
          <w:kern w:val="2"/>
          <w:sz w:val="18"/>
          <w:szCs w:val="18"/>
        </w:rPr>
        <w:t>2023年10月19日，公司披露了《关于2023年限制性股票激励计划限制性股票授予登记完成的公告》，公司完成了2023年限制性股票的登记工作，本次实际向51名激励对象授予3,750万股限制性股票，该次授予的限制性股票的上市日为2022年10月20日。</w:t>
      </w:r>
    </w:p>
    <w:p w:rsidR="00BA0365" w:rsidRDefault="008D4B2E" w:rsidP="00606927">
      <w:pPr>
        <w:pStyle w:val="a3"/>
        <w:spacing w:before="0" w:beforeAutospacing="0" w:after="0" w:afterAutospacing="0"/>
        <w:rPr>
          <w:sz w:val="18"/>
          <w:szCs w:val="18"/>
        </w:rPr>
      </w:pPr>
      <w:r>
        <w:rPr>
          <w:sz w:val="18"/>
          <w:szCs w:val="18"/>
        </w:rPr>
        <w:t>股份变动对最近一年和最近一期基本每股收益和稀释每股收益、归属于公司普通股股东的每股净资产等财务指标的影响</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公司认为必要或证券监管机构要求披露的其他内容</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pStyle w:val="3"/>
        <w:spacing w:line="280" w:lineRule="exact"/>
        <w:jc w:val="left"/>
        <w:rPr>
          <w:rFonts w:ascii="宋体" w:hAnsi="宋体" w:cs="宋体"/>
          <w:b/>
          <w:bCs/>
        </w:rPr>
      </w:pPr>
      <w:bookmarkStart w:id="134" w:name="_Toc989023"/>
      <w:r>
        <w:rPr>
          <w:rFonts w:ascii="宋体" w:hAnsi="宋体" w:cs="宋体"/>
          <w:b/>
          <w:bCs/>
        </w:rPr>
        <w:t>2、限售股份变动情况</w:t>
      </w:r>
      <w:bookmarkEnd w:id="134"/>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BA0365" w:rsidRDefault="008D4B2E">
      <w:pPr>
        <w:spacing w:before="120" w:after="120" w:line="240" w:lineRule="exact"/>
        <w:jc w:val="right"/>
        <w:rPr>
          <w:rFonts w:ascii="宋体" w:eastAsia="宋体" w:hAnsi="宋体" w:cs="宋体"/>
          <w:sz w:val="18"/>
          <w:szCs w:val="18"/>
        </w:rPr>
      </w:pPr>
      <w:r>
        <w:rPr>
          <w:rFonts w:ascii="宋体" w:eastAsia="宋体" w:hAnsi="宋体" w:cs="宋体"/>
          <w:sz w:val="18"/>
          <w:szCs w:val="18"/>
        </w:rPr>
        <w:t>单位：股</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134"/>
        <w:gridCol w:w="1134"/>
        <w:gridCol w:w="1134"/>
        <w:gridCol w:w="1134"/>
        <w:gridCol w:w="1559"/>
        <w:gridCol w:w="2443"/>
      </w:tblGrid>
      <w:tr w:rsidR="00157EA0" w:rsidTr="007E18D0">
        <w:trPr>
          <w:trHeight w:val="240"/>
        </w:trPr>
        <w:tc>
          <w:tcPr>
            <w:tcW w:w="1101" w:type="dxa"/>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股东名称</w:t>
            </w:r>
          </w:p>
        </w:tc>
        <w:tc>
          <w:tcPr>
            <w:tcW w:w="1134" w:type="dxa"/>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期初限售股数</w:t>
            </w:r>
          </w:p>
        </w:tc>
        <w:tc>
          <w:tcPr>
            <w:tcW w:w="1134" w:type="dxa"/>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本期增加限售股数</w:t>
            </w:r>
          </w:p>
        </w:tc>
        <w:tc>
          <w:tcPr>
            <w:tcW w:w="1134" w:type="dxa"/>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本期解除限售股数</w:t>
            </w:r>
          </w:p>
        </w:tc>
        <w:tc>
          <w:tcPr>
            <w:tcW w:w="1134" w:type="dxa"/>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期末限售股数</w:t>
            </w:r>
          </w:p>
        </w:tc>
        <w:tc>
          <w:tcPr>
            <w:tcW w:w="1559" w:type="dxa"/>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限售原因</w:t>
            </w:r>
          </w:p>
        </w:tc>
        <w:tc>
          <w:tcPr>
            <w:tcW w:w="2443" w:type="dxa"/>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解除限售日期</w:t>
            </w:r>
          </w:p>
        </w:tc>
      </w:tr>
      <w:tr w:rsidR="00157EA0" w:rsidTr="007E18D0">
        <w:trPr>
          <w:trHeight w:val="240"/>
        </w:trPr>
        <w:tc>
          <w:tcPr>
            <w:tcW w:w="1101"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官</w:t>
            </w:r>
            <w:proofErr w:type="gramStart"/>
            <w:r>
              <w:rPr>
                <w:rFonts w:ascii="宋体" w:eastAsia="宋体" w:hAnsi="宋体" w:cs="宋体"/>
                <w:sz w:val="18"/>
                <w:szCs w:val="18"/>
              </w:rPr>
              <w:t>炳</w:t>
            </w:r>
            <w:proofErr w:type="gramEnd"/>
            <w:r>
              <w:rPr>
                <w:rFonts w:ascii="宋体" w:eastAsia="宋体" w:hAnsi="宋体" w:cs="宋体"/>
                <w:sz w:val="18"/>
                <w:szCs w:val="18"/>
              </w:rPr>
              <w:t>政</w:t>
            </w:r>
          </w:p>
        </w:tc>
        <w:tc>
          <w:tcPr>
            <w:tcW w:w="1134"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1,700,000</w:t>
            </w:r>
          </w:p>
        </w:tc>
        <w:tc>
          <w:tcPr>
            <w:tcW w:w="1134"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5,000,000</w:t>
            </w:r>
          </w:p>
        </w:tc>
        <w:tc>
          <w:tcPr>
            <w:tcW w:w="1134"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200,000</w:t>
            </w:r>
          </w:p>
        </w:tc>
        <w:tc>
          <w:tcPr>
            <w:tcW w:w="1134"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6,500,000</w:t>
            </w:r>
          </w:p>
        </w:tc>
        <w:tc>
          <w:tcPr>
            <w:tcW w:w="1559"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股权激励限售股</w:t>
            </w:r>
          </w:p>
          <w:p w:rsidR="00BA0365" w:rsidRDefault="008D4B2E">
            <w:pPr>
              <w:spacing w:line="240" w:lineRule="exact"/>
              <w:rPr>
                <w:rFonts w:ascii="宋体" w:eastAsia="宋体" w:hAnsi="宋体" w:cs="宋体"/>
                <w:sz w:val="18"/>
                <w:szCs w:val="18"/>
              </w:rPr>
            </w:pPr>
            <w:r>
              <w:rPr>
                <w:rFonts w:ascii="宋体" w:eastAsia="宋体" w:hAnsi="宋体" w:cs="宋体"/>
                <w:sz w:val="18"/>
                <w:szCs w:val="18"/>
              </w:rPr>
              <w:t>高管</w:t>
            </w:r>
            <w:proofErr w:type="gramStart"/>
            <w:r>
              <w:rPr>
                <w:rFonts w:ascii="宋体" w:eastAsia="宋体" w:hAnsi="宋体" w:cs="宋体"/>
                <w:sz w:val="18"/>
                <w:szCs w:val="18"/>
              </w:rPr>
              <w:t>锁定股</w:t>
            </w:r>
            <w:proofErr w:type="gramEnd"/>
          </w:p>
        </w:tc>
        <w:tc>
          <w:tcPr>
            <w:tcW w:w="2443"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按照股权激励解锁日期及高管法定解锁日期解除限售</w:t>
            </w:r>
          </w:p>
        </w:tc>
      </w:tr>
      <w:tr w:rsidR="00157EA0" w:rsidTr="007E18D0">
        <w:trPr>
          <w:trHeight w:val="240"/>
        </w:trPr>
        <w:tc>
          <w:tcPr>
            <w:tcW w:w="1101"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杨慧丽</w:t>
            </w:r>
          </w:p>
        </w:tc>
        <w:tc>
          <w:tcPr>
            <w:tcW w:w="1134"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950,000</w:t>
            </w:r>
          </w:p>
        </w:tc>
        <w:tc>
          <w:tcPr>
            <w:tcW w:w="1134"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1,000,000</w:t>
            </w:r>
          </w:p>
        </w:tc>
        <w:tc>
          <w:tcPr>
            <w:tcW w:w="1134"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50,000</w:t>
            </w:r>
          </w:p>
        </w:tc>
        <w:tc>
          <w:tcPr>
            <w:tcW w:w="1134"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1,900,000</w:t>
            </w:r>
          </w:p>
        </w:tc>
        <w:tc>
          <w:tcPr>
            <w:tcW w:w="1559"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股权激励限售股</w:t>
            </w:r>
          </w:p>
          <w:p w:rsidR="00BA0365" w:rsidRDefault="008D4B2E">
            <w:pPr>
              <w:spacing w:line="240" w:lineRule="exact"/>
              <w:rPr>
                <w:rFonts w:ascii="宋体" w:eastAsia="宋体" w:hAnsi="宋体" w:cs="宋体"/>
                <w:sz w:val="18"/>
                <w:szCs w:val="18"/>
              </w:rPr>
            </w:pPr>
            <w:r>
              <w:rPr>
                <w:rFonts w:ascii="宋体" w:eastAsia="宋体" w:hAnsi="宋体" w:cs="宋体"/>
                <w:sz w:val="18"/>
                <w:szCs w:val="18"/>
              </w:rPr>
              <w:t>高管</w:t>
            </w:r>
            <w:proofErr w:type="gramStart"/>
            <w:r>
              <w:rPr>
                <w:rFonts w:ascii="宋体" w:eastAsia="宋体" w:hAnsi="宋体" w:cs="宋体"/>
                <w:sz w:val="18"/>
                <w:szCs w:val="18"/>
              </w:rPr>
              <w:t>锁定股</w:t>
            </w:r>
            <w:proofErr w:type="gramEnd"/>
          </w:p>
        </w:tc>
        <w:tc>
          <w:tcPr>
            <w:tcW w:w="2443"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按照股权激励解锁日期及高管法定解锁日期解除限售</w:t>
            </w:r>
          </w:p>
        </w:tc>
      </w:tr>
      <w:tr w:rsidR="00157EA0" w:rsidTr="007E18D0">
        <w:trPr>
          <w:trHeight w:val="240"/>
        </w:trPr>
        <w:tc>
          <w:tcPr>
            <w:tcW w:w="1101"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张垚</w:t>
            </w:r>
          </w:p>
        </w:tc>
        <w:tc>
          <w:tcPr>
            <w:tcW w:w="1134"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950,000</w:t>
            </w:r>
          </w:p>
        </w:tc>
        <w:tc>
          <w:tcPr>
            <w:tcW w:w="1134"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1,000,000</w:t>
            </w:r>
          </w:p>
        </w:tc>
        <w:tc>
          <w:tcPr>
            <w:tcW w:w="1134"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50,000</w:t>
            </w:r>
          </w:p>
        </w:tc>
        <w:tc>
          <w:tcPr>
            <w:tcW w:w="1134"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1,900,000</w:t>
            </w:r>
          </w:p>
        </w:tc>
        <w:tc>
          <w:tcPr>
            <w:tcW w:w="1559"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股权激励限售股</w:t>
            </w:r>
          </w:p>
          <w:p w:rsidR="00BA0365" w:rsidRDefault="008D4B2E">
            <w:pPr>
              <w:spacing w:line="240" w:lineRule="exact"/>
              <w:rPr>
                <w:rFonts w:ascii="宋体" w:eastAsia="宋体" w:hAnsi="宋体" w:cs="宋体"/>
                <w:sz w:val="18"/>
                <w:szCs w:val="18"/>
              </w:rPr>
            </w:pPr>
            <w:r>
              <w:rPr>
                <w:rFonts w:ascii="宋体" w:eastAsia="宋体" w:hAnsi="宋体" w:cs="宋体"/>
                <w:sz w:val="18"/>
                <w:szCs w:val="18"/>
              </w:rPr>
              <w:t>高管</w:t>
            </w:r>
            <w:proofErr w:type="gramStart"/>
            <w:r>
              <w:rPr>
                <w:rFonts w:ascii="宋体" w:eastAsia="宋体" w:hAnsi="宋体" w:cs="宋体"/>
                <w:sz w:val="18"/>
                <w:szCs w:val="18"/>
              </w:rPr>
              <w:t>锁定股</w:t>
            </w:r>
            <w:proofErr w:type="gramEnd"/>
          </w:p>
        </w:tc>
        <w:tc>
          <w:tcPr>
            <w:tcW w:w="2443"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按照股权激励解锁日期及高管法定解锁日期解除限售</w:t>
            </w:r>
          </w:p>
        </w:tc>
      </w:tr>
      <w:tr w:rsidR="00157EA0" w:rsidTr="007E18D0">
        <w:trPr>
          <w:trHeight w:val="240"/>
        </w:trPr>
        <w:tc>
          <w:tcPr>
            <w:tcW w:w="1101"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李云涛</w:t>
            </w:r>
          </w:p>
        </w:tc>
        <w:tc>
          <w:tcPr>
            <w:tcW w:w="1134"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200,000</w:t>
            </w:r>
          </w:p>
        </w:tc>
        <w:tc>
          <w:tcPr>
            <w:tcW w:w="1134"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1,000,000</w:t>
            </w:r>
          </w:p>
        </w:tc>
        <w:tc>
          <w:tcPr>
            <w:tcW w:w="1134"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50,000</w:t>
            </w:r>
          </w:p>
        </w:tc>
        <w:tc>
          <w:tcPr>
            <w:tcW w:w="1134"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1,150,000</w:t>
            </w:r>
          </w:p>
        </w:tc>
        <w:tc>
          <w:tcPr>
            <w:tcW w:w="1559"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股权激励限售股</w:t>
            </w:r>
          </w:p>
          <w:p w:rsidR="00BA0365" w:rsidRDefault="008D4B2E">
            <w:pPr>
              <w:spacing w:line="240" w:lineRule="exact"/>
              <w:rPr>
                <w:rFonts w:ascii="宋体" w:eastAsia="宋体" w:hAnsi="宋体" w:cs="宋体"/>
                <w:sz w:val="18"/>
                <w:szCs w:val="18"/>
              </w:rPr>
            </w:pPr>
            <w:r>
              <w:rPr>
                <w:rFonts w:ascii="宋体" w:eastAsia="宋体" w:hAnsi="宋体" w:cs="宋体"/>
                <w:sz w:val="18"/>
                <w:szCs w:val="18"/>
              </w:rPr>
              <w:t>高管</w:t>
            </w:r>
            <w:proofErr w:type="gramStart"/>
            <w:r>
              <w:rPr>
                <w:rFonts w:ascii="宋体" w:eastAsia="宋体" w:hAnsi="宋体" w:cs="宋体"/>
                <w:sz w:val="18"/>
                <w:szCs w:val="18"/>
              </w:rPr>
              <w:t>锁定股</w:t>
            </w:r>
            <w:proofErr w:type="gramEnd"/>
          </w:p>
        </w:tc>
        <w:tc>
          <w:tcPr>
            <w:tcW w:w="2443"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按照股权激励解锁日期及高管法定解锁日期解除限售</w:t>
            </w:r>
          </w:p>
        </w:tc>
      </w:tr>
      <w:tr w:rsidR="00157EA0" w:rsidTr="007E18D0">
        <w:trPr>
          <w:trHeight w:val="240"/>
        </w:trPr>
        <w:tc>
          <w:tcPr>
            <w:tcW w:w="1101"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向坤宏</w:t>
            </w:r>
          </w:p>
        </w:tc>
        <w:tc>
          <w:tcPr>
            <w:tcW w:w="1134"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200,000</w:t>
            </w:r>
          </w:p>
        </w:tc>
        <w:tc>
          <w:tcPr>
            <w:tcW w:w="1134"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134"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50,000</w:t>
            </w:r>
          </w:p>
        </w:tc>
        <w:tc>
          <w:tcPr>
            <w:tcW w:w="1134"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150,000</w:t>
            </w:r>
          </w:p>
        </w:tc>
        <w:tc>
          <w:tcPr>
            <w:tcW w:w="1559"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股权激励限售股</w:t>
            </w:r>
          </w:p>
          <w:p w:rsidR="00BA0365" w:rsidRDefault="008D4B2E">
            <w:pPr>
              <w:spacing w:line="240" w:lineRule="exact"/>
              <w:rPr>
                <w:rFonts w:ascii="宋体" w:eastAsia="宋体" w:hAnsi="宋体" w:cs="宋体"/>
                <w:sz w:val="18"/>
                <w:szCs w:val="18"/>
              </w:rPr>
            </w:pPr>
            <w:r>
              <w:rPr>
                <w:rFonts w:ascii="宋体" w:eastAsia="宋体" w:hAnsi="宋体" w:cs="宋体"/>
                <w:sz w:val="18"/>
                <w:szCs w:val="18"/>
              </w:rPr>
              <w:t>高管</w:t>
            </w:r>
            <w:proofErr w:type="gramStart"/>
            <w:r>
              <w:rPr>
                <w:rFonts w:ascii="宋体" w:eastAsia="宋体" w:hAnsi="宋体" w:cs="宋体"/>
                <w:sz w:val="18"/>
                <w:szCs w:val="18"/>
              </w:rPr>
              <w:t>锁定股</w:t>
            </w:r>
            <w:proofErr w:type="gramEnd"/>
          </w:p>
        </w:tc>
        <w:tc>
          <w:tcPr>
            <w:tcW w:w="2443"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按照股权激励解锁日期及高管法定解锁日期解除限售</w:t>
            </w:r>
          </w:p>
        </w:tc>
      </w:tr>
      <w:tr w:rsidR="00157EA0" w:rsidTr="007E18D0">
        <w:trPr>
          <w:trHeight w:val="240"/>
        </w:trPr>
        <w:tc>
          <w:tcPr>
            <w:tcW w:w="1101"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刘峰</w:t>
            </w:r>
          </w:p>
        </w:tc>
        <w:tc>
          <w:tcPr>
            <w:tcW w:w="1134"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200,000</w:t>
            </w:r>
          </w:p>
        </w:tc>
        <w:tc>
          <w:tcPr>
            <w:tcW w:w="1134"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134"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50,000</w:t>
            </w:r>
          </w:p>
        </w:tc>
        <w:tc>
          <w:tcPr>
            <w:tcW w:w="1134"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150,000</w:t>
            </w:r>
          </w:p>
        </w:tc>
        <w:tc>
          <w:tcPr>
            <w:tcW w:w="1559"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股权激励限售股</w:t>
            </w:r>
          </w:p>
          <w:p w:rsidR="00BA0365" w:rsidRDefault="008D4B2E">
            <w:pPr>
              <w:spacing w:line="240" w:lineRule="exact"/>
              <w:rPr>
                <w:rFonts w:ascii="宋体" w:eastAsia="宋体" w:hAnsi="宋体" w:cs="宋体"/>
                <w:sz w:val="18"/>
                <w:szCs w:val="18"/>
              </w:rPr>
            </w:pPr>
            <w:r>
              <w:rPr>
                <w:rFonts w:ascii="宋体" w:eastAsia="宋体" w:hAnsi="宋体" w:cs="宋体"/>
                <w:sz w:val="18"/>
                <w:szCs w:val="18"/>
              </w:rPr>
              <w:t>高管</w:t>
            </w:r>
            <w:proofErr w:type="gramStart"/>
            <w:r>
              <w:rPr>
                <w:rFonts w:ascii="宋体" w:eastAsia="宋体" w:hAnsi="宋体" w:cs="宋体"/>
                <w:sz w:val="18"/>
                <w:szCs w:val="18"/>
              </w:rPr>
              <w:t>锁定股</w:t>
            </w:r>
            <w:proofErr w:type="gramEnd"/>
          </w:p>
        </w:tc>
        <w:tc>
          <w:tcPr>
            <w:tcW w:w="2443"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按照股权激励解锁日期及高管法定解锁日期解除限售</w:t>
            </w:r>
          </w:p>
        </w:tc>
      </w:tr>
      <w:tr w:rsidR="00157EA0" w:rsidTr="007E18D0">
        <w:trPr>
          <w:trHeight w:val="240"/>
        </w:trPr>
        <w:tc>
          <w:tcPr>
            <w:tcW w:w="1101"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武守涛</w:t>
            </w:r>
          </w:p>
        </w:tc>
        <w:tc>
          <w:tcPr>
            <w:tcW w:w="1134"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200,000</w:t>
            </w:r>
          </w:p>
        </w:tc>
        <w:tc>
          <w:tcPr>
            <w:tcW w:w="1134"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134"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50,000</w:t>
            </w:r>
          </w:p>
        </w:tc>
        <w:tc>
          <w:tcPr>
            <w:tcW w:w="1134"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150,000</w:t>
            </w:r>
          </w:p>
        </w:tc>
        <w:tc>
          <w:tcPr>
            <w:tcW w:w="1559"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股权激励限售股</w:t>
            </w:r>
          </w:p>
          <w:p w:rsidR="00BA0365" w:rsidRDefault="008D4B2E">
            <w:pPr>
              <w:spacing w:line="240" w:lineRule="exact"/>
              <w:rPr>
                <w:rFonts w:ascii="宋体" w:eastAsia="宋体" w:hAnsi="宋体" w:cs="宋体"/>
                <w:sz w:val="18"/>
                <w:szCs w:val="18"/>
              </w:rPr>
            </w:pPr>
            <w:r>
              <w:rPr>
                <w:rFonts w:ascii="宋体" w:eastAsia="宋体" w:hAnsi="宋体" w:cs="宋体"/>
                <w:sz w:val="18"/>
                <w:szCs w:val="18"/>
              </w:rPr>
              <w:t>高管</w:t>
            </w:r>
            <w:proofErr w:type="gramStart"/>
            <w:r>
              <w:rPr>
                <w:rFonts w:ascii="宋体" w:eastAsia="宋体" w:hAnsi="宋体" w:cs="宋体"/>
                <w:sz w:val="18"/>
                <w:szCs w:val="18"/>
              </w:rPr>
              <w:t>锁定股</w:t>
            </w:r>
            <w:proofErr w:type="gramEnd"/>
          </w:p>
        </w:tc>
        <w:tc>
          <w:tcPr>
            <w:tcW w:w="2443"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按照股权激励解锁日期及高管法定解锁日期解除限售</w:t>
            </w:r>
          </w:p>
        </w:tc>
      </w:tr>
      <w:tr w:rsidR="00157EA0" w:rsidTr="007E18D0">
        <w:trPr>
          <w:trHeight w:val="240"/>
        </w:trPr>
        <w:tc>
          <w:tcPr>
            <w:tcW w:w="1101"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王志明</w:t>
            </w:r>
          </w:p>
        </w:tc>
        <w:tc>
          <w:tcPr>
            <w:tcW w:w="1134"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200,000</w:t>
            </w:r>
          </w:p>
        </w:tc>
        <w:tc>
          <w:tcPr>
            <w:tcW w:w="1134"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134"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50,000</w:t>
            </w:r>
          </w:p>
        </w:tc>
        <w:tc>
          <w:tcPr>
            <w:tcW w:w="1134"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150,000</w:t>
            </w:r>
          </w:p>
        </w:tc>
        <w:tc>
          <w:tcPr>
            <w:tcW w:w="1559"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股权激励限售股</w:t>
            </w:r>
          </w:p>
          <w:p w:rsidR="00BA0365" w:rsidRDefault="008D4B2E">
            <w:pPr>
              <w:spacing w:line="240" w:lineRule="exact"/>
              <w:rPr>
                <w:rFonts w:ascii="宋体" w:eastAsia="宋体" w:hAnsi="宋体" w:cs="宋体"/>
                <w:sz w:val="18"/>
                <w:szCs w:val="18"/>
              </w:rPr>
            </w:pPr>
            <w:r>
              <w:rPr>
                <w:rFonts w:ascii="宋体" w:eastAsia="宋体" w:hAnsi="宋体" w:cs="宋体"/>
                <w:sz w:val="18"/>
                <w:szCs w:val="18"/>
              </w:rPr>
              <w:t>高管</w:t>
            </w:r>
            <w:proofErr w:type="gramStart"/>
            <w:r>
              <w:rPr>
                <w:rFonts w:ascii="宋体" w:eastAsia="宋体" w:hAnsi="宋体" w:cs="宋体"/>
                <w:sz w:val="18"/>
                <w:szCs w:val="18"/>
              </w:rPr>
              <w:t>锁定股</w:t>
            </w:r>
            <w:proofErr w:type="gramEnd"/>
          </w:p>
        </w:tc>
        <w:tc>
          <w:tcPr>
            <w:tcW w:w="2443"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按照股权激励解锁日期及高管法定解锁日期解除限售</w:t>
            </w:r>
          </w:p>
        </w:tc>
      </w:tr>
      <w:tr w:rsidR="00157EA0" w:rsidTr="007E18D0">
        <w:trPr>
          <w:trHeight w:val="240"/>
        </w:trPr>
        <w:tc>
          <w:tcPr>
            <w:tcW w:w="1101"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鲁丽娜</w:t>
            </w:r>
          </w:p>
        </w:tc>
        <w:tc>
          <w:tcPr>
            <w:tcW w:w="1134"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254,600</w:t>
            </w:r>
          </w:p>
        </w:tc>
        <w:tc>
          <w:tcPr>
            <w:tcW w:w="1134"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134"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50,000</w:t>
            </w:r>
          </w:p>
        </w:tc>
        <w:tc>
          <w:tcPr>
            <w:tcW w:w="1134"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204,600</w:t>
            </w:r>
          </w:p>
        </w:tc>
        <w:tc>
          <w:tcPr>
            <w:tcW w:w="1559"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股权激励限售股</w:t>
            </w:r>
          </w:p>
          <w:p w:rsidR="00BA0365" w:rsidRDefault="008D4B2E">
            <w:pPr>
              <w:spacing w:line="240" w:lineRule="exact"/>
              <w:rPr>
                <w:rFonts w:ascii="宋体" w:eastAsia="宋体" w:hAnsi="宋体" w:cs="宋体"/>
                <w:sz w:val="18"/>
                <w:szCs w:val="18"/>
              </w:rPr>
            </w:pPr>
            <w:r>
              <w:rPr>
                <w:rFonts w:ascii="宋体" w:eastAsia="宋体" w:hAnsi="宋体" w:cs="宋体"/>
                <w:sz w:val="18"/>
                <w:szCs w:val="18"/>
              </w:rPr>
              <w:t>高管</w:t>
            </w:r>
            <w:proofErr w:type="gramStart"/>
            <w:r>
              <w:rPr>
                <w:rFonts w:ascii="宋体" w:eastAsia="宋体" w:hAnsi="宋体" w:cs="宋体"/>
                <w:sz w:val="18"/>
                <w:szCs w:val="18"/>
              </w:rPr>
              <w:t>锁定股</w:t>
            </w:r>
            <w:proofErr w:type="gramEnd"/>
          </w:p>
        </w:tc>
        <w:tc>
          <w:tcPr>
            <w:tcW w:w="2443"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按照股权激励解锁日期及高管法定解锁日期解除限售</w:t>
            </w:r>
          </w:p>
        </w:tc>
      </w:tr>
      <w:tr w:rsidR="00157EA0" w:rsidTr="007E18D0">
        <w:trPr>
          <w:trHeight w:val="240"/>
        </w:trPr>
        <w:tc>
          <w:tcPr>
            <w:tcW w:w="1101"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核心业务人员和骨干员工</w:t>
            </w:r>
            <w:r>
              <w:rPr>
                <w:rFonts w:ascii="宋体" w:eastAsia="宋体" w:hAnsi="宋体" w:cs="宋体"/>
                <w:sz w:val="18"/>
                <w:szCs w:val="18"/>
              </w:rPr>
              <w:lastRenderedPageBreak/>
              <w:t>（17人）</w:t>
            </w:r>
          </w:p>
        </w:tc>
        <w:tc>
          <w:tcPr>
            <w:tcW w:w="1134"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lastRenderedPageBreak/>
              <w:t>9,840,000</w:t>
            </w:r>
          </w:p>
        </w:tc>
        <w:tc>
          <w:tcPr>
            <w:tcW w:w="1134"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134"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4,920,000</w:t>
            </w:r>
          </w:p>
        </w:tc>
        <w:tc>
          <w:tcPr>
            <w:tcW w:w="1134"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4,920,000</w:t>
            </w:r>
          </w:p>
        </w:tc>
        <w:tc>
          <w:tcPr>
            <w:tcW w:w="1559"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股权激励限售股</w:t>
            </w:r>
          </w:p>
        </w:tc>
        <w:tc>
          <w:tcPr>
            <w:tcW w:w="2443"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按照股权激励解锁日期解除限售</w:t>
            </w:r>
          </w:p>
        </w:tc>
      </w:tr>
      <w:tr w:rsidR="00157EA0" w:rsidTr="007E18D0">
        <w:trPr>
          <w:trHeight w:val="240"/>
        </w:trPr>
        <w:tc>
          <w:tcPr>
            <w:tcW w:w="1101"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lastRenderedPageBreak/>
              <w:t>核心业务人员和骨干员工（235人）</w:t>
            </w:r>
          </w:p>
        </w:tc>
        <w:tc>
          <w:tcPr>
            <w:tcW w:w="1134"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13,520,000</w:t>
            </w:r>
          </w:p>
        </w:tc>
        <w:tc>
          <w:tcPr>
            <w:tcW w:w="1134"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134"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5,404,000</w:t>
            </w:r>
          </w:p>
        </w:tc>
        <w:tc>
          <w:tcPr>
            <w:tcW w:w="1134"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8,106,000</w:t>
            </w:r>
          </w:p>
        </w:tc>
        <w:tc>
          <w:tcPr>
            <w:tcW w:w="1559"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股权激励限售股</w:t>
            </w:r>
          </w:p>
        </w:tc>
        <w:tc>
          <w:tcPr>
            <w:tcW w:w="2443"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按照股权激励解锁日期解除限售</w:t>
            </w:r>
          </w:p>
        </w:tc>
      </w:tr>
      <w:tr w:rsidR="00157EA0" w:rsidTr="007E18D0">
        <w:trPr>
          <w:trHeight w:val="240"/>
        </w:trPr>
        <w:tc>
          <w:tcPr>
            <w:tcW w:w="1101"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核心业务人员和骨干员工（47人）</w:t>
            </w:r>
          </w:p>
        </w:tc>
        <w:tc>
          <w:tcPr>
            <w:tcW w:w="1134"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134"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29,500,000</w:t>
            </w:r>
          </w:p>
        </w:tc>
        <w:tc>
          <w:tcPr>
            <w:tcW w:w="1134"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134"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29,500,000</w:t>
            </w:r>
          </w:p>
        </w:tc>
        <w:tc>
          <w:tcPr>
            <w:tcW w:w="1559"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股权激励限售股</w:t>
            </w:r>
          </w:p>
        </w:tc>
        <w:tc>
          <w:tcPr>
            <w:tcW w:w="2443" w:type="dxa"/>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按照股权激励解锁日期解除限售</w:t>
            </w:r>
          </w:p>
        </w:tc>
      </w:tr>
      <w:tr w:rsidR="00157EA0" w:rsidTr="007E18D0">
        <w:trPr>
          <w:trHeight w:val="240"/>
        </w:trPr>
        <w:tc>
          <w:tcPr>
            <w:tcW w:w="1101" w:type="dxa"/>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134"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28,214,600</w:t>
            </w:r>
          </w:p>
        </w:tc>
        <w:tc>
          <w:tcPr>
            <w:tcW w:w="1134"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37,490,000</w:t>
            </w:r>
          </w:p>
        </w:tc>
        <w:tc>
          <w:tcPr>
            <w:tcW w:w="1134"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10,924,000</w:t>
            </w:r>
          </w:p>
        </w:tc>
        <w:tc>
          <w:tcPr>
            <w:tcW w:w="1134"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54,780,600</w:t>
            </w:r>
          </w:p>
        </w:tc>
        <w:tc>
          <w:tcPr>
            <w:tcW w:w="1559" w:type="dxa"/>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2443" w:type="dxa"/>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bl>
    <w:p w:rsidR="00BA0365" w:rsidRDefault="008D4B2E">
      <w:pPr>
        <w:pStyle w:val="2"/>
        <w:spacing w:before="300" w:after="300" w:line="320" w:lineRule="exact"/>
        <w:rPr>
          <w:rFonts w:ascii="宋体" w:eastAsia="宋体" w:hAnsi="宋体" w:cs="宋体"/>
          <w:b/>
          <w:bCs/>
          <w:sz w:val="24"/>
          <w:szCs w:val="24"/>
        </w:rPr>
      </w:pPr>
      <w:bookmarkStart w:id="135" w:name="_Toc989024"/>
      <w:r>
        <w:rPr>
          <w:rFonts w:ascii="宋体" w:eastAsia="宋体" w:hAnsi="宋体" w:cs="宋体"/>
          <w:b/>
          <w:bCs/>
          <w:sz w:val="24"/>
          <w:szCs w:val="24"/>
        </w:rPr>
        <w:t>二、证券发行与上市情况</w:t>
      </w:r>
      <w:bookmarkEnd w:id="135"/>
    </w:p>
    <w:p w:rsidR="00BA0365" w:rsidRDefault="008D4B2E">
      <w:pPr>
        <w:pStyle w:val="3"/>
        <w:spacing w:line="280" w:lineRule="exact"/>
        <w:jc w:val="left"/>
        <w:rPr>
          <w:rFonts w:ascii="宋体" w:hAnsi="宋体" w:cs="宋体"/>
          <w:b/>
          <w:bCs/>
        </w:rPr>
      </w:pPr>
      <w:bookmarkStart w:id="136" w:name="_Toc989025"/>
      <w:r>
        <w:rPr>
          <w:rFonts w:ascii="宋体" w:hAnsi="宋体" w:cs="宋体"/>
          <w:b/>
          <w:bCs/>
        </w:rPr>
        <w:t>1、报告期内证券发行（不含优先股）情况</w:t>
      </w:r>
      <w:bookmarkEnd w:id="136"/>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pStyle w:val="3"/>
        <w:spacing w:line="280" w:lineRule="exact"/>
        <w:jc w:val="left"/>
        <w:rPr>
          <w:rFonts w:ascii="宋体" w:hAnsi="宋体" w:cs="宋体"/>
          <w:b/>
          <w:bCs/>
        </w:rPr>
      </w:pPr>
      <w:bookmarkStart w:id="137" w:name="_Toc989026"/>
      <w:r>
        <w:rPr>
          <w:rFonts w:ascii="宋体" w:hAnsi="宋体" w:cs="宋体"/>
          <w:b/>
          <w:bCs/>
        </w:rPr>
        <w:t>2、公司股份总数及股东结构的变动、公司资产和负债结构的变动情况说明</w:t>
      </w:r>
      <w:bookmarkEnd w:id="137"/>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8D4B2E" w:rsidRPr="00606927" w:rsidRDefault="008D4B2E" w:rsidP="00606927">
      <w:pPr>
        <w:pStyle w:val="a3"/>
        <w:ind w:firstLineChars="200" w:firstLine="360"/>
        <w:divId w:val="2031293461"/>
        <w:rPr>
          <w:kern w:val="2"/>
          <w:sz w:val="18"/>
          <w:szCs w:val="18"/>
        </w:rPr>
      </w:pPr>
      <w:r w:rsidRPr="00606927">
        <w:rPr>
          <w:rFonts w:hint="eastAsia"/>
          <w:kern w:val="2"/>
          <w:sz w:val="18"/>
          <w:szCs w:val="18"/>
        </w:rPr>
        <w:t>2023年7月18日，公司披露了《关于注销部分股票期权和回购注销部分限制性股票完成的公告》，因3名激励对象离职，公司完成了对其</w:t>
      </w:r>
      <w:proofErr w:type="gramStart"/>
      <w:r w:rsidRPr="00606927">
        <w:rPr>
          <w:rFonts w:hint="eastAsia"/>
          <w:kern w:val="2"/>
          <w:sz w:val="18"/>
          <w:szCs w:val="18"/>
        </w:rPr>
        <w:t>已获授但尚未</w:t>
      </w:r>
      <w:proofErr w:type="gramEnd"/>
      <w:r w:rsidRPr="00606927">
        <w:rPr>
          <w:rFonts w:hint="eastAsia"/>
          <w:kern w:val="2"/>
          <w:sz w:val="18"/>
          <w:szCs w:val="18"/>
        </w:rPr>
        <w:t>解除限售的限制性股票合计10,000股予以回购注销。</w:t>
      </w:r>
    </w:p>
    <w:p w:rsidR="008D4B2E" w:rsidRPr="00606927" w:rsidRDefault="008D4B2E" w:rsidP="00606927">
      <w:pPr>
        <w:pStyle w:val="a3"/>
        <w:ind w:firstLineChars="200" w:firstLine="360"/>
        <w:divId w:val="2031293461"/>
        <w:rPr>
          <w:kern w:val="2"/>
          <w:sz w:val="18"/>
          <w:szCs w:val="18"/>
        </w:rPr>
      </w:pPr>
      <w:r w:rsidRPr="00606927">
        <w:rPr>
          <w:rFonts w:hint="eastAsia"/>
          <w:kern w:val="2"/>
          <w:sz w:val="18"/>
          <w:szCs w:val="18"/>
        </w:rPr>
        <w:t>2023年10月13日，公司披露了《关于公司2022年股票期权与限制性股票激励计划第一个行权期采用自主行权模式的提示性公告》，截止至2023年12月31日，已行权的股份数为</w:t>
      </w:r>
      <w:r w:rsidRPr="00606927">
        <w:rPr>
          <w:kern w:val="2"/>
          <w:sz w:val="18"/>
          <w:szCs w:val="18"/>
        </w:rPr>
        <w:t>5,099,830</w:t>
      </w:r>
      <w:r w:rsidRPr="00606927">
        <w:rPr>
          <w:rFonts w:hint="eastAsia"/>
          <w:kern w:val="2"/>
          <w:sz w:val="18"/>
          <w:szCs w:val="18"/>
        </w:rPr>
        <w:t>股。</w:t>
      </w:r>
    </w:p>
    <w:p w:rsidR="008D4B2E" w:rsidRPr="00606927" w:rsidRDefault="008D4B2E" w:rsidP="00984200">
      <w:pPr>
        <w:pStyle w:val="a3"/>
        <w:ind w:firstLineChars="200" w:firstLine="360"/>
        <w:divId w:val="2031293461"/>
        <w:rPr>
          <w:kern w:val="2"/>
          <w:sz w:val="18"/>
          <w:szCs w:val="18"/>
        </w:rPr>
      </w:pPr>
      <w:r w:rsidRPr="00606927">
        <w:rPr>
          <w:rFonts w:hint="eastAsia"/>
          <w:kern w:val="2"/>
          <w:sz w:val="18"/>
          <w:szCs w:val="18"/>
        </w:rPr>
        <w:t>2023年10月19日，公司披露了《关于2023年限制性股票激励计划限制性股票授予登记完成的公告》，公司完成了2023年限制性股票的登记工作，本次实际向51名激励对象授予3,750万股限制性股票，该次授予的限制性股票的上市日为2023年10月20日。</w:t>
      </w:r>
    </w:p>
    <w:p w:rsidR="00BA0365" w:rsidRDefault="008D4B2E" w:rsidP="00606927">
      <w:pPr>
        <w:pStyle w:val="a3"/>
        <w:rPr>
          <w:b/>
          <w:bCs/>
        </w:rPr>
      </w:pPr>
      <w:r>
        <w:rPr>
          <w:rFonts w:hint="eastAsia"/>
          <w:sz w:val="18"/>
          <w:szCs w:val="18"/>
        </w:rPr>
        <w:t> </w:t>
      </w:r>
      <w:bookmarkStart w:id="138" w:name="_Toc989027"/>
      <w:r>
        <w:rPr>
          <w:b/>
          <w:bCs/>
        </w:rPr>
        <w:t>3、现存的内部职工股情况</w:t>
      </w:r>
      <w:bookmarkEnd w:id="138"/>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pStyle w:val="2"/>
        <w:spacing w:before="300" w:after="300" w:line="320" w:lineRule="exact"/>
        <w:rPr>
          <w:rFonts w:ascii="宋体" w:eastAsia="宋体" w:hAnsi="宋体" w:cs="宋体"/>
          <w:b/>
          <w:bCs/>
          <w:sz w:val="24"/>
          <w:szCs w:val="24"/>
        </w:rPr>
      </w:pPr>
      <w:bookmarkStart w:id="139" w:name="_Toc989028"/>
      <w:r>
        <w:rPr>
          <w:rFonts w:ascii="宋体" w:eastAsia="宋体" w:hAnsi="宋体" w:cs="宋体"/>
          <w:b/>
          <w:bCs/>
          <w:sz w:val="24"/>
          <w:szCs w:val="24"/>
        </w:rPr>
        <w:t>三、股东和实际控制人情况</w:t>
      </w:r>
      <w:bookmarkEnd w:id="139"/>
    </w:p>
    <w:p w:rsidR="00BA0365" w:rsidRDefault="008D4B2E">
      <w:pPr>
        <w:pStyle w:val="3"/>
        <w:spacing w:line="280" w:lineRule="exact"/>
        <w:jc w:val="left"/>
        <w:rPr>
          <w:rFonts w:ascii="宋体" w:hAnsi="宋体" w:cs="宋体"/>
          <w:b/>
          <w:bCs/>
        </w:rPr>
      </w:pPr>
      <w:bookmarkStart w:id="140" w:name="_Toc989029"/>
      <w:r>
        <w:rPr>
          <w:rFonts w:ascii="宋体" w:hAnsi="宋体" w:cs="宋体"/>
          <w:b/>
          <w:bCs/>
        </w:rPr>
        <w:t>1、公司股东数量及持股情况</w:t>
      </w:r>
      <w:bookmarkEnd w:id="140"/>
    </w:p>
    <w:p w:rsidR="00BA0365" w:rsidRDefault="008D4B2E">
      <w:pPr>
        <w:spacing w:before="120" w:after="120" w:line="240" w:lineRule="exact"/>
        <w:jc w:val="right"/>
        <w:rPr>
          <w:rFonts w:ascii="宋体" w:eastAsia="宋体" w:hAnsi="宋体" w:cs="宋体"/>
          <w:sz w:val="18"/>
          <w:szCs w:val="18"/>
        </w:rPr>
      </w:pPr>
      <w:r>
        <w:rPr>
          <w:rFonts w:ascii="宋体" w:eastAsia="宋体" w:hAnsi="宋体" w:cs="宋体"/>
          <w:sz w:val="18"/>
          <w:szCs w:val="18"/>
        </w:rPr>
        <w:t>单位：股</w:t>
      </w:r>
    </w:p>
    <w:tbl>
      <w:tblPr>
        <w:tblW w:w="9639" w:type="dxa"/>
        <w:tblLayout w:type="fixed"/>
        <w:tblLook w:val="04A0" w:firstRow="1" w:lastRow="0" w:firstColumn="1" w:lastColumn="0" w:noHBand="0" w:noVBand="1"/>
      </w:tblPr>
      <w:tblGrid>
        <w:gridCol w:w="1698"/>
        <w:gridCol w:w="851"/>
        <w:gridCol w:w="992"/>
        <w:gridCol w:w="678"/>
        <w:gridCol w:w="314"/>
        <w:gridCol w:w="1134"/>
        <w:gridCol w:w="678"/>
        <w:gridCol w:w="315"/>
        <w:gridCol w:w="992"/>
        <w:gridCol w:w="992"/>
        <w:gridCol w:w="995"/>
      </w:tblGrid>
      <w:tr w:rsidR="00157EA0" w:rsidTr="00102670">
        <w:trPr>
          <w:trHeight w:val="240"/>
        </w:trPr>
        <w:tc>
          <w:tcPr>
            <w:tcW w:w="169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报告期末普通股股东总数</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52,215</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年度报告披露日前上一月末普通股股东总数</w:t>
            </w:r>
          </w:p>
        </w:tc>
        <w:tc>
          <w:tcPr>
            <w:tcW w:w="992" w:type="dxa"/>
            <w:gridSpan w:val="2"/>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52,542</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报告期末表决权恢复的优先股股东总数（如有）（参见注8）</w:t>
            </w:r>
          </w:p>
        </w:tc>
        <w:tc>
          <w:tcPr>
            <w:tcW w:w="993" w:type="dxa"/>
            <w:gridSpan w:val="2"/>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198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年度报告披露日前上一月末表决权恢复的优先股股东总数（如有）（参见注8）</w:t>
            </w:r>
          </w:p>
        </w:tc>
        <w:tc>
          <w:tcPr>
            <w:tcW w:w="99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157EA0">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持股5%以上的股东或前10名股东持股情况（不含通过转融通出借股份）</w:t>
            </w:r>
          </w:p>
        </w:tc>
      </w:tr>
      <w:tr w:rsidR="00157EA0" w:rsidTr="00102670">
        <w:trPr>
          <w:trHeight w:val="240"/>
        </w:trPr>
        <w:tc>
          <w:tcPr>
            <w:tcW w:w="169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股东名称</w:t>
            </w:r>
          </w:p>
        </w:tc>
        <w:tc>
          <w:tcPr>
            <w:tcW w:w="85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股东性质</w:t>
            </w:r>
          </w:p>
        </w:tc>
        <w:tc>
          <w:tcPr>
            <w:tcW w:w="99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持股比例</w:t>
            </w:r>
          </w:p>
        </w:tc>
        <w:tc>
          <w:tcPr>
            <w:tcW w:w="992"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报告期末持股数量</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报告期内增减变动情况</w:t>
            </w:r>
          </w:p>
        </w:tc>
        <w:tc>
          <w:tcPr>
            <w:tcW w:w="993"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持有有限</w:t>
            </w:r>
            <w:proofErr w:type="gramStart"/>
            <w:r>
              <w:rPr>
                <w:rFonts w:ascii="宋体" w:eastAsia="宋体" w:hAnsi="宋体" w:cs="宋体"/>
                <w:sz w:val="18"/>
                <w:szCs w:val="18"/>
              </w:rPr>
              <w:t>售条件</w:t>
            </w:r>
            <w:proofErr w:type="gramEnd"/>
            <w:r>
              <w:rPr>
                <w:rFonts w:ascii="宋体" w:eastAsia="宋体" w:hAnsi="宋体" w:cs="宋体"/>
                <w:sz w:val="18"/>
                <w:szCs w:val="18"/>
              </w:rPr>
              <w:t>的</w:t>
            </w:r>
            <w:r>
              <w:rPr>
                <w:rFonts w:ascii="宋体" w:eastAsia="宋体" w:hAnsi="宋体" w:cs="宋体"/>
                <w:sz w:val="18"/>
                <w:szCs w:val="18"/>
              </w:rPr>
              <w:lastRenderedPageBreak/>
              <w:t>股份数量</w:t>
            </w:r>
          </w:p>
        </w:tc>
        <w:tc>
          <w:tcPr>
            <w:tcW w:w="99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持有无限</w:t>
            </w:r>
            <w:proofErr w:type="gramStart"/>
            <w:r>
              <w:rPr>
                <w:rFonts w:ascii="宋体" w:eastAsia="宋体" w:hAnsi="宋体" w:cs="宋体"/>
                <w:sz w:val="18"/>
                <w:szCs w:val="18"/>
              </w:rPr>
              <w:t>售条件</w:t>
            </w:r>
            <w:proofErr w:type="gramEnd"/>
            <w:r>
              <w:rPr>
                <w:rFonts w:ascii="宋体" w:eastAsia="宋体" w:hAnsi="宋体" w:cs="宋体"/>
                <w:sz w:val="18"/>
                <w:szCs w:val="18"/>
              </w:rPr>
              <w:t>的</w:t>
            </w:r>
            <w:r>
              <w:rPr>
                <w:rFonts w:ascii="宋体" w:eastAsia="宋体" w:hAnsi="宋体" w:cs="宋体"/>
                <w:sz w:val="18"/>
                <w:szCs w:val="18"/>
              </w:rPr>
              <w:lastRenderedPageBreak/>
              <w:t>股份数量</w:t>
            </w:r>
          </w:p>
        </w:tc>
        <w:tc>
          <w:tcPr>
            <w:tcW w:w="1987"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质押、标记或冻结情况</w:t>
            </w:r>
          </w:p>
        </w:tc>
      </w:tr>
      <w:tr w:rsidR="00157EA0" w:rsidTr="00102670">
        <w:trPr>
          <w:trHeight w:val="240"/>
        </w:trPr>
        <w:tc>
          <w:tcPr>
            <w:tcW w:w="169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85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99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992"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993"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99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股份状态</w:t>
            </w:r>
          </w:p>
        </w:tc>
        <w:tc>
          <w:tcPr>
            <w:tcW w:w="99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数量</w:t>
            </w:r>
          </w:p>
        </w:tc>
      </w:tr>
      <w:tr w:rsidR="00157EA0" w:rsidTr="00102670">
        <w:trPr>
          <w:trHeight w:val="240"/>
        </w:trPr>
        <w:tc>
          <w:tcPr>
            <w:tcW w:w="169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lastRenderedPageBreak/>
              <w:t>袁仲雪</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境内自然人</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14.36%</w:t>
            </w:r>
          </w:p>
        </w:tc>
        <w:tc>
          <w:tcPr>
            <w:tcW w:w="992" w:type="dxa"/>
            <w:gridSpan w:val="2"/>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145,308,486</w:t>
            </w:r>
          </w:p>
        </w:tc>
        <w:tc>
          <w:tcPr>
            <w:tcW w:w="11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0</w:t>
            </w:r>
          </w:p>
        </w:tc>
        <w:tc>
          <w:tcPr>
            <w:tcW w:w="993" w:type="dxa"/>
            <w:gridSpan w:val="2"/>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145,308,486</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质押</w:t>
            </w:r>
          </w:p>
        </w:tc>
        <w:tc>
          <w:tcPr>
            <w:tcW w:w="99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115,000,000</w:t>
            </w:r>
          </w:p>
        </w:tc>
      </w:tr>
      <w:tr w:rsidR="00157EA0" w:rsidTr="00102670">
        <w:trPr>
          <w:trHeight w:val="240"/>
        </w:trPr>
        <w:tc>
          <w:tcPr>
            <w:tcW w:w="169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中央汇金资产管理有限责任公司</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国有法人</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3.29%</w:t>
            </w:r>
          </w:p>
        </w:tc>
        <w:tc>
          <w:tcPr>
            <w:tcW w:w="992" w:type="dxa"/>
            <w:gridSpan w:val="2"/>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33,254,500</w:t>
            </w:r>
          </w:p>
        </w:tc>
        <w:tc>
          <w:tcPr>
            <w:tcW w:w="11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0</w:t>
            </w:r>
          </w:p>
        </w:tc>
        <w:tc>
          <w:tcPr>
            <w:tcW w:w="993" w:type="dxa"/>
            <w:gridSpan w:val="2"/>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33,254,500</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不适用</w:t>
            </w:r>
          </w:p>
        </w:tc>
        <w:tc>
          <w:tcPr>
            <w:tcW w:w="99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157EA0" w:rsidTr="00102670">
        <w:trPr>
          <w:trHeight w:val="240"/>
        </w:trPr>
        <w:tc>
          <w:tcPr>
            <w:tcW w:w="169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青岛高等学校技术装备服务总部</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国有法人</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2.06%</w:t>
            </w:r>
          </w:p>
        </w:tc>
        <w:tc>
          <w:tcPr>
            <w:tcW w:w="992" w:type="dxa"/>
            <w:gridSpan w:val="2"/>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20,890,236</w:t>
            </w:r>
          </w:p>
        </w:tc>
        <w:tc>
          <w:tcPr>
            <w:tcW w:w="11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0</w:t>
            </w:r>
          </w:p>
        </w:tc>
        <w:tc>
          <w:tcPr>
            <w:tcW w:w="993" w:type="dxa"/>
            <w:gridSpan w:val="2"/>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20,890,236</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冻结</w:t>
            </w:r>
          </w:p>
        </w:tc>
        <w:tc>
          <w:tcPr>
            <w:tcW w:w="99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16,200,000</w:t>
            </w:r>
          </w:p>
        </w:tc>
      </w:tr>
      <w:tr w:rsidR="00157EA0" w:rsidTr="00102670">
        <w:trPr>
          <w:trHeight w:val="240"/>
        </w:trPr>
        <w:tc>
          <w:tcPr>
            <w:tcW w:w="169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大家资产－民生银行－大家资产－盛世精选2号集合资产管理产品（第二期）</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其他</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1.69%</w:t>
            </w:r>
          </w:p>
        </w:tc>
        <w:tc>
          <w:tcPr>
            <w:tcW w:w="992" w:type="dxa"/>
            <w:gridSpan w:val="2"/>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17,116,713</w:t>
            </w:r>
          </w:p>
        </w:tc>
        <w:tc>
          <w:tcPr>
            <w:tcW w:w="11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17,116,713</w:t>
            </w:r>
          </w:p>
        </w:tc>
        <w:tc>
          <w:tcPr>
            <w:tcW w:w="993" w:type="dxa"/>
            <w:gridSpan w:val="2"/>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17,116,713</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不适用</w:t>
            </w:r>
          </w:p>
        </w:tc>
        <w:tc>
          <w:tcPr>
            <w:tcW w:w="99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157EA0" w:rsidTr="00102670">
        <w:trPr>
          <w:trHeight w:val="240"/>
        </w:trPr>
        <w:tc>
          <w:tcPr>
            <w:tcW w:w="169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招商银行股份有限公司－东方红远见价值混合型证券投资基金</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其他</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1.13%</w:t>
            </w:r>
          </w:p>
        </w:tc>
        <w:tc>
          <w:tcPr>
            <w:tcW w:w="992" w:type="dxa"/>
            <w:gridSpan w:val="2"/>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11,465,500</w:t>
            </w:r>
          </w:p>
        </w:tc>
        <w:tc>
          <w:tcPr>
            <w:tcW w:w="11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11,465,500</w:t>
            </w:r>
          </w:p>
        </w:tc>
        <w:tc>
          <w:tcPr>
            <w:tcW w:w="993" w:type="dxa"/>
            <w:gridSpan w:val="2"/>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11,465,500</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不适用</w:t>
            </w:r>
          </w:p>
        </w:tc>
        <w:tc>
          <w:tcPr>
            <w:tcW w:w="99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157EA0" w:rsidTr="00102670">
        <w:trPr>
          <w:trHeight w:val="240"/>
        </w:trPr>
        <w:tc>
          <w:tcPr>
            <w:tcW w:w="169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大成基金－农业银行－大成中证金融资产管理计划</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其他</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1.11%</w:t>
            </w:r>
          </w:p>
        </w:tc>
        <w:tc>
          <w:tcPr>
            <w:tcW w:w="992" w:type="dxa"/>
            <w:gridSpan w:val="2"/>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11,208,600</w:t>
            </w:r>
          </w:p>
        </w:tc>
        <w:tc>
          <w:tcPr>
            <w:tcW w:w="11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-516,200</w:t>
            </w:r>
          </w:p>
        </w:tc>
        <w:tc>
          <w:tcPr>
            <w:tcW w:w="993" w:type="dxa"/>
            <w:gridSpan w:val="2"/>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11,208,600</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不适用</w:t>
            </w:r>
          </w:p>
        </w:tc>
        <w:tc>
          <w:tcPr>
            <w:tcW w:w="99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157EA0" w:rsidTr="00102670">
        <w:trPr>
          <w:trHeight w:val="240"/>
        </w:trPr>
        <w:tc>
          <w:tcPr>
            <w:tcW w:w="169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南方基金－农业银行－南方中证金融资产管理计划</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其他</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1.11%</w:t>
            </w:r>
          </w:p>
        </w:tc>
        <w:tc>
          <w:tcPr>
            <w:tcW w:w="992" w:type="dxa"/>
            <w:gridSpan w:val="2"/>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11,193,900</w:t>
            </w:r>
          </w:p>
        </w:tc>
        <w:tc>
          <w:tcPr>
            <w:tcW w:w="11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-530,900</w:t>
            </w:r>
          </w:p>
        </w:tc>
        <w:tc>
          <w:tcPr>
            <w:tcW w:w="993" w:type="dxa"/>
            <w:gridSpan w:val="2"/>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11,193,900</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不适用</w:t>
            </w:r>
          </w:p>
        </w:tc>
        <w:tc>
          <w:tcPr>
            <w:tcW w:w="99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157EA0" w:rsidTr="00102670">
        <w:trPr>
          <w:trHeight w:val="240"/>
        </w:trPr>
        <w:tc>
          <w:tcPr>
            <w:tcW w:w="169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银华基金－农业银行－银华中证金融资产管理计划</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其他</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1.08%</w:t>
            </w:r>
          </w:p>
        </w:tc>
        <w:tc>
          <w:tcPr>
            <w:tcW w:w="992" w:type="dxa"/>
            <w:gridSpan w:val="2"/>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10,891,633</w:t>
            </w:r>
          </w:p>
        </w:tc>
        <w:tc>
          <w:tcPr>
            <w:tcW w:w="11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-254,000</w:t>
            </w:r>
          </w:p>
        </w:tc>
        <w:tc>
          <w:tcPr>
            <w:tcW w:w="993" w:type="dxa"/>
            <w:gridSpan w:val="2"/>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10,891,633</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不适用</w:t>
            </w:r>
          </w:p>
        </w:tc>
        <w:tc>
          <w:tcPr>
            <w:tcW w:w="99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157EA0" w:rsidTr="00102670">
        <w:trPr>
          <w:trHeight w:val="240"/>
        </w:trPr>
        <w:tc>
          <w:tcPr>
            <w:tcW w:w="169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广发基金－农业银行－广发中证金融资产管理计划</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其他</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1.03%</w:t>
            </w:r>
          </w:p>
        </w:tc>
        <w:tc>
          <w:tcPr>
            <w:tcW w:w="992" w:type="dxa"/>
            <w:gridSpan w:val="2"/>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10,446,100</w:t>
            </w:r>
          </w:p>
        </w:tc>
        <w:tc>
          <w:tcPr>
            <w:tcW w:w="11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-1,278,700</w:t>
            </w:r>
          </w:p>
        </w:tc>
        <w:tc>
          <w:tcPr>
            <w:tcW w:w="993" w:type="dxa"/>
            <w:gridSpan w:val="2"/>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10,446,100</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不适用</w:t>
            </w:r>
          </w:p>
        </w:tc>
        <w:tc>
          <w:tcPr>
            <w:tcW w:w="99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157EA0" w:rsidTr="00102670">
        <w:trPr>
          <w:trHeight w:val="240"/>
        </w:trPr>
        <w:tc>
          <w:tcPr>
            <w:tcW w:w="169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香港中央结算有限公司</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境外法人</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0.99%</w:t>
            </w:r>
          </w:p>
        </w:tc>
        <w:tc>
          <w:tcPr>
            <w:tcW w:w="992" w:type="dxa"/>
            <w:gridSpan w:val="2"/>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9,976,588</w:t>
            </w:r>
          </w:p>
        </w:tc>
        <w:tc>
          <w:tcPr>
            <w:tcW w:w="11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9,961,361</w:t>
            </w:r>
          </w:p>
        </w:tc>
        <w:tc>
          <w:tcPr>
            <w:tcW w:w="993" w:type="dxa"/>
            <w:gridSpan w:val="2"/>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9,976,588</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不适用</w:t>
            </w:r>
          </w:p>
        </w:tc>
        <w:tc>
          <w:tcPr>
            <w:tcW w:w="99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w:t>
            </w:r>
          </w:p>
        </w:tc>
      </w:tr>
      <w:tr w:rsidR="00157EA0" w:rsidTr="00102670">
        <w:trPr>
          <w:trHeight w:val="240"/>
        </w:trPr>
        <w:tc>
          <w:tcPr>
            <w:tcW w:w="254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战略投资者或一般法人因配售新股成为前10名股东的情况（如有）（参见注3）</w:t>
            </w:r>
          </w:p>
        </w:tc>
        <w:tc>
          <w:tcPr>
            <w:tcW w:w="7090" w:type="dxa"/>
            <w:gridSpan w:val="9"/>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无</w:t>
            </w:r>
          </w:p>
        </w:tc>
      </w:tr>
      <w:tr w:rsidR="00157EA0" w:rsidTr="00102670">
        <w:trPr>
          <w:trHeight w:val="240"/>
        </w:trPr>
        <w:tc>
          <w:tcPr>
            <w:tcW w:w="254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上述股东关联关系或一致行动的说明</w:t>
            </w:r>
          </w:p>
        </w:tc>
        <w:tc>
          <w:tcPr>
            <w:tcW w:w="7090" w:type="dxa"/>
            <w:gridSpan w:val="9"/>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公司未知上述股东之间是否存在关联关系，也未知以上股东是否属于《上市公司收购管理办法》中规定的一致行动人。</w:t>
            </w:r>
          </w:p>
        </w:tc>
      </w:tr>
      <w:tr w:rsidR="00157EA0" w:rsidTr="00102670">
        <w:trPr>
          <w:trHeight w:val="240"/>
        </w:trPr>
        <w:tc>
          <w:tcPr>
            <w:tcW w:w="254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上述股东涉及委托/受托表决权、放弃表决权情况的说明</w:t>
            </w:r>
          </w:p>
        </w:tc>
        <w:tc>
          <w:tcPr>
            <w:tcW w:w="7090" w:type="dxa"/>
            <w:gridSpan w:val="9"/>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不适用</w:t>
            </w:r>
          </w:p>
        </w:tc>
      </w:tr>
      <w:tr w:rsidR="00157EA0" w:rsidTr="00102670">
        <w:trPr>
          <w:trHeight w:val="240"/>
        </w:trPr>
        <w:tc>
          <w:tcPr>
            <w:tcW w:w="254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前10名股东中存在回购专户的特别说明（如有）（参见注10）</w:t>
            </w:r>
          </w:p>
        </w:tc>
        <w:tc>
          <w:tcPr>
            <w:tcW w:w="7090" w:type="dxa"/>
            <w:gridSpan w:val="9"/>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不适用</w:t>
            </w:r>
          </w:p>
        </w:tc>
      </w:tr>
      <w:tr w:rsidR="00157EA0">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前10名无限</w:t>
            </w:r>
            <w:proofErr w:type="gramStart"/>
            <w:r>
              <w:rPr>
                <w:rFonts w:ascii="宋体" w:eastAsia="宋体" w:hAnsi="宋体" w:cs="宋体"/>
                <w:sz w:val="18"/>
                <w:szCs w:val="18"/>
              </w:rPr>
              <w:t>售条件</w:t>
            </w:r>
            <w:proofErr w:type="gramEnd"/>
            <w:r>
              <w:rPr>
                <w:rFonts w:ascii="宋体" w:eastAsia="宋体" w:hAnsi="宋体" w:cs="宋体"/>
                <w:sz w:val="18"/>
                <w:szCs w:val="18"/>
              </w:rPr>
              <w:t>股东持股情况</w:t>
            </w:r>
          </w:p>
        </w:tc>
      </w:tr>
      <w:tr w:rsidR="00157EA0" w:rsidTr="00130B7D">
        <w:trPr>
          <w:trHeight w:val="240"/>
        </w:trPr>
        <w:tc>
          <w:tcPr>
            <w:tcW w:w="4219" w:type="dxa"/>
            <w:gridSpan w:val="4"/>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股东名称</w:t>
            </w:r>
          </w:p>
        </w:tc>
        <w:tc>
          <w:tcPr>
            <w:tcW w:w="2126" w:type="dxa"/>
            <w:gridSpan w:val="3"/>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报告期末持有无限</w:t>
            </w:r>
            <w:proofErr w:type="gramStart"/>
            <w:r>
              <w:rPr>
                <w:rFonts w:ascii="宋体" w:eastAsia="宋体" w:hAnsi="宋体" w:cs="宋体"/>
                <w:sz w:val="18"/>
                <w:szCs w:val="18"/>
              </w:rPr>
              <w:t>售条件</w:t>
            </w:r>
            <w:proofErr w:type="gramEnd"/>
            <w:r>
              <w:rPr>
                <w:rFonts w:ascii="宋体" w:eastAsia="宋体" w:hAnsi="宋体" w:cs="宋体"/>
                <w:sz w:val="18"/>
                <w:szCs w:val="18"/>
              </w:rPr>
              <w:t>股份数量</w:t>
            </w:r>
          </w:p>
        </w:tc>
        <w:tc>
          <w:tcPr>
            <w:tcW w:w="3294"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股份种类</w:t>
            </w:r>
          </w:p>
        </w:tc>
      </w:tr>
      <w:tr w:rsidR="00157EA0" w:rsidTr="00102670">
        <w:trPr>
          <w:trHeight w:val="240"/>
        </w:trPr>
        <w:tc>
          <w:tcPr>
            <w:tcW w:w="4219" w:type="dxa"/>
            <w:gridSpan w:val="4"/>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2126" w:type="dxa"/>
            <w:gridSpan w:val="3"/>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229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股份种类</w:t>
            </w:r>
          </w:p>
        </w:tc>
        <w:tc>
          <w:tcPr>
            <w:tcW w:w="99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数量</w:t>
            </w:r>
          </w:p>
        </w:tc>
      </w:tr>
      <w:tr w:rsidR="00157EA0" w:rsidTr="00102670">
        <w:trPr>
          <w:trHeight w:val="240"/>
        </w:trPr>
        <w:tc>
          <w:tcPr>
            <w:tcW w:w="4219" w:type="dxa"/>
            <w:gridSpan w:val="4"/>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袁仲雪</w:t>
            </w:r>
          </w:p>
        </w:tc>
        <w:tc>
          <w:tcPr>
            <w:tcW w:w="2126" w:type="dxa"/>
            <w:gridSpan w:val="3"/>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145,308,486</w:t>
            </w:r>
          </w:p>
        </w:tc>
        <w:tc>
          <w:tcPr>
            <w:tcW w:w="2299" w:type="dxa"/>
            <w:gridSpan w:val="3"/>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99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145,308,486</w:t>
            </w:r>
          </w:p>
        </w:tc>
      </w:tr>
      <w:tr w:rsidR="00157EA0" w:rsidTr="00102670">
        <w:trPr>
          <w:trHeight w:val="240"/>
        </w:trPr>
        <w:tc>
          <w:tcPr>
            <w:tcW w:w="4219" w:type="dxa"/>
            <w:gridSpan w:val="4"/>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中央汇金资产管理有限责任公司</w:t>
            </w:r>
          </w:p>
        </w:tc>
        <w:tc>
          <w:tcPr>
            <w:tcW w:w="2126" w:type="dxa"/>
            <w:gridSpan w:val="3"/>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33,254,500</w:t>
            </w:r>
          </w:p>
        </w:tc>
        <w:tc>
          <w:tcPr>
            <w:tcW w:w="2299" w:type="dxa"/>
            <w:gridSpan w:val="3"/>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99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33,254,500</w:t>
            </w:r>
          </w:p>
        </w:tc>
      </w:tr>
      <w:tr w:rsidR="00157EA0" w:rsidTr="00102670">
        <w:trPr>
          <w:trHeight w:val="240"/>
        </w:trPr>
        <w:tc>
          <w:tcPr>
            <w:tcW w:w="4219" w:type="dxa"/>
            <w:gridSpan w:val="4"/>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青岛高等学校技术装备服务总部</w:t>
            </w:r>
          </w:p>
        </w:tc>
        <w:tc>
          <w:tcPr>
            <w:tcW w:w="2126" w:type="dxa"/>
            <w:gridSpan w:val="3"/>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20,890,236</w:t>
            </w:r>
          </w:p>
        </w:tc>
        <w:tc>
          <w:tcPr>
            <w:tcW w:w="2299" w:type="dxa"/>
            <w:gridSpan w:val="3"/>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99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20,890,236</w:t>
            </w:r>
          </w:p>
        </w:tc>
      </w:tr>
      <w:tr w:rsidR="00157EA0" w:rsidTr="00102670">
        <w:trPr>
          <w:trHeight w:val="240"/>
        </w:trPr>
        <w:tc>
          <w:tcPr>
            <w:tcW w:w="4219" w:type="dxa"/>
            <w:gridSpan w:val="4"/>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大家资产－民生银行－大家资产－盛世精选2号集合资产管理产品（第二期）</w:t>
            </w:r>
          </w:p>
        </w:tc>
        <w:tc>
          <w:tcPr>
            <w:tcW w:w="2126" w:type="dxa"/>
            <w:gridSpan w:val="3"/>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17,116,713</w:t>
            </w:r>
          </w:p>
        </w:tc>
        <w:tc>
          <w:tcPr>
            <w:tcW w:w="2299" w:type="dxa"/>
            <w:gridSpan w:val="3"/>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99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17,116,713</w:t>
            </w:r>
          </w:p>
        </w:tc>
      </w:tr>
      <w:tr w:rsidR="00157EA0" w:rsidTr="00102670">
        <w:trPr>
          <w:trHeight w:val="240"/>
        </w:trPr>
        <w:tc>
          <w:tcPr>
            <w:tcW w:w="4219" w:type="dxa"/>
            <w:gridSpan w:val="4"/>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招商银行股份有限公司－东方红远见价值混合型证券投资基金</w:t>
            </w:r>
          </w:p>
        </w:tc>
        <w:tc>
          <w:tcPr>
            <w:tcW w:w="2126" w:type="dxa"/>
            <w:gridSpan w:val="3"/>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11,465,500</w:t>
            </w:r>
          </w:p>
        </w:tc>
        <w:tc>
          <w:tcPr>
            <w:tcW w:w="2299" w:type="dxa"/>
            <w:gridSpan w:val="3"/>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99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11,465,500</w:t>
            </w:r>
          </w:p>
        </w:tc>
      </w:tr>
      <w:tr w:rsidR="00157EA0" w:rsidTr="00102670">
        <w:trPr>
          <w:trHeight w:val="240"/>
        </w:trPr>
        <w:tc>
          <w:tcPr>
            <w:tcW w:w="4219" w:type="dxa"/>
            <w:gridSpan w:val="4"/>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大成基金－农业银行－大成中证金融资产管理计划</w:t>
            </w:r>
          </w:p>
        </w:tc>
        <w:tc>
          <w:tcPr>
            <w:tcW w:w="2126" w:type="dxa"/>
            <w:gridSpan w:val="3"/>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11,208,600</w:t>
            </w:r>
          </w:p>
        </w:tc>
        <w:tc>
          <w:tcPr>
            <w:tcW w:w="2299" w:type="dxa"/>
            <w:gridSpan w:val="3"/>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99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11,208,6</w:t>
            </w:r>
            <w:r>
              <w:rPr>
                <w:rFonts w:ascii="宋体" w:eastAsia="宋体" w:hAnsi="宋体" w:cs="宋体"/>
                <w:sz w:val="18"/>
                <w:szCs w:val="18"/>
              </w:rPr>
              <w:lastRenderedPageBreak/>
              <w:t>00</w:t>
            </w:r>
          </w:p>
        </w:tc>
      </w:tr>
      <w:tr w:rsidR="00157EA0" w:rsidTr="00102670">
        <w:trPr>
          <w:trHeight w:val="240"/>
        </w:trPr>
        <w:tc>
          <w:tcPr>
            <w:tcW w:w="4219" w:type="dxa"/>
            <w:gridSpan w:val="4"/>
            <w:tcBorders>
              <w:top w:val="single" w:sz="2" w:space="0" w:color="auto"/>
              <w:left w:val="single" w:sz="2" w:space="0" w:color="auto"/>
              <w:bottom w:val="single" w:sz="2" w:space="0" w:color="auto"/>
              <w:right w:val="single" w:sz="2" w:space="0" w:color="auto"/>
            </w:tcBorders>
            <w:vAlign w:val="center"/>
          </w:tcPr>
          <w:p w:rsidR="00BA0365" w:rsidRDefault="008D4B2E" w:rsidP="00130B7D">
            <w:pPr>
              <w:spacing w:line="240" w:lineRule="exact"/>
              <w:rPr>
                <w:rFonts w:ascii="宋体" w:eastAsia="宋体" w:hAnsi="宋体" w:cs="宋体"/>
                <w:sz w:val="18"/>
                <w:szCs w:val="18"/>
              </w:rPr>
            </w:pPr>
            <w:r>
              <w:rPr>
                <w:rFonts w:ascii="宋体" w:eastAsia="宋体" w:hAnsi="宋体" w:cs="宋体"/>
                <w:sz w:val="18"/>
                <w:szCs w:val="18"/>
              </w:rPr>
              <w:lastRenderedPageBreak/>
              <w:t>南方基金－农业银行－南方中证金融资产管理计划</w:t>
            </w:r>
          </w:p>
        </w:tc>
        <w:tc>
          <w:tcPr>
            <w:tcW w:w="2126" w:type="dxa"/>
            <w:gridSpan w:val="3"/>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11,193,900</w:t>
            </w:r>
          </w:p>
        </w:tc>
        <w:tc>
          <w:tcPr>
            <w:tcW w:w="2299" w:type="dxa"/>
            <w:gridSpan w:val="3"/>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99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11,193,900</w:t>
            </w:r>
          </w:p>
        </w:tc>
      </w:tr>
      <w:tr w:rsidR="00157EA0" w:rsidTr="00102670">
        <w:trPr>
          <w:trHeight w:val="240"/>
        </w:trPr>
        <w:tc>
          <w:tcPr>
            <w:tcW w:w="4219" w:type="dxa"/>
            <w:gridSpan w:val="4"/>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银华基金－农业银行－银华中证金融资产管理计划</w:t>
            </w:r>
          </w:p>
        </w:tc>
        <w:tc>
          <w:tcPr>
            <w:tcW w:w="2126" w:type="dxa"/>
            <w:gridSpan w:val="3"/>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10,891,633</w:t>
            </w:r>
          </w:p>
        </w:tc>
        <w:tc>
          <w:tcPr>
            <w:tcW w:w="2299" w:type="dxa"/>
            <w:gridSpan w:val="3"/>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99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10,891,633</w:t>
            </w:r>
          </w:p>
        </w:tc>
      </w:tr>
      <w:tr w:rsidR="00157EA0" w:rsidTr="00102670">
        <w:trPr>
          <w:trHeight w:val="240"/>
        </w:trPr>
        <w:tc>
          <w:tcPr>
            <w:tcW w:w="4219" w:type="dxa"/>
            <w:gridSpan w:val="4"/>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广发基金－农业银行－广发中证金融资产管理计划</w:t>
            </w:r>
          </w:p>
        </w:tc>
        <w:tc>
          <w:tcPr>
            <w:tcW w:w="2126" w:type="dxa"/>
            <w:gridSpan w:val="3"/>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10,446,100</w:t>
            </w:r>
          </w:p>
        </w:tc>
        <w:tc>
          <w:tcPr>
            <w:tcW w:w="2299" w:type="dxa"/>
            <w:gridSpan w:val="3"/>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99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10,446,100</w:t>
            </w:r>
          </w:p>
        </w:tc>
      </w:tr>
      <w:tr w:rsidR="00157EA0" w:rsidTr="00102670">
        <w:trPr>
          <w:trHeight w:val="240"/>
        </w:trPr>
        <w:tc>
          <w:tcPr>
            <w:tcW w:w="4219" w:type="dxa"/>
            <w:gridSpan w:val="4"/>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香港中央结算有限公司</w:t>
            </w:r>
          </w:p>
        </w:tc>
        <w:tc>
          <w:tcPr>
            <w:tcW w:w="2126" w:type="dxa"/>
            <w:gridSpan w:val="3"/>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9,976,588</w:t>
            </w:r>
          </w:p>
        </w:tc>
        <w:tc>
          <w:tcPr>
            <w:tcW w:w="2299" w:type="dxa"/>
            <w:gridSpan w:val="3"/>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人民币普通股</w:t>
            </w:r>
          </w:p>
        </w:tc>
        <w:tc>
          <w:tcPr>
            <w:tcW w:w="99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9,976,588</w:t>
            </w:r>
          </w:p>
        </w:tc>
      </w:tr>
      <w:tr w:rsidR="00157EA0" w:rsidTr="00130B7D">
        <w:trPr>
          <w:trHeight w:val="240"/>
        </w:trPr>
        <w:tc>
          <w:tcPr>
            <w:tcW w:w="4219"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前10名无限</w:t>
            </w:r>
            <w:proofErr w:type="gramStart"/>
            <w:r>
              <w:rPr>
                <w:rFonts w:ascii="宋体" w:eastAsia="宋体" w:hAnsi="宋体" w:cs="宋体"/>
                <w:sz w:val="18"/>
                <w:szCs w:val="18"/>
              </w:rPr>
              <w:t>售流通</w:t>
            </w:r>
            <w:proofErr w:type="gramEnd"/>
            <w:r>
              <w:rPr>
                <w:rFonts w:ascii="宋体" w:eastAsia="宋体" w:hAnsi="宋体" w:cs="宋体"/>
                <w:sz w:val="18"/>
                <w:szCs w:val="18"/>
              </w:rPr>
              <w:t>股股东之间，以及前10名无限</w:t>
            </w:r>
            <w:proofErr w:type="gramStart"/>
            <w:r>
              <w:rPr>
                <w:rFonts w:ascii="宋体" w:eastAsia="宋体" w:hAnsi="宋体" w:cs="宋体"/>
                <w:sz w:val="18"/>
                <w:szCs w:val="18"/>
              </w:rPr>
              <w:t>售流通</w:t>
            </w:r>
            <w:proofErr w:type="gramEnd"/>
            <w:r>
              <w:rPr>
                <w:rFonts w:ascii="宋体" w:eastAsia="宋体" w:hAnsi="宋体" w:cs="宋体"/>
                <w:sz w:val="18"/>
                <w:szCs w:val="18"/>
              </w:rPr>
              <w:t>股股东和前10名股东之间关联关系或一致行动的说明</w:t>
            </w:r>
          </w:p>
        </w:tc>
        <w:tc>
          <w:tcPr>
            <w:tcW w:w="5420" w:type="dxa"/>
            <w:gridSpan w:val="7"/>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公司未知上述股东之间是否存在关联关系，也未知以上股东是否属于《上市公司收购管理办法》中规定的一致行动人</w:t>
            </w:r>
          </w:p>
        </w:tc>
      </w:tr>
      <w:tr w:rsidR="00157EA0" w:rsidTr="00130B7D">
        <w:trPr>
          <w:trHeight w:val="240"/>
        </w:trPr>
        <w:tc>
          <w:tcPr>
            <w:tcW w:w="4219"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前10名普通股股东参与融资融券业务情况说明（如有）（参见注4）</w:t>
            </w:r>
          </w:p>
        </w:tc>
        <w:tc>
          <w:tcPr>
            <w:tcW w:w="5420" w:type="dxa"/>
            <w:gridSpan w:val="7"/>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不适用</w:t>
            </w:r>
          </w:p>
        </w:tc>
      </w:tr>
    </w:tbl>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前十名股东参与转融通业务出借股份情况</w:t>
      </w:r>
    </w:p>
    <w:p w:rsidR="00BA0365" w:rsidRDefault="008D4B2E">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CC1088" w:rsidRDefault="00CC1088" w:rsidP="00CC1088">
      <w:pPr>
        <w:spacing w:before="100" w:after="100" w:line="240" w:lineRule="exact"/>
        <w:rPr>
          <w:rFonts w:ascii="宋体" w:eastAsia="宋体" w:hAnsi="宋体" w:cs="宋体"/>
          <w:sz w:val="18"/>
          <w:szCs w:val="18"/>
        </w:rPr>
      </w:pPr>
      <w:r>
        <w:rPr>
          <w:rFonts w:ascii="宋体" w:eastAsia="宋体" w:hAnsi="宋体" w:cs="宋体"/>
          <w:sz w:val="18"/>
          <w:szCs w:val="18"/>
        </w:rPr>
        <w:t>前十名股东较上期发生变化</w:t>
      </w:r>
    </w:p>
    <w:p w:rsidR="004E2BEA" w:rsidRDefault="004E2BEA" w:rsidP="004E2BEA">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公司前10名普通股股东、前10名无限</w:t>
      </w:r>
      <w:proofErr w:type="gramStart"/>
      <w:r>
        <w:rPr>
          <w:rFonts w:ascii="宋体" w:eastAsia="宋体" w:hAnsi="宋体" w:cs="宋体"/>
          <w:sz w:val="18"/>
          <w:szCs w:val="18"/>
        </w:rPr>
        <w:t>售条件</w:t>
      </w:r>
      <w:proofErr w:type="gramEnd"/>
      <w:r>
        <w:rPr>
          <w:rFonts w:ascii="宋体" w:eastAsia="宋体" w:hAnsi="宋体" w:cs="宋体"/>
          <w:sz w:val="18"/>
          <w:szCs w:val="18"/>
        </w:rPr>
        <w:t>普通股股东在报告期内是否进行约定购回交易</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公司前10名普通股股东、前10名无限</w:t>
      </w:r>
      <w:proofErr w:type="gramStart"/>
      <w:r>
        <w:rPr>
          <w:rFonts w:ascii="宋体" w:eastAsia="宋体" w:hAnsi="宋体" w:cs="宋体"/>
          <w:sz w:val="18"/>
          <w:szCs w:val="18"/>
        </w:rPr>
        <w:t>售条件</w:t>
      </w:r>
      <w:proofErr w:type="gramEnd"/>
      <w:r>
        <w:rPr>
          <w:rFonts w:ascii="宋体" w:eastAsia="宋体" w:hAnsi="宋体" w:cs="宋体"/>
          <w:sz w:val="18"/>
          <w:szCs w:val="18"/>
        </w:rPr>
        <w:t>普通股股东在报告期内未进行约定购回交易。</w:t>
      </w:r>
    </w:p>
    <w:p w:rsidR="00BA0365" w:rsidRDefault="008D4B2E">
      <w:pPr>
        <w:pStyle w:val="3"/>
        <w:spacing w:line="280" w:lineRule="exact"/>
        <w:jc w:val="left"/>
        <w:rPr>
          <w:rFonts w:ascii="宋体" w:hAnsi="宋体" w:cs="宋体"/>
          <w:b/>
          <w:bCs/>
        </w:rPr>
      </w:pPr>
      <w:bookmarkStart w:id="141" w:name="_Toc989030"/>
      <w:r>
        <w:rPr>
          <w:rFonts w:ascii="宋体" w:hAnsi="宋体" w:cs="宋体"/>
          <w:b/>
          <w:bCs/>
        </w:rPr>
        <w:t>2、公司控股股东情况</w:t>
      </w:r>
      <w:bookmarkEnd w:id="141"/>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控股股东性质：自然人控股</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控股股东类型：自然人</w:t>
      </w:r>
    </w:p>
    <w:tbl>
      <w:tblPr>
        <w:tblW w:w="9639" w:type="dxa"/>
        <w:tblLayout w:type="fixed"/>
        <w:tblLook w:val="04A0" w:firstRow="1" w:lastRow="0" w:firstColumn="1" w:lastColumn="0" w:noHBand="0" w:noVBand="1"/>
      </w:tblPr>
      <w:tblGrid>
        <w:gridCol w:w="3213"/>
        <w:gridCol w:w="3213"/>
        <w:gridCol w:w="3213"/>
      </w:tblGrid>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控股股东姓名</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国籍</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是否取得其他国家或地区居留权</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袁仲雪</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中国</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主要职业及职务</w:t>
            </w:r>
          </w:p>
        </w:tc>
        <w:tc>
          <w:tcPr>
            <w:tcW w:w="6426" w:type="dxa"/>
            <w:gridSpan w:val="2"/>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现任国家橡胶与轮胎工程技术研究中心主任，轮胎先进装备与关键材料国家工程研究中心副主任，中国橡胶工业协会高级副会长、企业执行主席，山东省橡胶工业协会专家委员会主任委员，青岛国</w:t>
            </w:r>
            <w:proofErr w:type="gramStart"/>
            <w:r>
              <w:rPr>
                <w:rFonts w:ascii="宋体" w:eastAsia="宋体" w:hAnsi="宋体" w:cs="宋体"/>
                <w:sz w:val="18"/>
                <w:szCs w:val="18"/>
              </w:rPr>
              <w:t>橡</w:t>
            </w:r>
            <w:proofErr w:type="gramEnd"/>
            <w:r>
              <w:rPr>
                <w:rFonts w:ascii="宋体" w:eastAsia="宋体" w:hAnsi="宋体" w:cs="宋体"/>
                <w:sz w:val="18"/>
                <w:szCs w:val="18"/>
              </w:rPr>
              <w:t>工程技术研究中心有限公司执行董事，青岛煜明投资中心（有限合伙）执行事务合伙人，瑞元鼎实投资有限公司执行董事、经理，青岛瑞元鼎辉控股有限公司执行董事、经理，青岛瑞元鼎华投资控股有限公司执行董事、经理，青岛海湾化学股份有限公司独立董事，</w:t>
            </w:r>
            <w:proofErr w:type="gramStart"/>
            <w:r>
              <w:rPr>
                <w:rFonts w:ascii="宋体" w:eastAsia="宋体" w:hAnsi="宋体" w:cs="宋体"/>
                <w:sz w:val="18"/>
                <w:szCs w:val="18"/>
              </w:rPr>
              <w:t>赛轮集团</w:t>
            </w:r>
            <w:proofErr w:type="gramEnd"/>
            <w:r>
              <w:rPr>
                <w:rFonts w:ascii="宋体" w:eastAsia="宋体" w:hAnsi="宋体" w:cs="宋体"/>
                <w:sz w:val="18"/>
                <w:szCs w:val="18"/>
              </w:rPr>
              <w:t>股份有限公司党委书记、董事、名誉董事长。</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报告期内控股和参股的其他境内外上市公司的股权情况</w:t>
            </w:r>
          </w:p>
        </w:tc>
        <w:tc>
          <w:tcPr>
            <w:tcW w:w="6426" w:type="dxa"/>
            <w:gridSpan w:val="2"/>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除控股本公司外，目前还控股的上市公司为赛</w:t>
            </w:r>
            <w:proofErr w:type="gramStart"/>
            <w:r>
              <w:rPr>
                <w:rFonts w:ascii="宋体" w:eastAsia="宋体" w:hAnsi="宋体" w:cs="宋体"/>
                <w:sz w:val="18"/>
                <w:szCs w:val="18"/>
              </w:rPr>
              <w:t>轮集团</w:t>
            </w:r>
            <w:proofErr w:type="gramEnd"/>
            <w:r>
              <w:rPr>
                <w:rFonts w:ascii="宋体" w:eastAsia="宋体" w:hAnsi="宋体" w:cs="宋体"/>
                <w:sz w:val="18"/>
                <w:szCs w:val="18"/>
              </w:rPr>
              <w:t>股份有限公司（为上海证券交易所的上市公司）。</w:t>
            </w:r>
          </w:p>
        </w:tc>
      </w:tr>
    </w:tbl>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控股股东报告期内变更</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公司报告期控股股东未发生变更。</w:t>
      </w:r>
    </w:p>
    <w:p w:rsidR="00BA0365" w:rsidRDefault="008D4B2E">
      <w:pPr>
        <w:pStyle w:val="3"/>
        <w:spacing w:line="280" w:lineRule="exact"/>
        <w:jc w:val="left"/>
        <w:rPr>
          <w:rFonts w:ascii="宋体" w:hAnsi="宋体" w:cs="宋体"/>
          <w:b/>
          <w:bCs/>
        </w:rPr>
      </w:pPr>
      <w:bookmarkStart w:id="142" w:name="_Toc989031"/>
      <w:r>
        <w:rPr>
          <w:rFonts w:ascii="宋体" w:hAnsi="宋体" w:cs="宋体"/>
          <w:b/>
          <w:bCs/>
        </w:rPr>
        <w:t>3、公司实际控制人及其一致行动人</w:t>
      </w:r>
      <w:bookmarkEnd w:id="142"/>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实际控制人性质：境内自然人</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实际控制人类型：自然人</w:t>
      </w:r>
    </w:p>
    <w:tbl>
      <w:tblPr>
        <w:tblW w:w="9639" w:type="dxa"/>
        <w:tblLayout w:type="fixed"/>
        <w:tblLook w:val="04A0" w:firstRow="1" w:lastRow="0" w:firstColumn="1" w:lastColumn="0" w:noHBand="0" w:noVBand="1"/>
      </w:tblPr>
      <w:tblGrid>
        <w:gridCol w:w="2409"/>
        <w:gridCol w:w="2410"/>
        <w:gridCol w:w="2410"/>
        <w:gridCol w:w="2410"/>
      </w:tblGrid>
      <w:tr w:rsidR="00157EA0">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实际控制人姓名</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与实际控制人关系</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国籍</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是否取得其他国家或地区居留权</w:t>
            </w:r>
          </w:p>
        </w:tc>
      </w:tr>
      <w:tr w:rsidR="00157EA0">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袁仲雪</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本人</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中国</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否</w:t>
            </w:r>
          </w:p>
        </w:tc>
      </w:tr>
      <w:tr w:rsidR="00157EA0">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lastRenderedPageBreak/>
              <w:t>主要职业及职务</w:t>
            </w:r>
          </w:p>
        </w:tc>
        <w:tc>
          <w:tcPr>
            <w:tcW w:w="7229" w:type="dxa"/>
            <w:gridSpan w:val="3"/>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现任国家橡胶与轮胎工程技术研究中心主任，轮胎先进装备与关键材料国家工程研究中心副主任，中国橡胶工业协会高级副会长、企业执行主席，山东省橡胶工业协会专家委员会主任委员，青岛国</w:t>
            </w:r>
            <w:proofErr w:type="gramStart"/>
            <w:r>
              <w:rPr>
                <w:rFonts w:ascii="宋体" w:eastAsia="宋体" w:hAnsi="宋体" w:cs="宋体"/>
                <w:sz w:val="18"/>
                <w:szCs w:val="18"/>
              </w:rPr>
              <w:t>橡</w:t>
            </w:r>
            <w:proofErr w:type="gramEnd"/>
            <w:r>
              <w:rPr>
                <w:rFonts w:ascii="宋体" w:eastAsia="宋体" w:hAnsi="宋体" w:cs="宋体"/>
                <w:sz w:val="18"/>
                <w:szCs w:val="18"/>
              </w:rPr>
              <w:t>工程技术研究中心有限公司执行董事，青岛煜明投资中心（有限合伙）执行事务合伙人，瑞元鼎实投资有限公司执行董事、经理，青岛瑞元鼎辉控股有限公司执行董事、经理，青岛瑞元鼎华投资控股有限公司执行董事、经理，青岛海湾化学股份有限公司独立董事，</w:t>
            </w:r>
            <w:proofErr w:type="gramStart"/>
            <w:r>
              <w:rPr>
                <w:rFonts w:ascii="宋体" w:eastAsia="宋体" w:hAnsi="宋体" w:cs="宋体"/>
                <w:sz w:val="18"/>
                <w:szCs w:val="18"/>
              </w:rPr>
              <w:t>赛轮集团</w:t>
            </w:r>
            <w:proofErr w:type="gramEnd"/>
            <w:r>
              <w:rPr>
                <w:rFonts w:ascii="宋体" w:eastAsia="宋体" w:hAnsi="宋体" w:cs="宋体"/>
                <w:sz w:val="18"/>
                <w:szCs w:val="18"/>
              </w:rPr>
              <w:t>股份有限公司党委书记、董事、名誉董事长。</w:t>
            </w:r>
          </w:p>
        </w:tc>
      </w:tr>
      <w:tr w:rsidR="00157EA0">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过去10年曾控股的境内外上市公司情况</w:t>
            </w:r>
          </w:p>
        </w:tc>
        <w:tc>
          <w:tcPr>
            <w:tcW w:w="7229" w:type="dxa"/>
            <w:gridSpan w:val="3"/>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除控股本公司外，目前还控股的上市公司为赛</w:t>
            </w:r>
            <w:proofErr w:type="gramStart"/>
            <w:r>
              <w:rPr>
                <w:rFonts w:ascii="宋体" w:eastAsia="宋体" w:hAnsi="宋体" w:cs="宋体"/>
                <w:sz w:val="18"/>
                <w:szCs w:val="18"/>
              </w:rPr>
              <w:t>轮集团</w:t>
            </w:r>
            <w:proofErr w:type="gramEnd"/>
            <w:r>
              <w:rPr>
                <w:rFonts w:ascii="宋体" w:eastAsia="宋体" w:hAnsi="宋体" w:cs="宋体"/>
                <w:sz w:val="18"/>
                <w:szCs w:val="18"/>
              </w:rPr>
              <w:t>股份有限公司（为上海证券交易所的上市公司）。</w:t>
            </w:r>
          </w:p>
        </w:tc>
      </w:tr>
    </w:tbl>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实际控制人报告期内变更</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公司报告期实际控制人未发生变更。</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公司与实际控制人之间的产权及控制关系的方框图</w:t>
      </w:r>
    </w:p>
    <w:p w:rsidR="00BA0365" w:rsidRDefault="008D4B2E">
      <w:pPr>
        <w:spacing w:before="40" w:after="40" w:line="0" w:lineRule="atLeast"/>
        <w:jc w:val="center"/>
        <w:rPr>
          <w:rFonts w:ascii="Times New Roman" w:eastAsia="宋体" w:hAnsi="Times New Roman" w:cs="Times New Roman"/>
        </w:rPr>
      </w:pPr>
      <w:r>
        <w:rPr>
          <w:rFonts w:ascii="Times New Roman" w:eastAsia="宋体" w:hAnsi="Times New Roman" w:cs="Times New Roman"/>
          <w:noProof/>
        </w:rPr>
        <w:drawing>
          <wp:inline distT="0" distB="0" distL="0" distR="0">
            <wp:extent cx="3171825" cy="22907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5" cstate="print">
                      <a:extLst/>
                    </a:blip>
                    <a:stretch>
                      <a:fillRect/>
                    </a:stretch>
                  </pic:blipFill>
                  <pic:spPr>
                    <a:xfrm>
                      <a:off x="0" y="0"/>
                      <a:ext cx="3171825" cy="2290762"/>
                    </a:xfrm>
                    <a:prstGeom prst="rect">
                      <a:avLst/>
                    </a:prstGeom>
                  </pic:spPr>
                </pic:pic>
              </a:graphicData>
            </a:graphic>
          </wp:inline>
        </w:drawing>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实际控制人通过信托或其他资产管理方式控制公司</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pStyle w:val="3"/>
        <w:spacing w:line="280" w:lineRule="exact"/>
        <w:jc w:val="left"/>
        <w:rPr>
          <w:rFonts w:ascii="宋体" w:hAnsi="宋体" w:cs="宋体"/>
          <w:b/>
          <w:bCs/>
        </w:rPr>
      </w:pPr>
      <w:bookmarkStart w:id="143" w:name="_Toc989032"/>
      <w:r>
        <w:rPr>
          <w:rFonts w:ascii="宋体" w:hAnsi="宋体" w:cs="宋体"/>
          <w:b/>
          <w:bCs/>
        </w:rPr>
        <w:t>4、公司控股股东或第一大股东及其一致行动人累计质押股份数量占其所持公司股份数量比例达到80%</w:t>
      </w:r>
      <w:bookmarkEnd w:id="143"/>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pStyle w:val="3"/>
        <w:spacing w:line="280" w:lineRule="exact"/>
        <w:jc w:val="left"/>
        <w:rPr>
          <w:rFonts w:ascii="宋体" w:hAnsi="宋体" w:cs="宋体"/>
          <w:b/>
          <w:bCs/>
        </w:rPr>
      </w:pPr>
      <w:bookmarkStart w:id="144" w:name="_Toc989033"/>
      <w:r>
        <w:rPr>
          <w:rFonts w:ascii="宋体" w:hAnsi="宋体" w:cs="宋体"/>
          <w:b/>
          <w:bCs/>
        </w:rPr>
        <w:t>5、其他持股在10%以上的法人股东</w:t>
      </w:r>
      <w:bookmarkEnd w:id="144"/>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pStyle w:val="3"/>
        <w:spacing w:line="280" w:lineRule="exact"/>
        <w:jc w:val="left"/>
        <w:rPr>
          <w:rFonts w:ascii="宋体" w:hAnsi="宋体" w:cs="宋体"/>
          <w:b/>
          <w:bCs/>
        </w:rPr>
      </w:pPr>
      <w:bookmarkStart w:id="145" w:name="_Toc989034"/>
      <w:r>
        <w:rPr>
          <w:rFonts w:ascii="宋体" w:hAnsi="宋体" w:cs="宋体"/>
          <w:b/>
          <w:bCs/>
        </w:rPr>
        <w:t>6、控股股东、实际控制人、重组方及其他承诺主体股份限制减持情况</w:t>
      </w:r>
      <w:bookmarkEnd w:id="145"/>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pStyle w:val="2"/>
        <w:spacing w:before="300" w:after="300" w:line="320" w:lineRule="exact"/>
        <w:rPr>
          <w:rFonts w:ascii="宋体" w:eastAsia="宋体" w:hAnsi="宋体" w:cs="宋体"/>
          <w:b/>
          <w:bCs/>
          <w:sz w:val="24"/>
          <w:szCs w:val="24"/>
        </w:rPr>
      </w:pPr>
      <w:bookmarkStart w:id="146" w:name="_Toc989035"/>
      <w:r>
        <w:rPr>
          <w:rFonts w:ascii="宋体" w:eastAsia="宋体" w:hAnsi="宋体" w:cs="宋体"/>
          <w:b/>
          <w:bCs/>
          <w:sz w:val="24"/>
          <w:szCs w:val="24"/>
        </w:rPr>
        <w:t>四、股份回购在报告期的具体实施情况</w:t>
      </w:r>
      <w:bookmarkEnd w:id="146"/>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股份回购的实施进展情况</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采用集中竞价交易方式减持回购股份的实施进展情况</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r>
        <w:br w:type="page"/>
      </w:r>
    </w:p>
    <w:p w:rsidR="00BA0365" w:rsidRDefault="008D4B2E">
      <w:pPr>
        <w:pStyle w:val="headingh1"/>
        <w:spacing w:before="340" w:after="330" w:line="773" w:lineRule="exact"/>
        <w:jc w:val="center"/>
        <w:rPr>
          <w:rFonts w:ascii="宋体" w:eastAsia="宋体" w:hAnsi="宋体" w:cs="宋体"/>
          <w:b/>
          <w:bCs/>
          <w:sz w:val="32"/>
          <w:szCs w:val="32"/>
        </w:rPr>
      </w:pPr>
      <w:bookmarkStart w:id="147" w:name="_Toc989036"/>
      <w:r>
        <w:rPr>
          <w:rFonts w:ascii="宋体" w:eastAsia="宋体" w:hAnsi="宋体" w:cs="宋体"/>
          <w:b/>
          <w:bCs/>
          <w:sz w:val="32"/>
          <w:szCs w:val="32"/>
        </w:rPr>
        <w:lastRenderedPageBreak/>
        <w:t>第八节 优先股相关情况</w:t>
      </w:r>
      <w:bookmarkEnd w:id="147"/>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报告期公司不存在优先股。</w:t>
      </w:r>
    </w:p>
    <w:p w:rsidR="00BA0365" w:rsidRDefault="008D4B2E">
      <w:r>
        <w:br w:type="page"/>
      </w:r>
    </w:p>
    <w:p w:rsidR="00BA0365" w:rsidRDefault="008D4B2E">
      <w:pPr>
        <w:pStyle w:val="headingh1"/>
        <w:spacing w:before="340" w:after="330" w:line="773" w:lineRule="exact"/>
        <w:jc w:val="center"/>
        <w:rPr>
          <w:rFonts w:ascii="宋体" w:eastAsia="宋体" w:hAnsi="宋体" w:cs="宋体"/>
          <w:b/>
          <w:bCs/>
          <w:sz w:val="32"/>
          <w:szCs w:val="32"/>
        </w:rPr>
      </w:pPr>
      <w:bookmarkStart w:id="148" w:name="_Toc989037"/>
      <w:r>
        <w:rPr>
          <w:rFonts w:ascii="宋体" w:eastAsia="宋体" w:hAnsi="宋体" w:cs="宋体"/>
          <w:b/>
          <w:bCs/>
          <w:sz w:val="32"/>
          <w:szCs w:val="32"/>
        </w:rPr>
        <w:lastRenderedPageBreak/>
        <w:t>第九节 债券相关情况</w:t>
      </w:r>
      <w:bookmarkEnd w:id="148"/>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r>
        <w:br w:type="page"/>
      </w:r>
    </w:p>
    <w:p w:rsidR="00BA0365" w:rsidRDefault="008D4B2E">
      <w:pPr>
        <w:pStyle w:val="headingh1"/>
        <w:spacing w:before="340" w:after="330" w:line="773" w:lineRule="exact"/>
        <w:jc w:val="center"/>
        <w:rPr>
          <w:rFonts w:ascii="宋体" w:eastAsia="宋体" w:hAnsi="宋体" w:cs="宋体"/>
          <w:b/>
          <w:bCs/>
          <w:sz w:val="32"/>
          <w:szCs w:val="32"/>
        </w:rPr>
      </w:pPr>
      <w:bookmarkStart w:id="149" w:name="_Toc989038"/>
      <w:r>
        <w:rPr>
          <w:rFonts w:ascii="宋体" w:eastAsia="宋体" w:hAnsi="宋体" w:cs="宋体"/>
          <w:b/>
          <w:bCs/>
          <w:sz w:val="32"/>
          <w:szCs w:val="32"/>
        </w:rPr>
        <w:lastRenderedPageBreak/>
        <w:t>第十节 财务报告</w:t>
      </w:r>
      <w:bookmarkEnd w:id="149"/>
    </w:p>
    <w:p w:rsidR="00BA0365" w:rsidRDefault="008D4B2E">
      <w:pPr>
        <w:pStyle w:val="2"/>
        <w:spacing w:before="300" w:after="300" w:line="320" w:lineRule="exact"/>
        <w:rPr>
          <w:rFonts w:ascii="宋体" w:eastAsia="宋体" w:hAnsi="宋体" w:cs="宋体"/>
          <w:b/>
          <w:bCs/>
          <w:sz w:val="24"/>
          <w:szCs w:val="24"/>
        </w:rPr>
      </w:pPr>
      <w:bookmarkStart w:id="150" w:name="_Toc989039"/>
      <w:r>
        <w:rPr>
          <w:rFonts w:ascii="宋体" w:eastAsia="宋体" w:hAnsi="宋体" w:cs="宋体"/>
          <w:b/>
          <w:bCs/>
          <w:sz w:val="24"/>
          <w:szCs w:val="24"/>
        </w:rPr>
        <w:t>一、审计报告</w:t>
      </w:r>
      <w:bookmarkEnd w:id="150"/>
    </w:p>
    <w:tbl>
      <w:tblPr>
        <w:tblW w:w="9639" w:type="dxa"/>
        <w:tblLayout w:type="fixed"/>
        <w:tblLook w:val="04A0" w:firstRow="1" w:lastRow="0" w:firstColumn="1" w:lastColumn="0" w:noHBand="0" w:noVBand="1"/>
      </w:tblPr>
      <w:tblGrid>
        <w:gridCol w:w="4820"/>
        <w:gridCol w:w="4819"/>
      </w:tblGrid>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审计意见类型</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标准的无保留意见</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审计报告签署日期</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2024年04月01日</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审计机构名称</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中兴华会计师事务所（特殊普通合伙）</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审计报告文号</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中兴华审</w:t>
            </w:r>
            <w:proofErr w:type="gramEnd"/>
            <w:r>
              <w:rPr>
                <w:rFonts w:ascii="宋体" w:eastAsia="宋体" w:hAnsi="宋体" w:cs="宋体"/>
                <w:sz w:val="18"/>
                <w:szCs w:val="18"/>
              </w:rPr>
              <w:t>字（2024）第030115号</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注册会计师姓名</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丁兆栋、高宁</w:t>
            </w:r>
          </w:p>
        </w:tc>
      </w:tr>
    </w:tbl>
    <w:p w:rsidR="00BA0365" w:rsidRDefault="008D4B2E" w:rsidP="00606927">
      <w:pPr>
        <w:pStyle w:val="a3"/>
        <w:spacing w:before="156" w:beforeAutospacing="0" w:after="0" w:afterAutospacing="0" w:line="360" w:lineRule="auto"/>
        <w:jc w:val="center"/>
        <w:rPr>
          <w:sz w:val="18"/>
          <w:szCs w:val="18"/>
        </w:rPr>
      </w:pPr>
      <w:r w:rsidRPr="00606927">
        <w:rPr>
          <w:rStyle w:val="a4"/>
          <w:rFonts w:cs="Times New Roman"/>
          <w:color w:val="000000"/>
        </w:rPr>
        <w:t>审计报告正文</w:t>
      </w:r>
    </w:p>
    <w:p w:rsidR="008D4B2E" w:rsidRDefault="008D4B2E">
      <w:pPr>
        <w:pStyle w:val="a3"/>
        <w:spacing w:before="120" w:beforeAutospacing="0" w:after="0" w:afterAutospacing="0" w:line="360" w:lineRule="auto"/>
        <w:jc w:val="both"/>
        <w:divId w:val="478041031"/>
        <w:rPr>
          <w:rFonts w:ascii="Times New Roman" w:hAnsi="Times New Roman" w:cs="Times New Roman"/>
          <w:sz w:val="21"/>
          <w:szCs w:val="21"/>
        </w:rPr>
      </w:pPr>
      <w:proofErr w:type="gramStart"/>
      <w:r>
        <w:rPr>
          <w:rStyle w:val="a4"/>
          <w:rFonts w:cs="Times New Roman" w:hint="eastAsia"/>
          <w:color w:val="000000"/>
        </w:rPr>
        <w:t>软控股份有限</w:t>
      </w:r>
      <w:r>
        <w:rPr>
          <w:rStyle w:val="a4"/>
          <w:rFonts w:cs="Times New Roman" w:hint="eastAsia"/>
        </w:rPr>
        <w:t>公司</w:t>
      </w:r>
      <w:proofErr w:type="gramEnd"/>
      <w:r>
        <w:rPr>
          <w:rStyle w:val="a4"/>
          <w:rFonts w:cs="Times New Roman" w:hint="eastAsia"/>
        </w:rPr>
        <w:t xml:space="preserve">全体股东： </w:t>
      </w:r>
    </w:p>
    <w:p w:rsidR="008D4B2E" w:rsidRPr="00606927" w:rsidRDefault="008D4B2E">
      <w:pPr>
        <w:widowControl/>
        <w:numPr>
          <w:ilvl w:val="0"/>
          <w:numId w:val="1"/>
        </w:numPr>
        <w:spacing w:before="100" w:beforeAutospacing="1" w:after="100" w:afterAutospacing="1"/>
        <w:divId w:val="478041031"/>
        <w:rPr>
          <w:rStyle w:val="a4"/>
          <w:szCs w:val="21"/>
        </w:rPr>
      </w:pPr>
      <w:r w:rsidRPr="00606927">
        <w:rPr>
          <w:rStyle w:val="a4"/>
          <w:rFonts w:hint="eastAsia"/>
          <w:szCs w:val="21"/>
        </w:rPr>
        <w:t>审计意见</w:t>
      </w:r>
    </w:p>
    <w:p w:rsidR="008D4B2E" w:rsidRPr="00606927" w:rsidRDefault="008D4B2E">
      <w:pPr>
        <w:pStyle w:val="a3"/>
        <w:spacing w:before="0" w:beforeAutospacing="0" w:after="0" w:afterAutospacing="0" w:line="360" w:lineRule="auto"/>
        <w:ind w:firstLine="480"/>
        <w:jc w:val="both"/>
        <w:divId w:val="478041031"/>
        <w:rPr>
          <w:rFonts w:asciiTheme="minorHAnsi" w:eastAsiaTheme="minorEastAsia" w:hAnsiTheme="minorHAnsi" w:cs="Times New Roman"/>
          <w:kern w:val="2"/>
          <w:sz w:val="21"/>
          <w:szCs w:val="22"/>
        </w:rPr>
      </w:pPr>
      <w:r w:rsidRPr="00606927">
        <w:rPr>
          <w:rFonts w:asciiTheme="minorHAnsi" w:eastAsiaTheme="minorEastAsia" w:hAnsiTheme="minorHAnsi" w:cs="Times New Roman" w:hint="eastAsia"/>
          <w:kern w:val="2"/>
          <w:sz w:val="21"/>
          <w:szCs w:val="22"/>
        </w:rPr>
        <w:t>我们审计</w:t>
      </w:r>
      <w:proofErr w:type="gramStart"/>
      <w:r w:rsidRPr="00606927">
        <w:rPr>
          <w:rFonts w:asciiTheme="minorHAnsi" w:eastAsiaTheme="minorEastAsia" w:hAnsiTheme="minorHAnsi" w:cs="Times New Roman" w:hint="eastAsia"/>
          <w:kern w:val="2"/>
          <w:sz w:val="21"/>
          <w:szCs w:val="22"/>
        </w:rPr>
        <w:t>了软控股份有限公司</w:t>
      </w:r>
      <w:proofErr w:type="gramEnd"/>
      <w:r w:rsidRPr="00606927">
        <w:rPr>
          <w:rFonts w:asciiTheme="minorHAnsi" w:eastAsiaTheme="minorEastAsia" w:hAnsiTheme="minorHAnsi" w:cs="Times New Roman" w:hint="eastAsia"/>
          <w:kern w:val="2"/>
          <w:sz w:val="21"/>
          <w:szCs w:val="22"/>
        </w:rPr>
        <w:t>（以下简称“贵公司”）财务报表，包括</w:t>
      </w:r>
      <w:r w:rsidRPr="00606927">
        <w:rPr>
          <w:rFonts w:asciiTheme="minorHAnsi" w:eastAsiaTheme="minorEastAsia" w:hAnsiTheme="minorHAnsi" w:cs="Times New Roman" w:hint="eastAsia"/>
          <w:kern w:val="2"/>
          <w:sz w:val="21"/>
          <w:szCs w:val="22"/>
        </w:rPr>
        <w:t>2023</w:t>
      </w:r>
      <w:r w:rsidRPr="00606927">
        <w:rPr>
          <w:rFonts w:asciiTheme="minorHAnsi" w:eastAsiaTheme="minorEastAsia" w:hAnsiTheme="minorHAnsi" w:cs="Times New Roman" w:hint="eastAsia"/>
          <w:kern w:val="2"/>
          <w:sz w:val="21"/>
          <w:szCs w:val="22"/>
        </w:rPr>
        <w:t>年</w:t>
      </w:r>
      <w:r w:rsidRPr="00606927">
        <w:rPr>
          <w:rFonts w:asciiTheme="minorHAnsi" w:eastAsiaTheme="minorEastAsia" w:hAnsiTheme="minorHAnsi" w:cs="Times New Roman" w:hint="eastAsia"/>
          <w:kern w:val="2"/>
          <w:sz w:val="21"/>
          <w:szCs w:val="22"/>
        </w:rPr>
        <w:t>12</w:t>
      </w:r>
      <w:r w:rsidRPr="00606927">
        <w:rPr>
          <w:rFonts w:asciiTheme="minorHAnsi" w:eastAsiaTheme="minorEastAsia" w:hAnsiTheme="minorHAnsi" w:cs="Times New Roman" w:hint="eastAsia"/>
          <w:kern w:val="2"/>
          <w:sz w:val="21"/>
          <w:szCs w:val="22"/>
        </w:rPr>
        <w:t>月</w:t>
      </w:r>
      <w:r w:rsidRPr="00606927">
        <w:rPr>
          <w:rFonts w:asciiTheme="minorHAnsi" w:eastAsiaTheme="minorEastAsia" w:hAnsiTheme="minorHAnsi" w:cs="Times New Roman" w:hint="eastAsia"/>
          <w:kern w:val="2"/>
          <w:sz w:val="21"/>
          <w:szCs w:val="22"/>
        </w:rPr>
        <w:t>31</w:t>
      </w:r>
      <w:r w:rsidRPr="00606927">
        <w:rPr>
          <w:rFonts w:asciiTheme="minorHAnsi" w:eastAsiaTheme="minorEastAsia" w:hAnsiTheme="minorHAnsi" w:cs="Times New Roman" w:hint="eastAsia"/>
          <w:kern w:val="2"/>
          <w:sz w:val="21"/>
          <w:szCs w:val="22"/>
        </w:rPr>
        <w:t>日的合并及母公司资产负债表，</w:t>
      </w:r>
      <w:r w:rsidRPr="00606927">
        <w:rPr>
          <w:rFonts w:asciiTheme="minorHAnsi" w:eastAsiaTheme="minorEastAsia" w:hAnsiTheme="minorHAnsi" w:cs="Times New Roman" w:hint="eastAsia"/>
          <w:kern w:val="2"/>
          <w:sz w:val="21"/>
          <w:szCs w:val="22"/>
        </w:rPr>
        <w:t>2023</w:t>
      </w:r>
      <w:r w:rsidRPr="00606927">
        <w:rPr>
          <w:rFonts w:asciiTheme="minorHAnsi" w:eastAsiaTheme="minorEastAsia" w:hAnsiTheme="minorHAnsi" w:cs="Times New Roman" w:hint="eastAsia"/>
          <w:kern w:val="2"/>
          <w:sz w:val="21"/>
          <w:szCs w:val="22"/>
        </w:rPr>
        <w:t>年度的合并及母公司利润表、合并及母公司现金流量表、合并及母公司股东权益变动表以及相关财务报表附注。</w:t>
      </w:r>
    </w:p>
    <w:p w:rsidR="008D4B2E" w:rsidRPr="00606927" w:rsidRDefault="008D4B2E">
      <w:pPr>
        <w:pStyle w:val="a3"/>
        <w:spacing w:before="0" w:beforeAutospacing="0" w:after="0" w:afterAutospacing="0" w:line="360" w:lineRule="auto"/>
        <w:ind w:firstLine="480"/>
        <w:jc w:val="both"/>
        <w:divId w:val="478041031"/>
        <w:rPr>
          <w:rFonts w:asciiTheme="minorHAnsi" w:eastAsiaTheme="minorEastAsia" w:hAnsiTheme="minorHAnsi" w:cs="Times New Roman"/>
          <w:kern w:val="2"/>
          <w:sz w:val="21"/>
          <w:szCs w:val="22"/>
        </w:rPr>
      </w:pPr>
      <w:r w:rsidRPr="00606927">
        <w:rPr>
          <w:rFonts w:asciiTheme="minorHAnsi" w:eastAsiaTheme="minorEastAsia" w:hAnsiTheme="minorHAnsi" w:cs="Times New Roman" w:hint="eastAsia"/>
          <w:kern w:val="2"/>
          <w:sz w:val="21"/>
          <w:szCs w:val="22"/>
        </w:rPr>
        <w:t>我们认为，后附的财务报表在所有重大方面按照企业会计准则的规定编制，公允反映了贵公司</w:t>
      </w:r>
      <w:r w:rsidRPr="00606927">
        <w:rPr>
          <w:rFonts w:asciiTheme="minorHAnsi" w:eastAsiaTheme="minorEastAsia" w:hAnsiTheme="minorHAnsi" w:cs="Times New Roman" w:hint="eastAsia"/>
          <w:kern w:val="2"/>
          <w:sz w:val="21"/>
          <w:szCs w:val="22"/>
        </w:rPr>
        <w:t>2023</w:t>
      </w:r>
      <w:r w:rsidRPr="00606927">
        <w:rPr>
          <w:rFonts w:asciiTheme="minorHAnsi" w:eastAsiaTheme="minorEastAsia" w:hAnsiTheme="minorHAnsi" w:cs="Times New Roman" w:hint="eastAsia"/>
          <w:kern w:val="2"/>
          <w:sz w:val="21"/>
          <w:szCs w:val="22"/>
        </w:rPr>
        <w:t>年</w:t>
      </w:r>
      <w:r w:rsidRPr="00606927">
        <w:rPr>
          <w:rFonts w:asciiTheme="minorHAnsi" w:eastAsiaTheme="minorEastAsia" w:hAnsiTheme="minorHAnsi" w:cs="Times New Roman" w:hint="eastAsia"/>
          <w:kern w:val="2"/>
          <w:sz w:val="21"/>
          <w:szCs w:val="22"/>
        </w:rPr>
        <w:t>12</w:t>
      </w:r>
      <w:r w:rsidRPr="00606927">
        <w:rPr>
          <w:rFonts w:asciiTheme="minorHAnsi" w:eastAsiaTheme="minorEastAsia" w:hAnsiTheme="minorHAnsi" w:cs="Times New Roman" w:hint="eastAsia"/>
          <w:kern w:val="2"/>
          <w:sz w:val="21"/>
          <w:szCs w:val="22"/>
        </w:rPr>
        <w:t>月</w:t>
      </w:r>
      <w:r w:rsidRPr="00606927">
        <w:rPr>
          <w:rFonts w:asciiTheme="minorHAnsi" w:eastAsiaTheme="minorEastAsia" w:hAnsiTheme="minorHAnsi" w:cs="Times New Roman" w:hint="eastAsia"/>
          <w:kern w:val="2"/>
          <w:sz w:val="21"/>
          <w:szCs w:val="22"/>
        </w:rPr>
        <w:t>31</w:t>
      </w:r>
      <w:r w:rsidRPr="00606927">
        <w:rPr>
          <w:rFonts w:asciiTheme="minorHAnsi" w:eastAsiaTheme="minorEastAsia" w:hAnsiTheme="minorHAnsi" w:cs="Times New Roman" w:hint="eastAsia"/>
          <w:kern w:val="2"/>
          <w:sz w:val="21"/>
          <w:szCs w:val="22"/>
        </w:rPr>
        <w:t>日合并及母公司的财务状况以及</w:t>
      </w:r>
      <w:r w:rsidRPr="00606927">
        <w:rPr>
          <w:rFonts w:asciiTheme="minorHAnsi" w:eastAsiaTheme="minorEastAsia" w:hAnsiTheme="minorHAnsi" w:cs="Times New Roman" w:hint="eastAsia"/>
          <w:kern w:val="2"/>
          <w:sz w:val="21"/>
          <w:szCs w:val="22"/>
        </w:rPr>
        <w:t>2023</w:t>
      </w:r>
      <w:r w:rsidRPr="00606927">
        <w:rPr>
          <w:rFonts w:asciiTheme="minorHAnsi" w:eastAsiaTheme="minorEastAsia" w:hAnsiTheme="minorHAnsi" w:cs="Times New Roman" w:hint="eastAsia"/>
          <w:kern w:val="2"/>
          <w:sz w:val="21"/>
          <w:szCs w:val="22"/>
        </w:rPr>
        <w:t>年度合并及母公司的经营成果和现金流量。</w:t>
      </w:r>
    </w:p>
    <w:p w:rsidR="008D4B2E" w:rsidRPr="00606927" w:rsidRDefault="008D4B2E">
      <w:pPr>
        <w:widowControl/>
        <w:numPr>
          <w:ilvl w:val="0"/>
          <w:numId w:val="2"/>
        </w:numPr>
        <w:spacing w:before="100" w:beforeAutospacing="1" w:after="100" w:afterAutospacing="1"/>
        <w:divId w:val="478041031"/>
        <w:rPr>
          <w:rStyle w:val="a4"/>
          <w:szCs w:val="21"/>
        </w:rPr>
      </w:pPr>
      <w:r w:rsidRPr="00606927">
        <w:rPr>
          <w:rStyle w:val="a4"/>
          <w:rFonts w:hint="eastAsia"/>
          <w:szCs w:val="21"/>
        </w:rPr>
        <w:t>形成审计意见的基础</w:t>
      </w:r>
    </w:p>
    <w:p w:rsidR="008D4B2E" w:rsidRDefault="008D4B2E">
      <w:pPr>
        <w:pStyle w:val="a3"/>
        <w:spacing w:before="0" w:beforeAutospacing="0" w:after="0" w:afterAutospacing="0" w:line="360" w:lineRule="auto"/>
        <w:ind w:firstLine="480"/>
        <w:jc w:val="both"/>
        <w:divId w:val="478041031"/>
        <w:rPr>
          <w:rFonts w:ascii="Times New Roman" w:hAnsi="Times New Roman" w:cs="Times New Roman"/>
          <w:sz w:val="21"/>
          <w:szCs w:val="21"/>
        </w:rPr>
      </w:pPr>
      <w:r w:rsidRPr="00606927">
        <w:rPr>
          <w:rFonts w:asciiTheme="minorHAnsi" w:eastAsiaTheme="minorEastAsia" w:hAnsiTheme="minorHAnsi" w:cs="Times New Roman" w:hint="eastAsia"/>
          <w:kern w:val="2"/>
          <w:sz w:val="21"/>
          <w:szCs w:val="22"/>
        </w:rPr>
        <w:t>我们按照中国注册会计师审计准则的规定执行了审计工作。审计报告的“注册会计师对财务报表审计的责任”部分进一步阐述了我们在这些准则下的责任。按照中国注册会计师职业道德守则，我们独立于贵公司，并履行了职业道德方面的其他责任。我们相信，我们获取的审计证据是充分、适当的，为发表审计意见提供了基础。</w:t>
      </w:r>
    </w:p>
    <w:p w:rsidR="008D4B2E" w:rsidRPr="00606927" w:rsidRDefault="008D4B2E">
      <w:pPr>
        <w:widowControl/>
        <w:numPr>
          <w:ilvl w:val="0"/>
          <w:numId w:val="3"/>
        </w:numPr>
        <w:spacing w:before="100" w:beforeAutospacing="1" w:after="100" w:afterAutospacing="1"/>
        <w:divId w:val="478041031"/>
        <w:rPr>
          <w:rStyle w:val="a4"/>
          <w:szCs w:val="21"/>
        </w:rPr>
      </w:pPr>
      <w:r w:rsidRPr="00606927">
        <w:rPr>
          <w:rStyle w:val="a4"/>
          <w:rFonts w:hint="eastAsia"/>
          <w:szCs w:val="21"/>
        </w:rPr>
        <w:t>关键审计事项</w:t>
      </w:r>
    </w:p>
    <w:p w:rsidR="008D4B2E" w:rsidRDefault="008D4B2E">
      <w:pPr>
        <w:pStyle w:val="a3"/>
        <w:spacing w:before="0" w:beforeAutospacing="0" w:after="0" w:afterAutospacing="0" w:line="360" w:lineRule="auto"/>
        <w:ind w:firstLine="480"/>
        <w:jc w:val="both"/>
        <w:divId w:val="478041031"/>
        <w:rPr>
          <w:rFonts w:ascii="Times New Roman" w:hAnsi="Times New Roman" w:cs="Times New Roman"/>
          <w:sz w:val="21"/>
          <w:szCs w:val="21"/>
        </w:rPr>
      </w:pPr>
      <w:r w:rsidRPr="00606927">
        <w:rPr>
          <w:rFonts w:asciiTheme="minorHAnsi" w:eastAsiaTheme="minorEastAsia" w:hAnsiTheme="minorHAnsi" w:cs="Times New Roman" w:hint="eastAsia"/>
          <w:kern w:val="2"/>
          <w:sz w:val="21"/>
          <w:szCs w:val="22"/>
        </w:rPr>
        <w:t>关键审计事项是我们根据职业判断，认为对本期财务报表审计最为重要的事项。这些事项的应对以对财务报表整体进行审计并形成意见为背景，我们不对这些事项单独发表意见。我们确定下列事项是需要在审计报告中沟通的关键审计事项。</w:t>
      </w:r>
    </w:p>
    <w:p w:rsidR="008D4B2E" w:rsidRPr="00606927" w:rsidRDefault="008D4B2E">
      <w:pPr>
        <w:pStyle w:val="a3"/>
        <w:spacing w:before="0" w:beforeAutospacing="0" w:after="0" w:afterAutospacing="0" w:line="360" w:lineRule="auto"/>
        <w:ind w:firstLine="482"/>
        <w:jc w:val="both"/>
        <w:divId w:val="478041031"/>
        <w:rPr>
          <w:rStyle w:val="a4"/>
          <w:rFonts w:asciiTheme="minorHAnsi" w:eastAsiaTheme="minorEastAsia" w:hAnsiTheme="minorHAnsi" w:cstheme="minorBidi"/>
          <w:kern w:val="2"/>
        </w:rPr>
      </w:pPr>
      <w:r w:rsidRPr="00606927">
        <w:rPr>
          <w:rStyle w:val="a4"/>
          <w:rFonts w:asciiTheme="minorHAnsi" w:eastAsiaTheme="minorEastAsia" w:hAnsiTheme="minorHAnsi" w:cstheme="minorBidi" w:hint="eastAsia"/>
          <w:kern w:val="2"/>
          <w:sz w:val="21"/>
          <w:szCs w:val="21"/>
        </w:rPr>
        <w:t>（一）收入的确认</w:t>
      </w:r>
    </w:p>
    <w:p w:rsidR="008D4B2E" w:rsidRPr="00606927" w:rsidRDefault="008D4B2E">
      <w:pPr>
        <w:pStyle w:val="a3"/>
        <w:spacing w:before="0" w:beforeAutospacing="0" w:after="0" w:afterAutospacing="0" w:line="360" w:lineRule="auto"/>
        <w:ind w:firstLine="482"/>
        <w:jc w:val="both"/>
        <w:divId w:val="478041031"/>
        <w:rPr>
          <w:rStyle w:val="a4"/>
          <w:rFonts w:asciiTheme="minorHAnsi" w:eastAsiaTheme="minorEastAsia" w:hAnsiTheme="minorHAnsi" w:cstheme="minorBidi"/>
          <w:kern w:val="2"/>
        </w:rPr>
      </w:pPr>
      <w:r w:rsidRPr="00606927">
        <w:rPr>
          <w:rStyle w:val="a4"/>
          <w:rFonts w:asciiTheme="minorHAnsi" w:eastAsiaTheme="minorEastAsia" w:hAnsiTheme="minorHAnsi" w:cstheme="minorBidi"/>
          <w:kern w:val="2"/>
          <w:sz w:val="21"/>
          <w:szCs w:val="21"/>
        </w:rPr>
        <w:t>1</w:t>
      </w:r>
      <w:r w:rsidRPr="00606927">
        <w:rPr>
          <w:rStyle w:val="a4"/>
          <w:rFonts w:asciiTheme="minorHAnsi" w:eastAsiaTheme="minorEastAsia" w:hAnsiTheme="minorHAnsi" w:cstheme="minorBidi" w:hint="eastAsia"/>
          <w:kern w:val="2"/>
          <w:sz w:val="21"/>
          <w:szCs w:val="21"/>
        </w:rPr>
        <w:t>、事项描述</w:t>
      </w:r>
    </w:p>
    <w:p w:rsidR="008D4B2E" w:rsidRPr="00606927" w:rsidRDefault="008D4B2E">
      <w:pPr>
        <w:pStyle w:val="a3"/>
        <w:spacing w:before="0" w:beforeAutospacing="0" w:after="0" w:afterAutospacing="0" w:line="360" w:lineRule="auto"/>
        <w:ind w:firstLine="480"/>
        <w:jc w:val="both"/>
        <w:divId w:val="478041031"/>
        <w:rPr>
          <w:rFonts w:asciiTheme="minorHAnsi" w:eastAsiaTheme="minorEastAsia" w:hAnsiTheme="minorHAnsi" w:cs="Times New Roman"/>
          <w:kern w:val="2"/>
          <w:sz w:val="21"/>
          <w:szCs w:val="22"/>
        </w:rPr>
      </w:pPr>
      <w:r w:rsidRPr="00606927">
        <w:rPr>
          <w:rFonts w:asciiTheme="minorHAnsi" w:eastAsiaTheme="minorEastAsia" w:hAnsiTheme="minorHAnsi" w:cs="Times New Roman" w:hint="eastAsia"/>
          <w:kern w:val="2"/>
          <w:sz w:val="21"/>
          <w:szCs w:val="22"/>
        </w:rPr>
        <w:lastRenderedPageBreak/>
        <w:t>如贵公司财务报表附注四、</w:t>
      </w:r>
      <w:r w:rsidRPr="00606927">
        <w:rPr>
          <w:rFonts w:asciiTheme="minorHAnsi" w:eastAsiaTheme="minorEastAsia" w:hAnsiTheme="minorHAnsi" w:cs="Times New Roman"/>
          <w:kern w:val="2"/>
          <w:sz w:val="21"/>
          <w:szCs w:val="22"/>
        </w:rPr>
        <w:t>27</w:t>
      </w:r>
      <w:r w:rsidRPr="00606927">
        <w:rPr>
          <w:rFonts w:asciiTheme="minorHAnsi" w:eastAsiaTheme="minorEastAsia" w:hAnsiTheme="minorHAnsi" w:cs="Times New Roman" w:hint="eastAsia"/>
          <w:kern w:val="2"/>
          <w:sz w:val="21"/>
          <w:szCs w:val="22"/>
        </w:rPr>
        <w:t>及附注六、</w:t>
      </w:r>
      <w:r w:rsidRPr="00606927">
        <w:rPr>
          <w:rFonts w:asciiTheme="minorHAnsi" w:eastAsiaTheme="minorEastAsia" w:hAnsiTheme="minorHAnsi" w:cs="Times New Roman"/>
          <w:kern w:val="2"/>
          <w:sz w:val="21"/>
          <w:szCs w:val="22"/>
        </w:rPr>
        <w:t>42</w:t>
      </w:r>
      <w:r w:rsidRPr="00606927">
        <w:rPr>
          <w:rFonts w:asciiTheme="minorHAnsi" w:eastAsiaTheme="minorEastAsia" w:hAnsiTheme="minorHAnsi" w:cs="Times New Roman" w:hint="eastAsia"/>
          <w:kern w:val="2"/>
          <w:sz w:val="21"/>
          <w:szCs w:val="22"/>
        </w:rPr>
        <w:t>所示，于</w:t>
      </w:r>
      <w:r w:rsidRPr="00606927">
        <w:rPr>
          <w:rFonts w:asciiTheme="minorHAnsi" w:eastAsiaTheme="minorEastAsia" w:hAnsiTheme="minorHAnsi" w:cs="Times New Roman"/>
          <w:kern w:val="2"/>
          <w:sz w:val="21"/>
          <w:szCs w:val="22"/>
        </w:rPr>
        <w:t>2023</w:t>
      </w:r>
      <w:r w:rsidRPr="00606927">
        <w:rPr>
          <w:rFonts w:asciiTheme="minorHAnsi" w:eastAsiaTheme="minorEastAsia" w:hAnsiTheme="minorHAnsi" w:cs="Times New Roman" w:hint="eastAsia"/>
          <w:kern w:val="2"/>
          <w:sz w:val="21"/>
          <w:szCs w:val="22"/>
        </w:rPr>
        <w:t>年度，贵公司合并财务报表中的主营业务收入为</w:t>
      </w:r>
      <w:r w:rsidRPr="00606927">
        <w:rPr>
          <w:rFonts w:asciiTheme="minorHAnsi" w:eastAsiaTheme="minorEastAsia" w:hAnsiTheme="minorHAnsi" w:cs="Times New Roman"/>
          <w:kern w:val="2"/>
          <w:sz w:val="21"/>
          <w:szCs w:val="22"/>
        </w:rPr>
        <w:t>5,485,228,857.05</w:t>
      </w:r>
      <w:r w:rsidRPr="00606927">
        <w:rPr>
          <w:rFonts w:asciiTheme="minorHAnsi" w:eastAsiaTheme="minorEastAsia" w:hAnsiTheme="minorHAnsi" w:cs="Times New Roman" w:hint="eastAsia"/>
          <w:kern w:val="2"/>
          <w:sz w:val="21"/>
          <w:szCs w:val="22"/>
        </w:rPr>
        <w:t>元，其中绝大部分为机械设备的销售收入，根据销售合同约定，通常以产品完成安装调试并验收合格后确认销售收入。</w:t>
      </w:r>
    </w:p>
    <w:p w:rsidR="008D4B2E" w:rsidRDefault="008D4B2E">
      <w:pPr>
        <w:pStyle w:val="a3"/>
        <w:spacing w:before="0" w:beforeAutospacing="0" w:after="0" w:afterAutospacing="0" w:line="360" w:lineRule="auto"/>
        <w:ind w:firstLine="480"/>
        <w:jc w:val="both"/>
        <w:divId w:val="478041031"/>
        <w:rPr>
          <w:rFonts w:ascii="Times New Roman" w:hAnsi="Times New Roman" w:cs="Times New Roman"/>
          <w:sz w:val="21"/>
          <w:szCs w:val="21"/>
        </w:rPr>
      </w:pPr>
      <w:r w:rsidRPr="00606927">
        <w:rPr>
          <w:rFonts w:asciiTheme="minorHAnsi" w:eastAsiaTheme="minorEastAsia" w:hAnsiTheme="minorHAnsi" w:cs="Times New Roman" w:hint="eastAsia"/>
          <w:kern w:val="2"/>
          <w:sz w:val="21"/>
          <w:szCs w:val="22"/>
        </w:rPr>
        <w:t>由于收入是贵公司的关键业绩指标之一，从而存在管理层为了达到特定目标或期望而操纵收入确认时点的固有风险，因此我们将贵公司收入确认识别为关键审计事项。</w:t>
      </w:r>
    </w:p>
    <w:p w:rsidR="008D4B2E" w:rsidRPr="00606927" w:rsidRDefault="008D4B2E">
      <w:pPr>
        <w:pStyle w:val="a3"/>
        <w:spacing w:before="0" w:beforeAutospacing="0" w:after="0" w:afterAutospacing="0" w:line="360" w:lineRule="auto"/>
        <w:ind w:firstLine="482"/>
        <w:jc w:val="both"/>
        <w:divId w:val="478041031"/>
        <w:rPr>
          <w:rStyle w:val="a4"/>
          <w:rFonts w:asciiTheme="minorHAnsi" w:eastAsiaTheme="minorEastAsia" w:hAnsiTheme="minorHAnsi" w:cstheme="minorBidi"/>
          <w:kern w:val="2"/>
        </w:rPr>
      </w:pPr>
      <w:r w:rsidRPr="00606927">
        <w:rPr>
          <w:rStyle w:val="a4"/>
          <w:rFonts w:asciiTheme="minorHAnsi" w:eastAsiaTheme="minorEastAsia" w:hAnsiTheme="minorHAnsi" w:cstheme="minorBidi"/>
          <w:kern w:val="2"/>
          <w:sz w:val="21"/>
          <w:szCs w:val="21"/>
        </w:rPr>
        <w:t>2</w:t>
      </w:r>
      <w:r w:rsidRPr="00606927">
        <w:rPr>
          <w:rStyle w:val="a4"/>
          <w:rFonts w:asciiTheme="minorHAnsi" w:eastAsiaTheme="minorEastAsia" w:hAnsiTheme="minorHAnsi" w:cstheme="minorBidi" w:hint="eastAsia"/>
          <w:kern w:val="2"/>
          <w:sz w:val="21"/>
          <w:szCs w:val="21"/>
        </w:rPr>
        <w:t>、审计应对</w:t>
      </w:r>
    </w:p>
    <w:p w:rsidR="008D4B2E" w:rsidRPr="00606927" w:rsidRDefault="008D4B2E">
      <w:pPr>
        <w:pStyle w:val="a3"/>
        <w:spacing w:before="0" w:beforeAutospacing="0" w:after="0" w:afterAutospacing="0" w:line="360" w:lineRule="auto"/>
        <w:ind w:firstLine="480"/>
        <w:jc w:val="both"/>
        <w:divId w:val="478041031"/>
        <w:rPr>
          <w:rFonts w:asciiTheme="minorHAnsi" w:eastAsiaTheme="minorEastAsia" w:hAnsiTheme="minorHAnsi" w:cs="Times New Roman"/>
          <w:kern w:val="2"/>
          <w:sz w:val="21"/>
          <w:szCs w:val="22"/>
        </w:rPr>
      </w:pPr>
      <w:r w:rsidRPr="00606927">
        <w:rPr>
          <w:rFonts w:asciiTheme="minorHAnsi" w:eastAsiaTheme="minorEastAsia" w:hAnsiTheme="minorHAnsi" w:cs="Times New Roman" w:hint="eastAsia"/>
          <w:kern w:val="2"/>
          <w:sz w:val="21"/>
          <w:szCs w:val="22"/>
        </w:rPr>
        <w:t>①了解和评价管理层与收入确认相关的关键内部控制的设计和运行有效性；</w:t>
      </w:r>
    </w:p>
    <w:p w:rsidR="008D4B2E" w:rsidRPr="00606927" w:rsidRDefault="008D4B2E">
      <w:pPr>
        <w:pStyle w:val="a3"/>
        <w:spacing w:before="0" w:beforeAutospacing="0" w:after="0" w:afterAutospacing="0" w:line="360" w:lineRule="auto"/>
        <w:ind w:firstLine="480"/>
        <w:jc w:val="both"/>
        <w:divId w:val="478041031"/>
        <w:rPr>
          <w:rFonts w:asciiTheme="minorHAnsi" w:eastAsiaTheme="minorEastAsia" w:hAnsiTheme="minorHAnsi" w:cs="Times New Roman"/>
          <w:kern w:val="2"/>
          <w:sz w:val="21"/>
          <w:szCs w:val="22"/>
        </w:rPr>
      </w:pPr>
      <w:r w:rsidRPr="00606927">
        <w:rPr>
          <w:rFonts w:asciiTheme="minorHAnsi" w:eastAsiaTheme="minorEastAsia" w:hAnsiTheme="minorHAnsi" w:cs="Times New Roman" w:hint="eastAsia"/>
          <w:kern w:val="2"/>
          <w:sz w:val="21"/>
          <w:szCs w:val="22"/>
        </w:rPr>
        <w:t>②从销售合同中选取样本进行检查，识别与商品控制权转移相关的合同条款与条件，评价贵公司的收入确认时点是否符合企业会计准则的要求；</w:t>
      </w:r>
    </w:p>
    <w:p w:rsidR="008D4B2E" w:rsidRPr="00606927" w:rsidRDefault="008D4B2E">
      <w:pPr>
        <w:pStyle w:val="a3"/>
        <w:spacing w:before="0" w:beforeAutospacing="0" w:after="0" w:afterAutospacing="0" w:line="360" w:lineRule="auto"/>
        <w:ind w:firstLine="480"/>
        <w:jc w:val="both"/>
        <w:divId w:val="478041031"/>
        <w:rPr>
          <w:rFonts w:asciiTheme="minorHAnsi" w:eastAsiaTheme="minorEastAsia" w:hAnsiTheme="minorHAnsi" w:cs="Times New Roman"/>
          <w:kern w:val="2"/>
          <w:sz w:val="21"/>
          <w:szCs w:val="22"/>
        </w:rPr>
      </w:pPr>
      <w:r w:rsidRPr="00606927">
        <w:rPr>
          <w:rFonts w:asciiTheme="minorHAnsi" w:eastAsiaTheme="minorEastAsia" w:hAnsiTheme="minorHAnsi" w:cs="Times New Roman" w:hint="eastAsia"/>
          <w:kern w:val="2"/>
          <w:sz w:val="21"/>
          <w:szCs w:val="22"/>
        </w:rPr>
        <w:t>③从本年记录的收入交易中选取样本，核对销售合同及验收单等支撑性文件，评价相关收入确认是否符合贵公司收入确认的会计政策；</w:t>
      </w:r>
    </w:p>
    <w:p w:rsidR="008D4B2E" w:rsidRPr="00606927" w:rsidRDefault="008D4B2E">
      <w:pPr>
        <w:pStyle w:val="a3"/>
        <w:spacing w:before="0" w:beforeAutospacing="0" w:after="0" w:afterAutospacing="0" w:line="360" w:lineRule="auto"/>
        <w:ind w:firstLine="480"/>
        <w:jc w:val="both"/>
        <w:divId w:val="478041031"/>
        <w:rPr>
          <w:rFonts w:asciiTheme="minorHAnsi" w:eastAsiaTheme="minorEastAsia" w:hAnsiTheme="minorHAnsi" w:cs="Times New Roman"/>
          <w:kern w:val="2"/>
          <w:sz w:val="21"/>
          <w:szCs w:val="22"/>
        </w:rPr>
      </w:pPr>
      <w:r w:rsidRPr="00606927">
        <w:rPr>
          <w:rFonts w:asciiTheme="minorHAnsi" w:eastAsiaTheme="minorEastAsia" w:hAnsiTheme="minorHAnsi" w:cs="Times New Roman" w:hint="eastAsia"/>
          <w:kern w:val="2"/>
          <w:sz w:val="21"/>
          <w:szCs w:val="22"/>
        </w:rPr>
        <w:t>④从本年记录的收入交易中选取样本，</w:t>
      </w:r>
      <w:proofErr w:type="gramStart"/>
      <w:r w:rsidRPr="00606927">
        <w:rPr>
          <w:rFonts w:asciiTheme="minorHAnsi" w:eastAsiaTheme="minorEastAsia" w:hAnsiTheme="minorHAnsi" w:cs="Times New Roman" w:hint="eastAsia"/>
          <w:kern w:val="2"/>
          <w:sz w:val="21"/>
          <w:szCs w:val="22"/>
        </w:rPr>
        <w:t>函证相应</w:t>
      </w:r>
      <w:proofErr w:type="gramEnd"/>
      <w:r w:rsidRPr="00606927">
        <w:rPr>
          <w:rFonts w:asciiTheme="minorHAnsi" w:eastAsiaTheme="minorEastAsia" w:hAnsiTheme="minorHAnsi" w:cs="Times New Roman" w:hint="eastAsia"/>
          <w:kern w:val="2"/>
          <w:sz w:val="21"/>
          <w:szCs w:val="22"/>
        </w:rPr>
        <w:t>客户的营业收入金额及应收账款余额，确认双方对产品的验收合格是否达成一致，计量是否准确；</w:t>
      </w:r>
    </w:p>
    <w:p w:rsidR="008D4B2E" w:rsidRPr="00606927" w:rsidRDefault="008D4B2E">
      <w:pPr>
        <w:pStyle w:val="a3"/>
        <w:spacing w:before="0" w:beforeAutospacing="0" w:after="0" w:afterAutospacing="0" w:line="360" w:lineRule="auto"/>
        <w:ind w:firstLine="480"/>
        <w:jc w:val="both"/>
        <w:divId w:val="478041031"/>
        <w:rPr>
          <w:rFonts w:asciiTheme="minorHAnsi" w:eastAsiaTheme="minorEastAsia" w:hAnsiTheme="minorHAnsi" w:cs="Times New Roman"/>
          <w:kern w:val="2"/>
          <w:sz w:val="21"/>
          <w:szCs w:val="22"/>
        </w:rPr>
      </w:pPr>
      <w:r w:rsidRPr="00606927">
        <w:rPr>
          <w:rFonts w:asciiTheme="minorHAnsi" w:eastAsiaTheme="minorEastAsia" w:hAnsiTheme="minorHAnsi" w:cs="Times New Roman" w:hint="eastAsia"/>
          <w:kern w:val="2"/>
          <w:sz w:val="21"/>
          <w:szCs w:val="22"/>
        </w:rPr>
        <w:t>⑤从资产负债表日前</w:t>
      </w:r>
      <w:proofErr w:type="gramStart"/>
      <w:r w:rsidRPr="00606927">
        <w:rPr>
          <w:rFonts w:asciiTheme="minorHAnsi" w:eastAsiaTheme="minorEastAsia" w:hAnsiTheme="minorHAnsi" w:cs="Times New Roman" w:hint="eastAsia"/>
          <w:kern w:val="2"/>
          <w:sz w:val="21"/>
          <w:szCs w:val="22"/>
        </w:rPr>
        <w:t>后记录</w:t>
      </w:r>
      <w:proofErr w:type="gramEnd"/>
      <w:r w:rsidRPr="00606927">
        <w:rPr>
          <w:rFonts w:asciiTheme="minorHAnsi" w:eastAsiaTheme="minorEastAsia" w:hAnsiTheme="minorHAnsi" w:cs="Times New Roman" w:hint="eastAsia"/>
          <w:kern w:val="2"/>
          <w:sz w:val="21"/>
          <w:szCs w:val="22"/>
        </w:rPr>
        <w:t>的收入交易中选取样本，核对验收单及其他支持性文件，以评价收入是否被记录于恰当的会计期间；</w:t>
      </w:r>
    </w:p>
    <w:p w:rsidR="008D4B2E" w:rsidRPr="00606927" w:rsidRDefault="008D4B2E">
      <w:pPr>
        <w:pStyle w:val="a3"/>
        <w:spacing w:before="0" w:beforeAutospacing="0" w:after="0" w:afterAutospacing="0" w:line="360" w:lineRule="auto"/>
        <w:ind w:firstLine="480"/>
        <w:jc w:val="both"/>
        <w:divId w:val="478041031"/>
        <w:rPr>
          <w:rFonts w:asciiTheme="minorHAnsi" w:eastAsiaTheme="minorEastAsia" w:hAnsiTheme="minorHAnsi" w:cs="Times New Roman"/>
          <w:kern w:val="2"/>
          <w:sz w:val="21"/>
          <w:szCs w:val="22"/>
        </w:rPr>
      </w:pPr>
      <w:r w:rsidRPr="00606927">
        <w:rPr>
          <w:rFonts w:asciiTheme="minorHAnsi" w:eastAsiaTheme="minorEastAsia" w:hAnsiTheme="minorHAnsi" w:cs="Times New Roman" w:hint="eastAsia"/>
          <w:kern w:val="2"/>
          <w:sz w:val="21"/>
          <w:szCs w:val="22"/>
        </w:rPr>
        <w:t>⑥选取本年度符合特定风险标准的收入会计分录，检查相关支持性文件。</w:t>
      </w:r>
    </w:p>
    <w:p w:rsidR="008D4B2E" w:rsidRPr="00606927" w:rsidRDefault="008D4B2E" w:rsidP="00606927">
      <w:pPr>
        <w:widowControl/>
        <w:tabs>
          <w:tab w:val="num" w:pos="720"/>
        </w:tabs>
        <w:spacing w:before="100" w:beforeAutospacing="1" w:after="100" w:afterAutospacing="1"/>
        <w:ind w:left="720" w:hanging="360"/>
        <w:divId w:val="478041031"/>
        <w:rPr>
          <w:rStyle w:val="a4"/>
        </w:rPr>
      </w:pPr>
      <w:r w:rsidRPr="00606927">
        <w:rPr>
          <w:rStyle w:val="a4"/>
          <w:rFonts w:hint="eastAsia"/>
          <w:szCs w:val="21"/>
        </w:rPr>
        <w:t>（二）在产品账面价值的确认</w:t>
      </w:r>
    </w:p>
    <w:p w:rsidR="008D4B2E" w:rsidRPr="00606927" w:rsidRDefault="008D4B2E" w:rsidP="00606927">
      <w:pPr>
        <w:widowControl/>
        <w:tabs>
          <w:tab w:val="num" w:pos="720"/>
        </w:tabs>
        <w:spacing w:before="100" w:beforeAutospacing="1" w:after="100" w:afterAutospacing="1"/>
        <w:ind w:left="720" w:hanging="360"/>
        <w:divId w:val="478041031"/>
        <w:rPr>
          <w:rStyle w:val="a4"/>
        </w:rPr>
      </w:pPr>
      <w:r w:rsidRPr="00606927">
        <w:rPr>
          <w:rStyle w:val="a4"/>
          <w:szCs w:val="21"/>
        </w:rPr>
        <w:t>1</w:t>
      </w:r>
      <w:r w:rsidRPr="00606927">
        <w:rPr>
          <w:rStyle w:val="a4"/>
          <w:rFonts w:hint="eastAsia"/>
          <w:szCs w:val="21"/>
        </w:rPr>
        <w:t>、事项描述</w:t>
      </w:r>
    </w:p>
    <w:p w:rsidR="008D4B2E" w:rsidRPr="00606927" w:rsidRDefault="008D4B2E">
      <w:pPr>
        <w:pStyle w:val="a3"/>
        <w:spacing w:before="0" w:beforeAutospacing="0" w:after="0" w:afterAutospacing="0" w:line="360" w:lineRule="auto"/>
        <w:ind w:firstLine="480"/>
        <w:jc w:val="both"/>
        <w:divId w:val="478041031"/>
        <w:rPr>
          <w:rFonts w:asciiTheme="minorHAnsi" w:eastAsiaTheme="minorEastAsia" w:hAnsiTheme="minorHAnsi" w:cs="Times New Roman"/>
          <w:kern w:val="2"/>
          <w:sz w:val="21"/>
          <w:szCs w:val="22"/>
        </w:rPr>
      </w:pPr>
      <w:r w:rsidRPr="00606927">
        <w:rPr>
          <w:rFonts w:asciiTheme="minorHAnsi" w:eastAsiaTheme="minorEastAsia" w:hAnsiTheme="minorHAnsi" w:cs="Times New Roman" w:hint="eastAsia"/>
          <w:kern w:val="2"/>
          <w:sz w:val="21"/>
          <w:szCs w:val="22"/>
        </w:rPr>
        <w:t>如贵公司财务报表附注四、</w:t>
      </w:r>
      <w:r w:rsidRPr="00606927">
        <w:rPr>
          <w:rFonts w:asciiTheme="minorHAnsi" w:eastAsiaTheme="minorEastAsia" w:hAnsiTheme="minorHAnsi" w:cs="Times New Roman"/>
          <w:kern w:val="2"/>
          <w:sz w:val="21"/>
          <w:szCs w:val="22"/>
        </w:rPr>
        <w:t>11</w:t>
      </w:r>
      <w:r w:rsidRPr="00606927">
        <w:rPr>
          <w:rFonts w:asciiTheme="minorHAnsi" w:eastAsiaTheme="minorEastAsia" w:hAnsiTheme="minorHAnsi" w:cs="Times New Roman" w:hint="eastAsia"/>
          <w:kern w:val="2"/>
          <w:sz w:val="21"/>
          <w:szCs w:val="22"/>
        </w:rPr>
        <w:t>及附注六、</w:t>
      </w:r>
      <w:r w:rsidRPr="00606927">
        <w:rPr>
          <w:rFonts w:asciiTheme="minorHAnsi" w:eastAsiaTheme="minorEastAsia" w:hAnsiTheme="minorHAnsi" w:cs="Times New Roman"/>
          <w:kern w:val="2"/>
          <w:sz w:val="21"/>
          <w:szCs w:val="22"/>
        </w:rPr>
        <w:t>8</w:t>
      </w:r>
      <w:r w:rsidRPr="00606927">
        <w:rPr>
          <w:rFonts w:asciiTheme="minorHAnsi" w:eastAsiaTheme="minorEastAsia" w:hAnsiTheme="minorHAnsi" w:cs="Times New Roman" w:hint="eastAsia"/>
          <w:kern w:val="2"/>
          <w:sz w:val="21"/>
          <w:szCs w:val="22"/>
        </w:rPr>
        <w:t>所示，</w:t>
      </w:r>
      <w:r w:rsidRPr="00606927">
        <w:rPr>
          <w:rFonts w:asciiTheme="minorHAnsi" w:eastAsiaTheme="minorEastAsia" w:hAnsiTheme="minorHAnsi" w:cs="Times New Roman"/>
          <w:kern w:val="2"/>
          <w:sz w:val="21"/>
          <w:szCs w:val="22"/>
        </w:rPr>
        <w:t>2023</w:t>
      </w:r>
      <w:r w:rsidRPr="00606927">
        <w:rPr>
          <w:rFonts w:asciiTheme="minorHAnsi" w:eastAsiaTheme="minorEastAsia" w:hAnsiTheme="minorHAnsi" w:cs="Times New Roman" w:hint="eastAsia"/>
          <w:kern w:val="2"/>
          <w:sz w:val="21"/>
          <w:szCs w:val="22"/>
        </w:rPr>
        <w:t>年</w:t>
      </w:r>
      <w:r w:rsidRPr="00606927">
        <w:rPr>
          <w:rFonts w:asciiTheme="minorHAnsi" w:eastAsiaTheme="minorEastAsia" w:hAnsiTheme="minorHAnsi" w:cs="Times New Roman"/>
          <w:kern w:val="2"/>
          <w:sz w:val="21"/>
          <w:szCs w:val="22"/>
        </w:rPr>
        <w:t>12</w:t>
      </w:r>
      <w:r w:rsidRPr="00606927">
        <w:rPr>
          <w:rFonts w:asciiTheme="minorHAnsi" w:eastAsiaTheme="minorEastAsia" w:hAnsiTheme="minorHAnsi" w:cs="Times New Roman" w:hint="eastAsia"/>
          <w:kern w:val="2"/>
          <w:sz w:val="21"/>
          <w:szCs w:val="22"/>
        </w:rPr>
        <w:t>月</w:t>
      </w:r>
      <w:r w:rsidRPr="00606927">
        <w:rPr>
          <w:rFonts w:asciiTheme="minorHAnsi" w:eastAsiaTheme="minorEastAsia" w:hAnsiTheme="minorHAnsi" w:cs="Times New Roman"/>
          <w:kern w:val="2"/>
          <w:sz w:val="21"/>
          <w:szCs w:val="22"/>
        </w:rPr>
        <w:t>31</w:t>
      </w:r>
      <w:r w:rsidRPr="00606927">
        <w:rPr>
          <w:rFonts w:asciiTheme="minorHAnsi" w:eastAsiaTheme="minorEastAsia" w:hAnsiTheme="minorHAnsi" w:cs="Times New Roman" w:hint="eastAsia"/>
          <w:kern w:val="2"/>
          <w:sz w:val="21"/>
          <w:szCs w:val="22"/>
        </w:rPr>
        <w:t>日贵公司合并财务报表中存货账面余额为</w:t>
      </w:r>
      <w:r w:rsidRPr="00606927">
        <w:rPr>
          <w:rFonts w:asciiTheme="minorHAnsi" w:eastAsiaTheme="minorEastAsia" w:hAnsiTheme="minorHAnsi" w:cs="Times New Roman"/>
          <w:kern w:val="2"/>
          <w:sz w:val="21"/>
          <w:szCs w:val="22"/>
        </w:rPr>
        <w:t>5,902,994,144.42</w:t>
      </w:r>
      <w:r w:rsidRPr="00606927">
        <w:rPr>
          <w:rFonts w:asciiTheme="minorHAnsi" w:eastAsiaTheme="minorEastAsia" w:hAnsiTheme="minorHAnsi" w:cs="Times New Roman" w:hint="eastAsia"/>
          <w:kern w:val="2"/>
          <w:sz w:val="21"/>
          <w:szCs w:val="22"/>
        </w:rPr>
        <w:t>元，其中在产品账面余额</w:t>
      </w:r>
      <w:r w:rsidRPr="00606927">
        <w:rPr>
          <w:rFonts w:asciiTheme="minorHAnsi" w:eastAsiaTheme="minorEastAsia" w:hAnsiTheme="minorHAnsi" w:cs="Times New Roman"/>
          <w:kern w:val="2"/>
          <w:sz w:val="21"/>
          <w:szCs w:val="22"/>
        </w:rPr>
        <w:t>5,176,394,976.56</w:t>
      </w:r>
      <w:r w:rsidRPr="00606927">
        <w:rPr>
          <w:rFonts w:asciiTheme="minorHAnsi" w:eastAsiaTheme="minorEastAsia" w:hAnsiTheme="minorHAnsi" w:cs="Times New Roman" w:hint="eastAsia"/>
          <w:kern w:val="2"/>
          <w:sz w:val="21"/>
          <w:szCs w:val="22"/>
        </w:rPr>
        <w:t>元，占比</w:t>
      </w:r>
      <w:r w:rsidRPr="00606927">
        <w:rPr>
          <w:rFonts w:asciiTheme="minorHAnsi" w:eastAsiaTheme="minorEastAsia" w:hAnsiTheme="minorHAnsi" w:cs="Times New Roman"/>
          <w:kern w:val="2"/>
          <w:sz w:val="21"/>
          <w:szCs w:val="22"/>
        </w:rPr>
        <w:t>87.69%</w:t>
      </w:r>
      <w:r w:rsidRPr="00606927">
        <w:rPr>
          <w:rFonts w:asciiTheme="minorHAnsi" w:eastAsiaTheme="minorEastAsia" w:hAnsiTheme="minorHAnsi" w:cs="Times New Roman" w:hint="eastAsia"/>
          <w:kern w:val="2"/>
          <w:sz w:val="21"/>
          <w:szCs w:val="22"/>
        </w:rPr>
        <w:t>。</w:t>
      </w:r>
    </w:p>
    <w:p w:rsidR="008D4B2E" w:rsidRPr="00606927" w:rsidRDefault="008D4B2E">
      <w:pPr>
        <w:pStyle w:val="a3"/>
        <w:spacing w:before="0" w:beforeAutospacing="0" w:after="0" w:afterAutospacing="0" w:line="360" w:lineRule="auto"/>
        <w:ind w:firstLine="480"/>
        <w:jc w:val="both"/>
        <w:divId w:val="478041031"/>
        <w:rPr>
          <w:rFonts w:asciiTheme="minorHAnsi" w:eastAsiaTheme="minorEastAsia" w:hAnsiTheme="minorHAnsi" w:cs="Times New Roman"/>
          <w:kern w:val="2"/>
          <w:sz w:val="21"/>
          <w:szCs w:val="22"/>
        </w:rPr>
      </w:pPr>
      <w:r w:rsidRPr="00606927">
        <w:rPr>
          <w:rFonts w:asciiTheme="minorHAnsi" w:eastAsiaTheme="minorEastAsia" w:hAnsiTheme="minorHAnsi" w:cs="Times New Roman" w:hint="eastAsia"/>
          <w:kern w:val="2"/>
          <w:sz w:val="21"/>
          <w:szCs w:val="22"/>
        </w:rPr>
        <w:t>贵公司的在产品的主要构成为针对不同客户进行设计制造的橡胶装备，橡胶装备间的可替代性弱，具有定制性强、生产安装调试周期长等特性，因此我们将贵公司在产品账面价值的确认识别为关键审计事项。</w:t>
      </w:r>
    </w:p>
    <w:p w:rsidR="008D4B2E" w:rsidRPr="00606927" w:rsidRDefault="008D4B2E" w:rsidP="00606927">
      <w:pPr>
        <w:widowControl/>
        <w:tabs>
          <w:tab w:val="num" w:pos="720"/>
        </w:tabs>
        <w:spacing w:before="100" w:beforeAutospacing="1" w:after="100" w:afterAutospacing="1"/>
        <w:ind w:left="720" w:hanging="360"/>
        <w:divId w:val="478041031"/>
        <w:rPr>
          <w:rStyle w:val="a4"/>
        </w:rPr>
      </w:pPr>
      <w:r w:rsidRPr="00606927">
        <w:rPr>
          <w:rStyle w:val="a4"/>
          <w:szCs w:val="21"/>
        </w:rPr>
        <w:t>2</w:t>
      </w:r>
      <w:r w:rsidRPr="00606927">
        <w:rPr>
          <w:rStyle w:val="a4"/>
          <w:rFonts w:hint="eastAsia"/>
          <w:szCs w:val="21"/>
        </w:rPr>
        <w:t>、审计应对</w:t>
      </w:r>
    </w:p>
    <w:p w:rsidR="008D4B2E" w:rsidRPr="00606927" w:rsidRDefault="008D4B2E">
      <w:pPr>
        <w:pStyle w:val="a3"/>
        <w:spacing w:before="0" w:beforeAutospacing="0" w:after="0" w:afterAutospacing="0" w:line="360" w:lineRule="auto"/>
        <w:ind w:firstLine="480"/>
        <w:jc w:val="both"/>
        <w:divId w:val="478041031"/>
        <w:rPr>
          <w:rFonts w:asciiTheme="minorHAnsi" w:eastAsiaTheme="minorEastAsia" w:hAnsiTheme="minorHAnsi" w:cs="Times New Roman"/>
          <w:kern w:val="2"/>
          <w:sz w:val="21"/>
          <w:szCs w:val="22"/>
        </w:rPr>
      </w:pPr>
      <w:r w:rsidRPr="00606927">
        <w:rPr>
          <w:rFonts w:asciiTheme="minorHAnsi" w:eastAsiaTheme="minorEastAsia" w:hAnsiTheme="minorHAnsi" w:cs="Times New Roman" w:hint="eastAsia"/>
          <w:kern w:val="2"/>
          <w:sz w:val="21"/>
          <w:szCs w:val="22"/>
        </w:rPr>
        <w:t>①了解管理层与存货管理相关的内部控制，并评价这些内部控制的设计和运行的有效性；</w:t>
      </w:r>
    </w:p>
    <w:p w:rsidR="008D4B2E" w:rsidRPr="00606927" w:rsidRDefault="008D4B2E">
      <w:pPr>
        <w:pStyle w:val="a3"/>
        <w:spacing w:before="0" w:beforeAutospacing="0" w:after="0" w:afterAutospacing="0" w:line="360" w:lineRule="auto"/>
        <w:ind w:firstLine="480"/>
        <w:jc w:val="both"/>
        <w:divId w:val="478041031"/>
        <w:rPr>
          <w:rFonts w:asciiTheme="minorHAnsi" w:eastAsiaTheme="minorEastAsia" w:hAnsiTheme="minorHAnsi" w:cs="Times New Roman"/>
          <w:kern w:val="2"/>
          <w:sz w:val="21"/>
          <w:szCs w:val="22"/>
        </w:rPr>
      </w:pPr>
      <w:r w:rsidRPr="00606927">
        <w:rPr>
          <w:rFonts w:asciiTheme="minorHAnsi" w:eastAsiaTheme="minorEastAsia" w:hAnsiTheme="minorHAnsi" w:cs="Times New Roman" w:hint="eastAsia"/>
          <w:kern w:val="2"/>
          <w:sz w:val="21"/>
          <w:szCs w:val="22"/>
        </w:rPr>
        <w:t>②获取期末在产品余额明细表，结合本年度的新签订单和验收订单，分析在产品的数量变动是否与订单的签订和验收情况相匹配；</w:t>
      </w:r>
    </w:p>
    <w:p w:rsidR="008D4B2E" w:rsidRPr="00606927" w:rsidRDefault="008D4B2E">
      <w:pPr>
        <w:pStyle w:val="a3"/>
        <w:spacing w:before="0" w:beforeAutospacing="0" w:after="0" w:afterAutospacing="0" w:line="360" w:lineRule="auto"/>
        <w:ind w:firstLine="480"/>
        <w:jc w:val="both"/>
        <w:divId w:val="478041031"/>
        <w:rPr>
          <w:rFonts w:asciiTheme="minorHAnsi" w:eastAsiaTheme="minorEastAsia" w:hAnsiTheme="minorHAnsi" w:cs="Times New Roman"/>
          <w:kern w:val="2"/>
          <w:sz w:val="21"/>
          <w:szCs w:val="22"/>
        </w:rPr>
      </w:pPr>
      <w:r w:rsidRPr="00606927">
        <w:rPr>
          <w:rFonts w:asciiTheme="minorHAnsi" w:eastAsiaTheme="minorEastAsia" w:hAnsiTheme="minorHAnsi" w:cs="Times New Roman" w:hint="eastAsia"/>
          <w:kern w:val="2"/>
          <w:sz w:val="21"/>
          <w:szCs w:val="22"/>
        </w:rPr>
        <w:t>③结合对期末在产品的监盘、以及客户现场走访，核实合同的执行情况和在产品的状况；</w:t>
      </w:r>
    </w:p>
    <w:p w:rsidR="008D4B2E" w:rsidRPr="00606927" w:rsidRDefault="008D4B2E">
      <w:pPr>
        <w:pStyle w:val="a3"/>
        <w:spacing w:before="0" w:beforeAutospacing="0" w:after="0" w:afterAutospacing="0" w:line="360" w:lineRule="auto"/>
        <w:ind w:firstLine="480"/>
        <w:jc w:val="both"/>
        <w:divId w:val="478041031"/>
        <w:rPr>
          <w:rFonts w:asciiTheme="minorHAnsi" w:eastAsiaTheme="minorEastAsia" w:hAnsiTheme="minorHAnsi" w:cs="Times New Roman"/>
          <w:kern w:val="2"/>
          <w:sz w:val="21"/>
          <w:szCs w:val="22"/>
        </w:rPr>
      </w:pPr>
      <w:r w:rsidRPr="00606927">
        <w:rPr>
          <w:rFonts w:asciiTheme="minorHAnsi" w:eastAsiaTheme="minorEastAsia" w:hAnsiTheme="minorHAnsi" w:cs="Times New Roman" w:hint="eastAsia"/>
          <w:kern w:val="2"/>
          <w:sz w:val="21"/>
          <w:szCs w:val="22"/>
        </w:rPr>
        <w:lastRenderedPageBreak/>
        <w:t>④获取长期未验收的在产品明细表，了解未验收原因，结合已收到的项目进度款，判断在产品项目是否已发生了减值</w:t>
      </w:r>
      <w:r w:rsidRPr="00606927">
        <w:rPr>
          <w:rFonts w:asciiTheme="minorHAnsi" w:eastAsiaTheme="minorEastAsia" w:hAnsiTheme="minorHAnsi" w:cs="Times New Roman"/>
          <w:kern w:val="2"/>
          <w:sz w:val="21"/>
          <w:szCs w:val="22"/>
        </w:rPr>
        <w:t>;</w:t>
      </w:r>
    </w:p>
    <w:p w:rsidR="008D4B2E" w:rsidRPr="00606927" w:rsidRDefault="008D4B2E">
      <w:pPr>
        <w:pStyle w:val="a3"/>
        <w:spacing w:before="0" w:beforeAutospacing="0" w:after="0" w:afterAutospacing="0" w:line="360" w:lineRule="auto"/>
        <w:ind w:firstLine="480"/>
        <w:jc w:val="both"/>
        <w:divId w:val="478041031"/>
        <w:rPr>
          <w:rFonts w:asciiTheme="minorHAnsi" w:eastAsiaTheme="minorEastAsia" w:hAnsiTheme="minorHAnsi" w:cs="Times New Roman"/>
          <w:kern w:val="2"/>
          <w:sz w:val="21"/>
          <w:szCs w:val="22"/>
        </w:rPr>
      </w:pPr>
      <w:r w:rsidRPr="00606927">
        <w:rPr>
          <w:rFonts w:asciiTheme="minorHAnsi" w:eastAsiaTheme="minorEastAsia" w:hAnsiTheme="minorHAnsi" w:cs="Times New Roman" w:hint="eastAsia"/>
          <w:kern w:val="2"/>
          <w:sz w:val="21"/>
          <w:szCs w:val="22"/>
        </w:rPr>
        <w:t>⑤获取存货跌价准备计算表，检查是否按公司相关会计政策执行，检查以前年度计提的存货跌价准备本期的变化情况等，分析存货跌价准备计提是否充分</w:t>
      </w:r>
      <w:r w:rsidRPr="00606927">
        <w:rPr>
          <w:rFonts w:asciiTheme="minorHAnsi" w:eastAsiaTheme="minorEastAsia" w:hAnsiTheme="minorHAnsi" w:cs="Times New Roman"/>
          <w:kern w:val="2"/>
          <w:sz w:val="21"/>
          <w:szCs w:val="22"/>
        </w:rPr>
        <w:t>;</w:t>
      </w:r>
    </w:p>
    <w:p w:rsidR="008D4B2E" w:rsidRPr="00606927" w:rsidRDefault="008D4B2E">
      <w:pPr>
        <w:pStyle w:val="a3"/>
        <w:spacing w:before="0" w:beforeAutospacing="0" w:after="0" w:afterAutospacing="0" w:line="360" w:lineRule="auto"/>
        <w:ind w:firstLine="480"/>
        <w:jc w:val="both"/>
        <w:divId w:val="478041031"/>
        <w:rPr>
          <w:rFonts w:asciiTheme="minorHAnsi" w:eastAsiaTheme="minorEastAsia" w:hAnsiTheme="minorHAnsi" w:cs="Times New Roman"/>
          <w:kern w:val="2"/>
          <w:sz w:val="21"/>
          <w:szCs w:val="22"/>
        </w:rPr>
      </w:pPr>
      <w:r w:rsidRPr="00606927">
        <w:rPr>
          <w:rFonts w:asciiTheme="minorHAnsi" w:eastAsiaTheme="minorEastAsia" w:hAnsiTheme="minorHAnsi" w:cs="Times New Roman" w:hint="eastAsia"/>
          <w:kern w:val="2"/>
          <w:sz w:val="21"/>
          <w:szCs w:val="22"/>
        </w:rPr>
        <w:t>⑥与管理层和治理层就计提存货跌价准备计提的依据和结果进行了讨论。</w:t>
      </w:r>
    </w:p>
    <w:p w:rsidR="008D4B2E" w:rsidRPr="00606927" w:rsidRDefault="008D4B2E">
      <w:pPr>
        <w:widowControl/>
        <w:numPr>
          <w:ilvl w:val="0"/>
          <w:numId w:val="4"/>
        </w:numPr>
        <w:spacing w:before="100" w:beforeAutospacing="1" w:after="100" w:afterAutospacing="1"/>
        <w:divId w:val="478041031"/>
        <w:rPr>
          <w:rStyle w:val="a4"/>
          <w:rFonts w:eastAsia="宋体"/>
          <w:szCs w:val="21"/>
        </w:rPr>
      </w:pPr>
      <w:r w:rsidRPr="00606927">
        <w:rPr>
          <w:rStyle w:val="a4"/>
          <w:rFonts w:ascii="宋体" w:eastAsia="宋体" w:hAnsi="宋体" w:hint="eastAsia"/>
          <w:szCs w:val="21"/>
        </w:rPr>
        <w:t>其他信息</w:t>
      </w:r>
    </w:p>
    <w:p w:rsidR="008D4B2E" w:rsidRPr="00606927" w:rsidRDefault="008D4B2E">
      <w:pPr>
        <w:pStyle w:val="a3"/>
        <w:spacing w:before="0" w:beforeAutospacing="0" w:after="0" w:afterAutospacing="0" w:line="360" w:lineRule="auto"/>
        <w:ind w:firstLine="480"/>
        <w:jc w:val="both"/>
        <w:divId w:val="478041031"/>
        <w:rPr>
          <w:rFonts w:cs="Times New Roman"/>
          <w:kern w:val="2"/>
          <w:sz w:val="21"/>
          <w:szCs w:val="21"/>
        </w:rPr>
      </w:pPr>
      <w:r w:rsidRPr="00606927">
        <w:rPr>
          <w:rFonts w:cs="Times New Roman" w:hint="eastAsia"/>
          <w:kern w:val="2"/>
          <w:sz w:val="21"/>
          <w:szCs w:val="21"/>
        </w:rPr>
        <w:t>贵公司管理层（以下简称管理层）对其他信息负责。其他信息包括贵公司2023年度报告中涵盖的信息，但不包括财务报表和我们的审计报告。</w:t>
      </w:r>
    </w:p>
    <w:p w:rsidR="008D4B2E" w:rsidRPr="00606927" w:rsidRDefault="008D4B2E">
      <w:pPr>
        <w:pStyle w:val="a3"/>
        <w:spacing w:before="0" w:beforeAutospacing="0" w:after="0" w:afterAutospacing="0" w:line="360" w:lineRule="auto"/>
        <w:ind w:firstLine="480"/>
        <w:jc w:val="both"/>
        <w:divId w:val="478041031"/>
        <w:rPr>
          <w:rFonts w:cs="Times New Roman"/>
          <w:kern w:val="2"/>
          <w:sz w:val="21"/>
          <w:szCs w:val="21"/>
        </w:rPr>
      </w:pPr>
      <w:r w:rsidRPr="00606927">
        <w:rPr>
          <w:rFonts w:cs="Times New Roman" w:hint="eastAsia"/>
          <w:kern w:val="2"/>
          <w:sz w:val="21"/>
          <w:szCs w:val="21"/>
        </w:rPr>
        <w:t>我们对财务报表发表的审计意见</w:t>
      </w:r>
      <w:proofErr w:type="gramStart"/>
      <w:r w:rsidRPr="00606927">
        <w:rPr>
          <w:rFonts w:cs="Times New Roman" w:hint="eastAsia"/>
          <w:kern w:val="2"/>
          <w:sz w:val="21"/>
          <w:szCs w:val="21"/>
        </w:rPr>
        <w:t>不</w:t>
      </w:r>
      <w:proofErr w:type="gramEnd"/>
      <w:r w:rsidRPr="00606927">
        <w:rPr>
          <w:rFonts w:cs="Times New Roman" w:hint="eastAsia"/>
          <w:kern w:val="2"/>
          <w:sz w:val="21"/>
          <w:szCs w:val="21"/>
        </w:rPr>
        <w:t>涵盖其他信息，我们也不对其他信息发表任何形式的</w:t>
      </w:r>
      <w:proofErr w:type="gramStart"/>
      <w:r w:rsidRPr="00606927">
        <w:rPr>
          <w:rFonts w:cs="Times New Roman" w:hint="eastAsia"/>
          <w:kern w:val="2"/>
          <w:sz w:val="21"/>
          <w:szCs w:val="21"/>
        </w:rPr>
        <w:t>鉴证</w:t>
      </w:r>
      <w:proofErr w:type="gramEnd"/>
      <w:r w:rsidRPr="00606927">
        <w:rPr>
          <w:rFonts w:cs="Times New Roman" w:hint="eastAsia"/>
          <w:kern w:val="2"/>
          <w:sz w:val="21"/>
          <w:szCs w:val="21"/>
        </w:rPr>
        <w:t xml:space="preserve">结论。 </w:t>
      </w:r>
    </w:p>
    <w:p w:rsidR="008D4B2E" w:rsidRPr="00606927" w:rsidRDefault="008D4B2E">
      <w:pPr>
        <w:pStyle w:val="a3"/>
        <w:spacing w:before="0" w:beforeAutospacing="0" w:after="0" w:afterAutospacing="0" w:line="360" w:lineRule="auto"/>
        <w:ind w:firstLine="480"/>
        <w:jc w:val="both"/>
        <w:divId w:val="478041031"/>
        <w:rPr>
          <w:rFonts w:cs="Times New Roman"/>
          <w:kern w:val="2"/>
          <w:sz w:val="21"/>
          <w:szCs w:val="21"/>
        </w:rPr>
      </w:pPr>
      <w:r w:rsidRPr="00606927">
        <w:rPr>
          <w:rFonts w:cs="Times New Roman" w:hint="eastAsia"/>
          <w:kern w:val="2"/>
          <w:sz w:val="21"/>
          <w:szCs w:val="21"/>
        </w:rPr>
        <w:t xml:space="preserve">结合我们对财务报表的审计，我们的责任是阅读其他信息，在此过程中，考虑其他信息是否与财务报表或我们在审计过程中了解到的情况存在重大不一致或者似乎存在重大错报。 </w:t>
      </w:r>
    </w:p>
    <w:p w:rsidR="008D4B2E" w:rsidRPr="00606927" w:rsidRDefault="008D4B2E">
      <w:pPr>
        <w:pStyle w:val="a3"/>
        <w:spacing w:before="0" w:beforeAutospacing="0" w:after="0" w:afterAutospacing="0" w:line="360" w:lineRule="auto"/>
        <w:ind w:firstLine="480"/>
        <w:jc w:val="both"/>
        <w:divId w:val="478041031"/>
        <w:rPr>
          <w:rFonts w:cs="Times New Roman"/>
          <w:kern w:val="2"/>
          <w:sz w:val="21"/>
          <w:szCs w:val="21"/>
        </w:rPr>
      </w:pPr>
      <w:r w:rsidRPr="00606927">
        <w:rPr>
          <w:rFonts w:cs="Times New Roman" w:hint="eastAsia"/>
          <w:kern w:val="2"/>
          <w:sz w:val="21"/>
          <w:szCs w:val="21"/>
        </w:rPr>
        <w:t>基于我们已执行的工作，如果我们确定其他信息存在重大错报，我们应当报告该事实。在这方面，我们无任何事项需要报告。</w:t>
      </w:r>
    </w:p>
    <w:p w:rsidR="008D4B2E" w:rsidRDefault="008D4B2E">
      <w:pPr>
        <w:widowControl/>
        <w:numPr>
          <w:ilvl w:val="0"/>
          <w:numId w:val="5"/>
        </w:numPr>
        <w:spacing w:before="100" w:beforeAutospacing="1" w:after="100" w:afterAutospacing="1"/>
        <w:divId w:val="478041031"/>
        <w:rPr>
          <w:rFonts w:ascii="宋体" w:hAnsi="宋体" w:cs="宋体"/>
          <w:sz w:val="18"/>
          <w:szCs w:val="18"/>
        </w:rPr>
      </w:pPr>
      <w:r>
        <w:rPr>
          <w:rStyle w:val="a4"/>
          <w:rFonts w:hint="eastAsia"/>
        </w:rPr>
        <w:t>管理层和治理层对财务报表的责任</w:t>
      </w:r>
    </w:p>
    <w:p w:rsidR="008D4B2E" w:rsidRPr="00606927" w:rsidRDefault="008D4B2E">
      <w:pPr>
        <w:pStyle w:val="a3"/>
        <w:spacing w:before="0" w:beforeAutospacing="0" w:after="0" w:afterAutospacing="0" w:line="360" w:lineRule="auto"/>
        <w:ind w:firstLine="480"/>
        <w:jc w:val="both"/>
        <w:divId w:val="478041031"/>
        <w:rPr>
          <w:rFonts w:cs="Times New Roman"/>
          <w:kern w:val="2"/>
          <w:sz w:val="21"/>
          <w:szCs w:val="21"/>
        </w:rPr>
      </w:pPr>
      <w:r w:rsidRPr="00606927">
        <w:rPr>
          <w:rFonts w:cs="Times New Roman" w:hint="eastAsia"/>
          <w:kern w:val="2"/>
          <w:sz w:val="21"/>
          <w:szCs w:val="21"/>
        </w:rPr>
        <w:t>管理</w:t>
      </w:r>
      <w:proofErr w:type="gramStart"/>
      <w:r w:rsidRPr="00606927">
        <w:rPr>
          <w:rFonts w:cs="Times New Roman" w:hint="eastAsia"/>
          <w:kern w:val="2"/>
          <w:sz w:val="21"/>
          <w:szCs w:val="21"/>
        </w:rPr>
        <w:t>层负责</w:t>
      </w:r>
      <w:proofErr w:type="gramEnd"/>
      <w:r w:rsidRPr="00606927">
        <w:rPr>
          <w:rFonts w:cs="Times New Roman" w:hint="eastAsia"/>
          <w:kern w:val="2"/>
          <w:sz w:val="21"/>
          <w:szCs w:val="21"/>
        </w:rPr>
        <w:t>按照企业会计准则的规定编制财务报表，使其实现公允反映，并设计、执行和维护必要的内部控制，以使财务报表不存在由于舞弊或错误导致的重大错报。</w:t>
      </w:r>
    </w:p>
    <w:p w:rsidR="008D4B2E" w:rsidRPr="00606927" w:rsidRDefault="008D4B2E">
      <w:pPr>
        <w:pStyle w:val="a3"/>
        <w:spacing w:before="0" w:beforeAutospacing="0" w:after="0" w:afterAutospacing="0" w:line="360" w:lineRule="auto"/>
        <w:ind w:firstLine="480"/>
        <w:jc w:val="both"/>
        <w:divId w:val="478041031"/>
        <w:rPr>
          <w:rFonts w:cs="Times New Roman"/>
          <w:kern w:val="2"/>
          <w:sz w:val="21"/>
          <w:szCs w:val="21"/>
        </w:rPr>
      </w:pPr>
      <w:r w:rsidRPr="00606927">
        <w:rPr>
          <w:rFonts w:cs="Times New Roman" w:hint="eastAsia"/>
          <w:kern w:val="2"/>
          <w:sz w:val="21"/>
          <w:szCs w:val="21"/>
        </w:rPr>
        <w:t>在编制财务报表时，管理</w:t>
      </w:r>
      <w:proofErr w:type="gramStart"/>
      <w:r w:rsidRPr="00606927">
        <w:rPr>
          <w:rFonts w:cs="Times New Roman" w:hint="eastAsia"/>
          <w:kern w:val="2"/>
          <w:sz w:val="21"/>
          <w:szCs w:val="21"/>
        </w:rPr>
        <w:t>层负责</w:t>
      </w:r>
      <w:proofErr w:type="gramEnd"/>
      <w:r w:rsidRPr="00606927">
        <w:rPr>
          <w:rFonts w:cs="Times New Roman" w:hint="eastAsia"/>
          <w:kern w:val="2"/>
          <w:sz w:val="21"/>
          <w:szCs w:val="21"/>
        </w:rPr>
        <w:t>评估贵公司的持续经营能力，披露与持续经营相关的事项（如适用），并运用持续经营假设，除非管理</w:t>
      </w:r>
      <w:proofErr w:type="gramStart"/>
      <w:r w:rsidRPr="00606927">
        <w:rPr>
          <w:rFonts w:cs="Times New Roman" w:hint="eastAsia"/>
          <w:kern w:val="2"/>
          <w:sz w:val="21"/>
          <w:szCs w:val="21"/>
        </w:rPr>
        <w:t>层计划</w:t>
      </w:r>
      <w:proofErr w:type="gramEnd"/>
      <w:r w:rsidRPr="00606927">
        <w:rPr>
          <w:rFonts w:cs="Times New Roman" w:hint="eastAsia"/>
          <w:kern w:val="2"/>
          <w:sz w:val="21"/>
          <w:szCs w:val="21"/>
        </w:rPr>
        <w:t>清算贵公司、终止运营或别无其他现实的选择。</w:t>
      </w:r>
    </w:p>
    <w:p w:rsidR="008D4B2E" w:rsidRPr="00606927" w:rsidRDefault="008D4B2E">
      <w:pPr>
        <w:pStyle w:val="a3"/>
        <w:spacing w:before="0" w:beforeAutospacing="0" w:after="0" w:afterAutospacing="0" w:line="360" w:lineRule="auto"/>
        <w:ind w:firstLine="480"/>
        <w:jc w:val="both"/>
        <w:divId w:val="478041031"/>
        <w:rPr>
          <w:rFonts w:cs="Times New Roman"/>
          <w:kern w:val="2"/>
          <w:sz w:val="21"/>
          <w:szCs w:val="21"/>
        </w:rPr>
      </w:pPr>
      <w:r w:rsidRPr="00606927">
        <w:rPr>
          <w:rFonts w:cs="Times New Roman" w:hint="eastAsia"/>
          <w:kern w:val="2"/>
          <w:sz w:val="21"/>
          <w:szCs w:val="21"/>
        </w:rPr>
        <w:t>治理</w:t>
      </w:r>
      <w:proofErr w:type="gramStart"/>
      <w:r w:rsidRPr="00606927">
        <w:rPr>
          <w:rFonts w:cs="Times New Roman" w:hint="eastAsia"/>
          <w:kern w:val="2"/>
          <w:sz w:val="21"/>
          <w:szCs w:val="21"/>
        </w:rPr>
        <w:t>层负责</w:t>
      </w:r>
      <w:proofErr w:type="gramEnd"/>
      <w:r w:rsidRPr="00606927">
        <w:rPr>
          <w:rFonts w:cs="Times New Roman" w:hint="eastAsia"/>
          <w:kern w:val="2"/>
          <w:sz w:val="21"/>
          <w:szCs w:val="21"/>
        </w:rPr>
        <w:t>监督贵公司的财务报告过程。</w:t>
      </w:r>
    </w:p>
    <w:p w:rsidR="008D4B2E" w:rsidRDefault="008D4B2E">
      <w:pPr>
        <w:widowControl/>
        <w:numPr>
          <w:ilvl w:val="0"/>
          <w:numId w:val="6"/>
        </w:numPr>
        <w:spacing w:before="100" w:beforeAutospacing="1" w:after="100" w:afterAutospacing="1"/>
        <w:divId w:val="478041031"/>
        <w:rPr>
          <w:rFonts w:ascii="宋体" w:hAnsi="宋体" w:cs="宋体"/>
          <w:sz w:val="18"/>
          <w:szCs w:val="18"/>
        </w:rPr>
      </w:pPr>
      <w:r>
        <w:rPr>
          <w:rStyle w:val="a4"/>
          <w:rFonts w:hint="eastAsia"/>
        </w:rPr>
        <w:t>注册会计师对财务报表审计的责任</w:t>
      </w:r>
    </w:p>
    <w:p w:rsidR="008D4B2E" w:rsidRPr="00606927" w:rsidRDefault="008D4B2E">
      <w:pPr>
        <w:pStyle w:val="a3"/>
        <w:spacing w:before="0" w:beforeAutospacing="0" w:after="0" w:afterAutospacing="0" w:line="360" w:lineRule="auto"/>
        <w:ind w:firstLine="480"/>
        <w:jc w:val="both"/>
        <w:divId w:val="478041031"/>
        <w:rPr>
          <w:rFonts w:cs="Times New Roman"/>
          <w:kern w:val="2"/>
          <w:sz w:val="21"/>
          <w:szCs w:val="21"/>
        </w:rPr>
      </w:pPr>
      <w:r w:rsidRPr="00606927">
        <w:rPr>
          <w:rFonts w:cs="Times New Roman" w:hint="eastAsia"/>
          <w:kern w:val="2"/>
          <w:sz w:val="21"/>
          <w:szCs w:val="21"/>
        </w:rPr>
        <w:t>我们的目标是对财务报表整体是否不存在由于舞弊或错误导致的重大错报获取合理保证，并出具包含审计意见的审计报告。合理保证是高水平的保证，但并不能保证按照审计准则执行的审计在某一重大错</w:t>
      </w:r>
      <w:proofErr w:type="gramStart"/>
      <w:r w:rsidRPr="00606927">
        <w:rPr>
          <w:rFonts w:cs="Times New Roman" w:hint="eastAsia"/>
          <w:kern w:val="2"/>
          <w:sz w:val="21"/>
          <w:szCs w:val="21"/>
        </w:rPr>
        <w:t>报存在</w:t>
      </w:r>
      <w:proofErr w:type="gramEnd"/>
      <w:r w:rsidRPr="00606927">
        <w:rPr>
          <w:rFonts w:cs="Times New Roman" w:hint="eastAsia"/>
          <w:kern w:val="2"/>
          <w:sz w:val="21"/>
          <w:szCs w:val="21"/>
        </w:rPr>
        <w:t>时总能发现。错报可能由舞弊或错误导致，如果合理预期错报单独或汇总起来可能影响财务报表使用者依据财务报表</w:t>
      </w:r>
      <w:proofErr w:type="gramStart"/>
      <w:r w:rsidRPr="00606927">
        <w:rPr>
          <w:rFonts w:cs="Times New Roman" w:hint="eastAsia"/>
          <w:kern w:val="2"/>
          <w:sz w:val="21"/>
          <w:szCs w:val="21"/>
        </w:rPr>
        <w:t>作出</w:t>
      </w:r>
      <w:proofErr w:type="gramEnd"/>
      <w:r w:rsidRPr="00606927">
        <w:rPr>
          <w:rFonts w:cs="Times New Roman" w:hint="eastAsia"/>
          <w:kern w:val="2"/>
          <w:sz w:val="21"/>
          <w:szCs w:val="21"/>
        </w:rPr>
        <w:t>的经济决策，则通常认为错报是重大的。</w:t>
      </w:r>
    </w:p>
    <w:p w:rsidR="008D4B2E" w:rsidRPr="00606927" w:rsidRDefault="008D4B2E">
      <w:pPr>
        <w:pStyle w:val="a3"/>
        <w:spacing w:before="0" w:beforeAutospacing="0" w:after="0" w:afterAutospacing="0" w:line="360" w:lineRule="auto"/>
        <w:ind w:firstLine="480"/>
        <w:jc w:val="both"/>
        <w:divId w:val="478041031"/>
        <w:rPr>
          <w:rFonts w:cs="Times New Roman"/>
          <w:kern w:val="2"/>
          <w:sz w:val="21"/>
          <w:szCs w:val="21"/>
        </w:rPr>
      </w:pPr>
      <w:r w:rsidRPr="00606927">
        <w:rPr>
          <w:rFonts w:cs="Times New Roman" w:hint="eastAsia"/>
          <w:kern w:val="2"/>
          <w:sz w:val="21"/>
          <w:szCs w:val="21"/>
        </w:rPr>
        <w:t xml:space="preserve">在按照审计准则执行审计的过程中，我们运用了职业判断，保持了职业怀疑。同时，我们也执行以下工作： </w:t>
      </w:r>
    </w:p>
    <w:p w:rsidR="008D4B2E" w:rsidRPr="00606927" w:rsidRDefault="008D4B2E">
      <w:pPr>
        <w:pStyle w:val="a3"/>
        <w:spacing w:before="0" w:beforeAutospacing="0" w:after="0" w:afterAutospacing="0" w:line="360" w:lineRule="auto"/>
        <w:ind w:firstLine="480"/>
        <w:jc w:val="both"/>
        <w:divId w:val="478041031"/>
        <w:rPr>
          <w:rFonts w:cs="Times New Roman"/>
          <w:kern w:val="2"/>
          <w:sz w:val="21"/>
          <w:szCs w:val="21"/>
        </w:rPr>
      </w:pPr>
      <w:r w:rsidRPr="00606927">
        <w:rPr>
          <w:rFonts w:cs="Times New Roman" w:hint="eastAsia"/>
          <w:kern w:val="2"/>
          <w:sz w:val="21"/>
          <w:szCs w:val="21"/>
        </w:rPr>
        <w:lastRenderedPageBreak/>
        <w:t xml:space="preserve">（1）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 </w:t>
      </w:r>
    </w:p>
    <w:p w:rsidR="008D4B2E" w:rsidRPr="00606927" w:rsidRDefault="008D4B2E">
      <w:pPr>
        <w:pStyle w:val="a3"/>
        <w:spacing w:before="0" w:beforeAutospacing="0" w:after="0" w:afterAutospacing="0" w:line="360" w:lineRule="auto"/>
        <w:ind w:firstLine="480"/>
        <w:jc w:val="both"/>
        <w:divId w:val="478041031"/>
        <w:rPr>
          <w:rFonts w:cs="Times New Roman"/>
          <w:kern w:val="2"/>
          <w:sz w:val="21"/>
          <w:szCs w:val="21"/>
        </w:rPr>
      </w:pPr>
      <w:r w:rsidRPr="00606927">
        <w:rPr>
          <w:rFonts w:cs="Times New Roman" w:hint="eastAsia"/>
          <w:kern w:val="2"/>
          <w:sz w:val="21"/>
          <w:szCs w:val="21"/>
        </w:rPr>
        <w:t>（2）了解与审计相关的内部控制，以设计恰当的审计程序。</w:t>
      </w:r>
    </w:p>
    <w:p w:rsidR="008D4B2E" w:rsidRPr="00606927" w:rsidRDefault="008D4B2E">
      <w:pPr>
        <w:pStyle w:val="a3"/>
        <w:spacing w:before="0" w:beforeAutospacing="0" w:after="0" w:afterAutospacing="0" w:line="360" w:lineRule="auto"/>
        <w:ind w:firstLine="480"/>
        <w:jc w:val="both"/>
        <w:divId w:val="478041031"/>
        <w:rPr>
          <w:rFonts w:cs="Times New Roman"/>
          <w:kern w:val="2"/>
          <w:sz w:val="21"/>
          <w:szCs w:val="21"/>
        </w:rPr>
      </w:pPr>
      <w:r w:rsidRPr="00606927">
        <w:rPr>
          <w:rFonts w:cs="Times New Roman" w:hint="eastAsia"/>
          <w:kern w:val="2"/>
          <w:sz w:val="21"/>
          <w:szCs w:val="21"/>
        </w:rPr>
        <w:t>（3）评价管理层选用会计政策的恰当性和</w:t>
      </w:r>
      <w:proofErr w:type="gramStart"/>
      <w:r w:rsidRPr="00606927">
        <w:rPr>
          <w:rFonts w:cs="Times New Roman" w:hint="eastAsia"/>
          <w:kern w:val="2"/>
          <w:sz w:val="21"/>
          <w:szCs w:val="21"/>
        </w:rPr>
        <w:t>作出</w:t>
      </w:r>
      <w:proofErr w:type="gramEnd"/>
      <w:r w:rsidRPr="00606927">
        <w:rPr>
          <w:rFonts w:cs="Times New Roman" w:hint="eastAsia"/>
          <w:kern w:val="2"/>
          <w:sz w:val="21"/>
          <w:szCs w:val="21"/>
        </w:rPr>
        <w:t>会计估计及相关披露的合理性。</w:t>
      </w:r>
    </w:p>
    <w:p w:rsidR="008D4B2E" w:rsidRPr="00606927" w:rsidRDefault="008D4B2E">
      <w:pPr>
        <w:pStyle w:val="a3"/>
        <w:spacing w:before="0" w:beforeAutospacing="0" w:after="0" w:afterAutospacing="0" w:line="360" w:lineRule="auto"/>
        <w:ind w:firstLine="480"/>
        <w:jc w:val="both"/>
        <w:divId w:val="478041031"/>
        <w:rPr>
          <w:rFonts w:cs="Times New Roman"/>
          <w:kern w:val="2"/>
          <w:sz w:val="21"/>
          <w:szCs w:val="21"/>
        </w:rPr>
      </w:pPr>
      <w:r w:rsidRPr="00606927">
        <w:rPr>
          <w:rFonts w:cs="Times New Roman" w:hint="eastAsia"/>
          <w:kern w:val="2"/>
          <w:sz w:val="21"/>
          <w:szCs w:val="21"/>
        </w:rPr>
        <w:t xml:space="preserve">（4）对管理层使用持续经营假设的恰当性得出结论。同时，根据获取的审计证据，就可能导致对贵公司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贵公司不能持续经营。 </w:t>
      </w:r>
    </w:p>
    <w:p w:rsidR="008D4B2E" w:rsidRPr="00606927" w:rsidRDefault="008D4B2E">
      <w:pPr>
        <w:pStyle w:val="a3"/>
        <w:spacing w:before="0" w:beforeAutospacing="0" w:after="0" w:afterAutospacing="0" w:line="360" w:lineRule="auto"/>
        <w:ind w:firstLine="480"/>
        <w:jc w:val="both"/>
        <w:divId w:val="478041031"/>
        <w:rPr>
          <w:rFonts w:cs="Times New Roman"/>
          <w:kern w:val="2"/>
          <w:sz w:val="21"/>
          <w:szCs w:val="21"/>
        </w:rPr>
      </w:pPr>
      <w:r w:rsidRPr="00606927">
        <w:rPr>
          <w:rFonts w:cs="Times New Roman" w:hint="eastAsia"/>
          <w:kern w:val="2"/>
          <w:sz w:val="21"/>
          <w:szCs w:val="21"/>
        </w:rPr>
        <w:t>（5）评价财务报表的总</w:t>
      </w:r>
      <w:proofErr w:type="gramStart"/>
      <w:r w:rsidRPr="00606927">
        <w:rPr>
          <w:rFonts w:cs="Times New Roman" w:hint="eastAsia"/>
          <w:kern w:val="2"/>
          <w:sz w:val="21"/>
          <w:szCs w:val="21"/>
        </w:rPr>
        <w:t>体列</w:t>
      </w:r>
      <w:proofErr w:type="gramEnd"/>
      <w:r w:rsidRPr="00606927">
        <w:rPr>
          <w:rFonts w:cs="Times New Roman" w:hint="eastAsia"/>
          <w:kern w:val="2"/>
          <w:sz w:val="21"/>
          <w:szCs w:val="21"/>
        </w:rPr>
        <w:t xml:space="preserve">报、结构和内容，并评价财务报表是否公允反映相关交易和事项。 </w:t>
      </w:r>
    </w:p>
    <w:p w:rsidR="008D4B2E" w:rsidRPr="00606927" w:rsidRDefault="008D4B2E">
      <w:pPr>
        <w:pStyle w:val="a3"/>
        <w:spacing w:before="0" w:beforeAutospacing="0" w:after="0" w:afterAutospacing="0" w:line="360" w:lineRule="auto"/>
        <w:ind w:firstLine="480"/>
        <w:jc w:val="both"/>
        <w:divId w:val="478041031"/>
        <w:rPr>
          <w:rFonts w:cs="Times New Roman"/>
          <w:kern w:val="2"/>
          <w:sz w:val="21"/>
          <w:szCs w:val="21"/>
        </w:rPr>
      </w:pPr>
      <w:r w:rsidRPr="00606927">
        <w:rPr>
          <w:rFonts w:cs="Times New Roman" w:hint="eastAsia"/>
          <w:kern w:val="2"/>
          <w:sz w:val="21"/>
          <w:szCs w:val="21"/>
        </w:rPr>
        <w:t xml:space="preserve">（6）就贵公司中实体或业务活动的财务信息获取充分、适当的审计证据，以对财务报表发表意见。我们负责指导、监督和执行集团审计。我们对审计意见承担全部责任。 </w:t>
      </w:r>
    </w:p>
    <w:p w:rsidR="008D4B2E" w:rsidRPr="00606927" w:rsidRDefault="008D4B2E">
      <w:pPr>
        <w:pStyle w:val="a3"/>
        <w:spacing w:before="0" w:beforeAutospacing="0" w:after="0" w:afterAutospacing="0" w:line="360" w:lineRule="auto"/>
        <w:ind w:firstLine="480"/>
        <w:jc w:val="both"/>
        <w:divId w:val="478041031"/>
        <w:rPr>
          <w:rFonts w:cs="Times New Roman"/>
          <w:kern w:val="2"/>
          <w:sz w:val="21"/>
          <w:szCs w:val="21"/>
        </w:rPr>
      </w:pPr>
      <w:r w:rsidRPr="00606927">
        <w:rPr>
          <w:rFonts w:cs="Times New Roman" w:hint="eastAsia"/>
          <w:kern w:val="2"/>
          <w:sz w:val="21"/>
          <w:szCs w:val="21"/>
        </w:rPr>
        <w:t xml:space="preserve">我们与治理层就计划的审计范围、时间安排和重大审计发现等事项进行沟通，包括沟通我们在审计中识别出的值得关注的内部控制缺陷。 </w:t>
      </w:r>
    </w:p>
    <w:p w:rsidR="008D4B2E" w:rsidRPr="00606927" w:rsidRDefault="008D4B2E">
      <w:pPr>
        <w:pStyle w:val="a3"/>
        <w:spacing w:before="0" w:beforeAutospacing="0" w:after="0" w:afterAutospacing="0" w:line="360" w:lineRule="auto"/>
        <w:ind w:firstLine="480"/>
        <w:jc w:val="both"/>
        <w:divId w:val="478041031"/>
        <w:rPr>
          <w:rFonts w:cs="Times New Roman"/>
          <w:kern w:val="2"/>
          <w:sz w:val="21"/>
          <w:szCs w:val="21"/>
        </w:rPr>
      </w:pPr>
      <w:r w:rsidRPr="00606927">
        <w:rPr>
          <w:rFonts w:cs="Times New Roman" w:hint="eastAsia"/>
          <w:kern w:val="2"/>
          <w:sz w:val="21"/>
          <w:szCs w:val="21"/>
        </w:rPr>
        <w:t>我们还就已遵守与独立性相关的职业道德要求向治理层提供声明，并与治理层沟通可能被</w:t>
      </w:r>
      <w:proofErr w:type="gramStart"/>
      <w:r w:rsidRPr="00606927">
        <w:rPr>
          <w:rFonts w:cs="Times New Roman" w:hint="eastAsia"/>
          <w:kern w:val="2"/>
          <w:sz w:val="21"/>
          <w:szCs w:val="21"/>
        </w:rPr>
        <w:t>合理认为</w:t>
      </w:r>
      <w:proofErr w:type="gramEnd"/>
      <w:r w:rsidRPr="00606927">
        <w:rPr>
          <w:rFonts w:cs="Times New Roman" w:hint="eastAsia"/>
          <w:kern w:val="2"/>
          <w:sz w:val="21"/>
          <w:szCs w:val="21"/>
        </w:rPr>
        <w:t>影响我们独立性的所有关系和其他事项，以及相关的防范措施（如适用）。</w:t>
      </w:r>
    </w:p>
    <w:p w:rsidR="008D4B2E" w:rsidRPr="00606927" w:rsidRDefault="008D4B2E">
      <w:pPr>
        <w:pStyle w:val="a3"/>
        <w:spacing w:before="0" w:beforeAutospacing="0" w:after="0" w:afterAutospacing="0" w:line="360" w:lineRule="auto"/>
        <w:ind w:firstLine="480"/>
        <w:jc w:val="both"/>
        <w:divId w:val="478041031"/>
        <w:rPr>
          <w:rFonts w:cs="Times New Roman"/>
          <w:kern w:val="2"/>
          <w:sz w:val="21"/>
          <w:szCs w:val="21"/>
        </w:rPr>
      </w:pPr>
      <w:r w:rsidRPr="00606927">
        <w:rPr>
          <w:rFonts w:cs="Times New Roman" w:hint="eastAsia"/>
          <w:kern w:val="2"/>
          <w:sz w:val="21"/>
          <w:szCs w:val="21"/>
        </w:rPr>
        <w:t xml:space="preserve">从与治理层沟通过的事项中，我们确定哪些事项对本期财务报表审计最为重要，因而构成关键审计事项。我们在审计报告中描述这些事项，除非法律法规禁止公开披露这些事项，或在极少数情形下，如果合理预期在审计报告中沟通某事项造成的负面后果超过在公众利益方面产生的益处，我们确定不应在审计报告中沟通该事项。 </w:t>
      </w:r>
    </w:p>
    <w:p w:rsidR="008D4B2E" w:rsidRDefault="008D4B2E" w:rsidP="00606927">
      <w:pPr>
        <w:pStyle w:val="a3"/>
        <w:spacing w:before="24" w:beforeAutospacing="0" w:after="24" w:afterAutospacing="0" w:line="360" w:lineRule="auto"/>
        <w:ind w:firstLine="480"/>
        <w:jc w:val="both"/>
        <w:divId w:val="478041031"/>
        <w:rPr>
          <w:rFonts w:ascii="Times New Roman" w:hAnsi="Times New Roman" w:cs="Times New Roman"/>
          <w:sz w:val="21"/>
          <w:szCs w:val="21"/>
        </w:rPr>
      </w:pPr>
      <w:r>
        <w:rPr>
          <w:rFonts w:cs="Times New Roman" w:hint="eastAsia"/>
        </w:rPr>
        <w:t>  </w:t>
      </w:r>
    </w:p>
    <w:p w:rsidR="008D4B2E" w:rsidRPr="00606927" w:rsidRDefault="008D4B2E" w:rsidP="00606927">
      <w:pPr>
        <w:pStyle w:val="a3"/>
        <w:spacing w:before="31" w:beforeAutospacing="0" w:after="31" w:afterAutospacing="0"/>
        <w:ind w:left="1320" w:hanging="1320"/>
        <w:jc w:val="both"/>
        <w:divId w:val="478041031"/>
        <w:rPr>
          <w:rFonts w:cs="Times New Roman"/>
          <w:sz w:val="21"/>
          <w:szCs w:val="21"/>
        </w:rPr>
      </w:pPr>
      <w:r w:rsidRPr="00606927">
        <w:rPr>
          <w:rFonts w:cs="Times New Roman" w:hint="eastAsia"/>
          <w:sz w:val="21"/>
          <w:szCs w:val="21"/>
        </w:rPr>
        <w:t xml:space="preserve">中兴华会计师事务所（特殊普通合伙）  </w:t>
      </w:r>
      <w:r w:rsidR="00606927">
        <w:rPr>
          <w:rFonts w:cs="Times New Roman"/>
          <w:sz w:val="21"/>
          <w:szCs w:val="21"/>
        </w:rPr>
        <w:t xml:space="preserve">        </w:t>
      </w:r>
      <w:r w:rsidRPr="00606927">
        <w:rPr>
          <w:rFonts w:cs="Times New Roman" w:hint="eastAsia"/>
          <w:sz w:val="21"/>
          <w:szCs w:val="21"/>
        </w:rPr>
        <w:t>中国注册会计师：</w:t>
      </w:r>
      <w:r w:rsidR="007E0ED4" w:rsidRPr="007E0ED4">
        <w:rPr>
          <w:rFonts w:cs="Times New Roman" w:hint="eastAsia"/>
          <w:sz w:val="21"/>
          <w:szCs w:val="21"/>
        </w:rPr>
        <w:t>丁兆栋</w:t>
      </w:r>
    </w:p>
    <w:p w:rsidR="008D4B2E" w:rsidRPr="00606927" w:rsidRDefault="008D4B2E" w:rsidP="00606927">
      <w:pPr>
        <w:pStyle w:val="a3"/>
        <w:spacing w:before="31" w:beforeAutospacing="0" w:after="31" w:afterAutospacing="0"/>
        <w:ind w:leftChars="100" w:left="210" w:firstLineChars="2900" w:firstLine="6090"/>
        <w:jc w:val="both"/>
        <w:divId w:val="478041031"/>
        <w:rPr>
          <w:rFonts w:cs="Times New Roman"/>
          <w:sz w:val="21"/>
          <w:szCs w:val="21"/>
        </w:rPr>
      </w:pPr>
      <w:r w:rsidRPr="00606927">
        <w:rPr>
          <w:rFonts w:cs="Times New Roman" w:hint="eastAsia"/>
          <w:sz w:val="21"/>
          <w:szCs w:val="21"/>
        </w:rPr>
        <w:t xml:space="preserve">（项目合伙人）         </w:t>
      </w:r>
    </w:p>
    <w:p w:rsidR="00606927" w:rsidRDefault="00606927" w:rsidP="00606927">
      <w:pPr>
        <w:pStyle w:val="a3"/>
        <w:spacing w:before="31" w:beforeAutospacing="0" w:after="31" w:afterAutospacing="0"/>
        <w:ind w:left="1320" w:hanging="1320"/>
        <w:jc w:val="both"/>
        <w:divId w:val="478041031"/>
        <w:rPr>
          <w:rFonts w:cs="Times New Roman"/>
          <w:sz w:val="21"/>
          <w:szCs w:val="21"/>
        </w:rPr>
      </w:pPr>
    </w:p>
    <w:p w:rsidR="00606927" w:rsidRDefault="00606927" w:rsidP="00606927">
      <w:pPr>
        <w:pStyle w:val="a3"/>
        <w:spacing w:before="31" w:beforeAutospacing="0" w:after="31" w:afterAutospacing="0"/>
        <w:ind w:left="1320" w:hanging="1320"/>
        <w:jc w:val="both"/>
        <w:divId w:val="478041031"/>
        <w:rPr>
          <w:rFonts w:cs="Times New Roman"/>
          <w:sz w:val="21"/>
          <w:szCs w:val="21"/>
        </w:rPr>
      </w:pPr>
    </w:p>
    <w:p w:rsidR="008D4B2E" w:rsidRPr="00606927" w:rsidRDefault="008D4B2E" w:rsidP="00606927">
      <w:pPr>
        <w:pStyle w:val="a3"/>
        <w:spacing w:before="31" w:beforeAutospacing="0" w:after="31" w:afterAutospacing="0"/>
        <w:ind w:left="1320" w:hanging="1320"/>
        <w:jc w:val="both"/>
        <w:divId w:val="478041031"/>
        <w:rPr>
          <w:rFonts w:cs="Times New Roman"/>
          <w:sz w:val="21"/>
          <w:szCs w:val="21"/>
        </w:rPr>
      </w:pPr>
      <w:r w:rsidRPr="00606927">
        <w:rPr>
          <w:rFonts w:cs="Times New Roman" w:hint="eastAsia"/>
          <w:sz w:val="21"/>
          <w:szCs w:val="21"/>
        </w:rPr>
        <w:t xml:space="preserve">中国·北京               </w:t>
      </w:r>
      <w:r w:rsidR="00606927">
        <w:rPr>
          <w:rFonts w:cs="Times New Roman"/>
          <w:sz w:val="21"/>
          <w:szCs w:val="21"/>
        </w:rPr>
        <w:t xml:space="preserve">      </w:t>
      </w:r>
      <w:r w:rsidRPr="00606927">
        <w:rPr>
          <w:rFonts w:cs="Times New Roman" w:hint="eastAsia"/>
          <w:sz w:val="21"/>
          <w:szCs w:val="21"/>
        </w:rPr>
        <w:t xml:space="preserve">中国注册会计师： </w:t>
      </w:r>
      <w:r w:rsidR="007E0ED4" w:rsidRPr="007E0ED4">
        <w:rPr>
          <w:rFonts w:cs="Times New Roman" w:hint="eastAsia"/>
          <w:sz w:val="21"/>
          <w:szCs w:val="21"/>
        </w:rPr>
        <w:t>高宁</w:t>
      </w:r>
    </w:p>
    <w:p w:rsidR="008D4B2E" w:rsidRPr="00606927" w:rsidRDefault="008D4B2E" w:rsidP="00606927">
      <w:pPr>
        <w:pStyle w:val="a3"/>
        <w:spacing w:before="31" w:beforeAutospacing="0" w:after="31" w:afterAutospacing="0"/>
        <w:ind w:left="1320" w:hanging="1320"/>
        <w:jc w:val="both"/>
        <w:divId w:val="478041031"/>
        <w:rPr>
          <w:rFonts w:cs="Times New Roman"/>
          <w:sz w:val="21"/>
          <w:szCs w:val="21"/>
        </w:rPr>
      </w:pPr>
      <w:r w:rsidRPr="00606927">
        <w:rPr>
          <w:rFonts w:cs="Times New Roman" w:hint="eastAsia"/>
          <w:sz w:val="21"/>
          <w:szCs w:val="21"/>
        </w:rPr>
        <w:t>   </w:t>
      </w:r>
      <w:r w:rsidR="00606927">
        <w:rPr>
          <w:rFonts w:cs="Times New Roman" w:hint="eastAsia"/>
          <w:sz w:val="21"/>
          <w:szCs w:val="21"/>
        </w:rPr>
        <w:t>                    </w:t>
      </w:r>
      <w:r w:rsidRPr="00606927">
        <w:rPr>
          <w:rFonts w:cs="Times New Roman" w:hint="eastAsia"/>
          <w:sz w:val="21"/>
          <w:szCs w:val="21"/>
        </w:rPr>
        <w:t xml:space="preserve">2024年4月1日  </w:t>
      </w:r>
    </w:p>
    <w:p w:rsidR="00BA0365" w:rsidRDefault="008D4B2E">
      <w:pPr>
        <w:pStyle w:val="2"/>
        <w:spacing w:before="300" w:after="300" w:line="320" w:lineRule="exact"/>
        <w:rPr>
          <w:rFonts w:ascii="宋体" w:eastAsia="宋体" w:hAnsi="宋体" w:cs="宋体"/>
          <w:b/>
          <w:bCs/>
          <w:sz w:val="24"/>
          <w:szCs w:val="24"/>
        </w:rPr>
      </w:pPr>
      <w:bookmarkStart w:id="151" w:name="_Toc989040"/>
      <w:r>
        <w:rPr>
          <w:rFonts w:ascii="宋体" w:eastAsia="宋体" w:hAnsi="宋体" w:cs="宋体"/>
          <w:b/>
          <w:bCs/>
          <w:sz w:val="24"/>
          <w:szCs w:val="24"/>
        </w:rPr>
        <w:lastRenderedPageBreak/>
        <w:t>二、财务报表</w:t>
      </w:r>
      <w:bookmarkEnd w:id="151"/>
    </w:p>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财务附注中报表的单位为：元</w:t>
      </w:r>
    </w:p>
    <w:p w:rsidR="00BA0365" w:rsidRDefault="008D4B2E">
      <w:pPr>
        <w:pStyle w:val="3"/>
        <w:spacing w:line="280" w:lineRule="exact"/>
        <w:jc w:val="left"/>
        <w:rPr>
          <w:rFonts w:ascii="宋体" w:hAnsi="宋体" w:cs="宋体"/>
          <w:b/>
          <w:bCs/>
        </w:rPr>
      </w:pPr>
      <w:bookmarkStart w:id="152" w:name="_Toc989041"/>
      <w:r>
        <w:rPr>
          <w:rFonts w:ascii="宋体" w:hAnsi="宋体" w:cs="宋体"/>
          <w:b/>
          <w:bCs/>
        </w:rPr>
        <w:t>1、合并资产负债表</w:t>
      </w:r>
      <w:bookmarkEnd w:id="152"/>
    </w:p>
    <w:p w:rsidR="00BA0365" w:rsidRDefault="008D4B2E">
      <w:pPr>
        <w:spacing w:line="240" w:lineRule="exact"/>
        <w:rPr>
          <w:rFonts w:ascii="宋体" w:eastAsia="宋体" w:hAnsi="宋体" w:cs="宋体"/>
          <w:sz w:val="18"/>
          <w:szCs w:val="18"/>
        </w:rPr>
      </w:pPr>
      <w:r>
        <w:rPr>
          <w:rFonts w:ascii="宋体" w:eastAsia="宋体" w:hAnsi="宋体" w:cs="宋体"/>
          <w:sz w:val="18"/>
          <w:szCs w:val="18"/>
        </w:rPr>
        <w:t>编制单位：</w:t>
      </w:r>
      <w:proofErr w:type="gramStart"/>
      <w:r>
        <w:rPr>
          <w:rFonts w:ascii="宋体" w:eastAsia="宋体" w:hAnsi="宋体" w:cs="宋体"/>
          <w:sz w:val="18"/>
          <w:szCs w:val="18"/>
        </w:rPr>
        <w:t>软控股份有限公司</w:t>
      </w:r>
      <w:proofErr w:type="gramEnd"/>
    </w:p>
    <w:p w:rsidR="00BA0365" w:rsidRDefault="008D4B2E">
      <w:pPr>
        <w:spacing w:line="240" w:lineRule="exact"/>
        <w:jc w:val="center"/>
        <w:rPr>
          <w:rFonts w:ascii="宋体" w:eastAsia="宋体" w:hAnsi="宋体" w:cs="宋体"/>
          <w:sz w:val="18"/>
          <w:szCs w:val="18"/>
        </w:rPr>
      </w:pPr>
      <w:r>
        <w:rPr>
          <w:rFonts w:ascii="宋体" w:eastAsia="宋体" w:hAnsi="宋体" w:cs="宋体"/>
          <w:sz w:val="18"/>
          <w:szCs w:val="18"/>
        </w:rPr>
        <w:t>2023年12月31日</w:t>
      </w:r>
    </w:p>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3213"/>
        <w:gridCol w:w="3213"/>
        <w:gridCol w:w="3213"/>
      </w:tblGrid>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2023年12月31日</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2023年1月1日</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2,955,647,872.55</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2,749,149,407.21</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结算备付金</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拆出资金</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650,001,001.00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105,052,985.91</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857,690,796.59</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254,569,594.05</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应收账款</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1,165,564,469.53</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994,740,356.96</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176,770,743.91</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529,018,313.90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预付款项</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176,284,198.51</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267,460,070.81</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应收保费</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应收分保账款</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应收分保合同准备金</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45,788,981.72</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98,744,337.28</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其中：应收利息</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1,200,000.00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买入返售金融资产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5,673,274,874.12</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4,661,226,499.67</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合同资产</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持有待售资产</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167,441,875.11</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363,643,872.52</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11,868,464,813.04</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10,023,605,438.31</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非流动资产：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发放贷款和垫款</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长期应收款</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长期股权投资</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128,164,823.58</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126,164,853.56</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其他权益工具投资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482,323,893.45</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511,329,513.93</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其他非流动金融资产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76,210,169.42</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2,221,675,441.56</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2,205,451,294.22</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580,504,540.03</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91,254,554.21</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生产性生物资产</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油气资产</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使用权资产</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46,236,259.58</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59,690,206.29</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402,822,325.50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372,515,494.45</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开发支出</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长期待摊费用</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2,610,077.17</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2,587,389.10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递延所得税资产</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193,281,143.01</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169,620,691.96</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35,795,813.60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86,715,621.09</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非流动资产合计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4,093,414,317.48</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3,701,539,788.23</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资产总计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15,961,879,130.52</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13,725,145,226.54</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短期借款</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688,978,350.00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429,608,369.35</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向中央银行借款</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拆入资金</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衍生金融负债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应付票据</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1,242,093,084.11</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1,325,127,570.22</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应付账款</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2,051,788,569.31</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1,838,815,267.43</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预收款项</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合同负债</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4,168,545,556.67</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3,158,646,686.84</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卖出回购金融资产款</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吸收存款及同业存放</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代理买卖证券款</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代理承销证券款</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167,317,294.06</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133,457,668.10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应交税费</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34,329,736.60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36,052,929.96</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283,134,120.55</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176,784,270.20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其中：应付利息</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635,444.00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1,470,000.00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应付手续费及佣金</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应付分保账款</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持有待售负债</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113,079,254.13</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48,289,590.56</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565,062,731.97</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365,057,638.20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9,314,328,697.40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7,511,839,990.86</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保险合同准备金</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长期借款</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943,004,370.30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963,612,166.00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应付债券</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租赁负债</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29,234,874.64</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39,775,251.13</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预计负债</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23,012,334.20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20,227,132.94</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66,073,107.96</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64,265,531.12</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42,711,121.78</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31,855,328.51</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非流动负债合计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1,104,035,808.88</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1,119,735,409.70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10,418,364,506.28</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8,631,575,400.56</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所有者权益：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股本</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1,012,096,504.00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969,506,674.00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其他权益工具</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资本公积</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2,270,909,631.57</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2,023,632,169.44</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减：库存股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201,131,504.00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91,439,200.00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32,491,276.60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53,473,129.86</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专项储备</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38,455,862.10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29,324,846.55</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盈余公积</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338,307,359.07</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331,982,973.54</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一般风险准备</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1,796,831,244.88</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1,494,610,178.30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归属于母公司所有者权益合计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5,287,960,374.22</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4,811,090,771.69</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少数股东权益</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255,554,250.02</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282,479,054.29</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5,543,514,624.24</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5,093,569,825.98</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负债和所有者权益总计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15,961,879,130.52</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13,725,145,226.54</w:t>
            </w:r>
          </w:p>
        </w:tc>
      </w:tr>
    </w:tbl>
    <w:p w:rsidR="00BA0365" w:rsidRDefault="008D4B2E">
      <w:pPr>
        <w:spacing w:line="240" w:lineRule="exact"/>
        <w:rPr>
          <w:rFonts w:ascii="宋体" w:eastAsia="宋体" w:hAnsi="宋体" w:cs="宋体"/>
          <w:sz w:val="18"/>
          <w:szCs w:val="18"/>
        </w:rPr>
      </w:pPr>
      <w:r>
        <w:rPr>
          <w:rFonts w:ascii="宋体" w:eastAsia="宋体" w:hAnsi="宋体" w:cs="宋体"/>
          <w:sz w:val="18"/>
          <w:szCs w:val="18"/>
        </w:rPr>
        <w:t>法定代表人：官</w:t>
      </w:r>
      <w:proofErr w:type="gramStart"/>
      <w:r>
        <w:rPr>
          <w:rFonts w:ascii="宋体" w:eastAsia="宋体" w:hAnsi="宋体" w:cs="宋体"/>
          <w:sz w:val="18"/>
          <w:szCs w:val="18"/>
        </w:rPr>
        <w:t>炳</w:t>
      </w:r>
      <w:proofErr w:type="gramEnd"/>
      <w:r>
        <w:rPr>
          <w:rFonts w:ascii="宋体" w:eastAsia="宋体" w:hAnsi="宋体" w:cs="宋体"/>
          <w:sz w:val="18"/>
          <w:szCs w:val="18"/>
        </w:rPr>
        <w:t xml:space="preserve">政    </w:t>
      </w:r>
      <w:r w:rsidR="00606927">
        <w:rPr>
          <w:rFonts w:ascii="宋体" w:eastAsia="宋体" w:hAnsi="宋体" w:cs="宋体"/>
          <w:sz w:val="18"/>
          <w:szCs w:val="18"/>
        </w:rPr>
        <w:t xml:space="preserve">                 </w:t>
      </w:r>
      <w:r>
        <w:rPr>
          <w:rFonts w:ascii="宋体" w:eastAsia="宋体" w:hAnsi="宋体" w:cs="宋体"/>
          <w:sz w:val="18"/>
          <w:szCs w:val="18"/>
        </w:rPr>
        <w:t xml:space="preserve">主管会计工作负责人：张垚      </w:t>
      </w:r>
      <w:r w:rsidR="00606927">
        <w:rPr>
          <w:rFonts w:ascii="宋体" w:eastAsia="宋体" w:hAnsi="宋体" w:cs="宋体"/>
          <w:sz w:val="18"/>
          <w:szCs w:val="18"/>
        </w:rPr>
        <w:t xml:space="preserve">              </w:t>
      </w:r>
      <w:r>
        <w:rPr>
          <w:rFonts w:ascii="宋体" w:eastAsia="宋体" w:hAnsi="宋体" w:cs="宋体"/>
          <w:sz w:val="18"/>
          <w:szCs w:val="18"/>
        </w:rPr>
        <w:t>会计机构负责人：廖永健</w:t>
      </w:r>
    </w:p>
    <w:p w:rsidR="00BA0365" w:rsidRDefault="008D4B2E">
      <w:pPr>
        <w:pStyle w:val="3"/>
        <w:spacing w:line="280" w:lineRule="exact"/>
        <w:jc w:val="left"/>
        <w:rPr>
          <w:rFonts w:ascii="宋体" w:hAnsi="宋体" w:cs="宋体"/>
          <w:b/>
          <w:bCs/>
        </w:rPr>
      </w:pPr>
      <w:bookmarkStart w:id="153" w:name="_Toc989042"/>
      <w:r>
        <w:rPr>
          <w:rFonts w:ascii="宋体" w:hAnsi="宋体" w:cs="宋体"/>
          <w:b/>
          <w:bCs/>
        </w:rPr>
        <w:t>2、母公司资产负债表</w:t>
      </w:r>
      <w:bookmarkEnd w:id="153"/>
    </w:p>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3213"/>
        <w:gridCol w:w="3213"/>
        <w:gridCol w:w="3213"/>
      </w:tblGrid>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2023年12月31日</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2023年1月1日</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628,286,154.81</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116,286,994.70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300,000,000.00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152,000,000.00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11,820,659.80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216,186,726.31</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应收账款</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803,527,004.95</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836,701,349.07</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67,540,969.34</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80,000.00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预付款项</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10,137,413.05</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10,996,407.60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395,141,504.10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542,860,986.39</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其中：应收利息</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1,530,000.00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27,977,968.88</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14,351,481.10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合同资产</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持有待售资产</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6,667,880.20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7,983,843.04</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lastRenderedPageBreak/>
              <w:t>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2,251,099,555.13</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1,897,447,788.21</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非流动资产：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78,162,360.00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47,359,280.00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其他债权投资</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长期应收款</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长期股权投资</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4,845,782,827.66</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4,465,057,144.23</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其他权益工具投资</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399,716,000.00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399,716,000.00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其他非流动金融资产</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25,803,677.87</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30,176,136.51</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1,639,939.83</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生产性生物资产</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油气资产</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使用权资产</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30,909,323.20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38,730,869.47</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7,512,482.25</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6,471,146.69</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开发支出</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长期待摊费用</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递延所得税资产</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60,744,584.90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58,651,341.24</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其他非流动资产</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非流动资产合计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5,448,631,255.88</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5,047,801,857.97</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资产总计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7,699,730,811.01</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6,945,249,646.18</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短期借款</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95,000,000.00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衍生金融负债</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应付票据</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应付账款</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141,980,040.31</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127,795,689.73</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预收款项</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合同负债</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30,401,356.07</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19,349,061.61</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27,519,265.53</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28,446,187.77</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应交税费</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4,986,170.04</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10,538,710.42</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1,420,080,101.34</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534,944,896.48</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其中：应付利息</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635,444.00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持有待售负债</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109,541,991.66</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45,461,856.41</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7,424,688.93</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216,488,595.53</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1,741,933,613.88</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1,078,024,997.95</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长期借款</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109,188,235.29</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214,000,000.00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应付债券</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lastRenderedPageBreak/>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租赁负债</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16,862,207.65</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28,276,470.41</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长期应付职工薪酬</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预计负债</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8,612,357.38</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8,612,357.38</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12,006,748.50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9,783,948.50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8,479,413.48</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3,843,015.00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其他非流动负债</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非流动负债合计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155,148,962.30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264,515,791.29</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1,897,082,576.18</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1,342,540,789.24</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所有者权益：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股本</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1,012,096,504.00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969,506,674.00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其他权益工具</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资本公积</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2,412,492,304.37</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2,164,171,152.75</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减：库存股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201,131,504.00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91,439,200.00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-5,100,000.00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-5,100,000.00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专项储备</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盈余公积</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338,307,359.07</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331,982,973.54</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2,245,983,571.39</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2,233,587,256.65</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5,802,648,234.83</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5,602,708,856.94</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负债和所有者权益总计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7,699,730,811.01</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6,945,249,646.18</w:t>
            </w:r>
          </w:p>
        </w:tc>
      </w:tr>
    </w:tbl>
    <w:p w:rsidR="00BA0365" w:rsidRDefault="008D4B2E">
      <w:pPr>
        <w:pStyle w:val="3"/>
        <w:spacing w:line="280" w:lineRule="exact"/>
        <w:jc w:val="left"/>
        <w:rPr>
          <w:rFonts w:ascii="宋体" w:hAnsi="宋体" w:cs="宋体"/>
          <w:b/>
          <w:bCs/>
        </w:rPr>
      </w:pPr>
      <w:bookmarkStart w:id="154" w:name="_Toc989043"/>
      <w:r>
        <w:rPr>
          <w:rFonts w:ascii="宋体" w:hAnsi="宋体" w:cs="宋体"/>
          <w:b/>
          <w:bCs/>
        </w:rPr>
        <w:t>3、合并利润表</w:t>
      </w:r>
      <w:bookmarkEnd w:id="154"/>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3213"/>
        <w:gridCol w:w="3213"/>
        <w:gridCol w:w="3213"/>
      </w:tblGrid>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2023年度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2022年度</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一、营业总收入</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5,647,595,165.99</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5,735,914,957.58</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其中：营业收入</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5,647,595,165.99</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5,735,914,957.58</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已赚保费</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手续费及佣金收入</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二、营业总成本</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5,253,780,456.18</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5,479,699,564.82</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其中：营业成本</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4,179,202,249.17</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4,579,657,020.79</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利息支出</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手续费及佣金支出</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退保金</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赔付支出净额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提取保险责任合同准备金净额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保单红利支出</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分保费用</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税金及附加</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35,823,836.94</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33,470,539.69</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销售费用</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156,988,361.62</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137,838,332.81</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lastRenderedPageBreak/>
              <w:t>管理费用</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458,119,027.04</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407,317,166.19</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研发费用</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358,585,068.83</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302,939,656.19</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财务费用</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65,061,912.58</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18,476,849.15</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其中：利息费用</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73,661,316.99</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31,754,885.80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800" w:firstLine="1440"/>
              <w:rPr>
                <w:rFonts w:ascii="宋体" w:eastAsia="宋体" w:hAnsi="宋体" w:cs="宋体"/>
                <w:sz w:val="18"/>
                <w:szCs w:val="18"/>
              </w:rPr>
            </w:pPr>
            <w:r>
              <w:rPr>
                <w:rFonts w:ascii="宋体" w:eastAsia="宋体" w:hAnsi="宋体"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30,950,637.44</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22,073,240.31</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加：其他收益</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37,369,532.27</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32,769,573.55</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投资收益（损失以“－”号填列）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81,225,239.72</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51,175,037.55</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其中：对联营企业和合营企业的投资收益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3,599,970.02</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3,003,057.72</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800" w:firstLine="1440"/>
              <w:rPr>
                <w:rFonts w:ascii="宋体" w:eastAsia="宋体" w:hAnsi="宋体" w:cs="宋体"/>
                <w:sz w:val="18"/>
                <w:szCs w:val="18"/>
              </w:rPr>
            </w:pPr>
            <w:r>
              <w:rPr>
                <w:rFonts w:ascii="宋体" w:eastAsia="宋体" w:hAnsi="宋体" w:cs="宋体"/>
                <w:sz w:val="18"/>
                <w:szCs w:val="18"/>
              </w:rPr>
              <w:t>以摊</w:t>
            </w:r>
            <w:proofErr w:type="gramStart"/>
            <w:r>
              <w:rPr>
                <w:rFonts w:ascii="宋体" w:eastAsia="宋体" w:hAnsi="宋体" w:cs="宋体"/>
                <w:sz w:val="18"/>
                <w:szCs w:val="18"/>
              </w:rPr>
              <w:t>余成本</w:t>
            </w:r>
            <w:proofErr w:type="gramEnd"/>
            <w:r>
              <w:rPr>
                <w:rFonts w:ascii="宋体" w:eastAsia="宋体" w:hAnsi="宋体" w:cs="宋体"/>
                <w:sz w:val="18"/>
                <w:szCs w:val="18"/>
              </w:rPr>
              <w:t>计量的金融资产终止确认收益</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汇兑收益（损失以“-”号填列）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净敞口套期收益（损失以“－”号填列）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公允价值变动收益（损失以“－”号填列）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信用减值损失（损失以“-”号填列）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19,146,358.66</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-43,798,766.98</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资产减值损失（损失以“-”号填列）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-100,107,800.90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-72,858,577.65</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资产处置收益（损失以“-”号填列）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-2,345,212.50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-1,060,981.28</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三、营业利润（亏损以“－”号填列）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429,102,827.06</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222,441,677.95</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加：营业外收入</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2,690,759.36</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2,844,327.32</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减：营业外支出</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20,498,497.96</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4,695,744.50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四、利润总额（亏损总额以“－”号填列）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411,295,088.46</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220,590,260.77</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减：所得税费用</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15,922,343.61</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-11,872,322.59</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五、净利润（净亏损以“－”号填列）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395,372,744.85</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232,462,583.36</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（一）按经营持续性分类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200" w:firstLine="360"/>
              <w:rPr>
                <w:rFonts w:ascii="宋体" w:eastAsia="宋体" w:hAnsi="宋体" w:cs="宋体"/>
                <w:sz w:val="18"/>
                <w:szCs w:val="18"/>
              </w:rPr>
            </w:pPr>
            <w:r>
              <w:rPr>
                <w:rFonts w:ascii="宋体" w:eastAsia="宋体" w:hAnsi="宋体" w:cs="宋体"/>
                <w:sz w:val="18"/>
                <w:szCs w:val="18"/>
              </w:rPr>
              <w:t>1.持续经营净利润（净亏损以“－”号填列）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395,372,744.85</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232,462,583.36</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200" w:firstLine="360"/>
              <w:rPr>
                <w:rFonts w:ascii="宋体" w:eastAsia="宋体" w:hAnsi="宋体" w:cs="宋体"/>
                <w:sz w:val="18"/>
                <w:szCs w:val="18"/>
              </w:rPr>
            </w:pPr>
            <w:r>
              <w:rPr>
                <w:rFonts w:ascii="宋体" w:eastAsia="宋体" w:hAnsi="宋体" w:cs="宋体"/>
                <w:sz w:val="18"/>
                <w:szCs w:val="18"/>
              </w:rPr>
              <w:t>2.终止经营净利润（净亏损以“－”号填列）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（二）按所有权归属分类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200" w:firstLine="360"/>
              <w:rPr>
                <w:rFonts w:ascii="宋体" w:eastAsia="宋体" w:hAnsi="宋体" w:cs="宋体"/>
                <w:sz w:val="18"/>
                <w:szCs w:val="18"/>
              </w:rPr>
            </w:pPr>
            <w:r>
              <w:rPr>
                <w:rFonts w:ascii="宋体" w:eastAsia="宋体" w:hAnsi="宋体" w:cs="宋体"/>
                <w:sz w:val="18"/>
                <w:szCs w:val="18"/>
              </w:rPr>
              <w:t>1.归属于母公司股东的净利润</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333,149,674.13</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202,651,631.16</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200" w:firstLine="360"/>
              <w:rPr>
                <w:rFonts w:ascii="宋体" w:eastAsia="宋体" w:hAnsi="宋体" w:cs="宋体"/>
                <w:sz w:val="18"/>
                <w:szCs w:val="18"/>
              </w:rPr>
            </w:pPr>
            <w:r>
              <w:rPr>
                <w:rFonts w:ascii="宋体" w:eastAsia="宋体" w:hAnsi="宋体" w:cs="宋体"/>
                <w:sz w:val="18"/>
                <w:szCs w:val="18"/>
              </w:rPr>
              <w:t>2.少数股东损益</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62,223,070.72</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29,810,952.20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六、其他综合收益的税后净额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-21,047,646.01</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54,279,668.25</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归属母公司所有者的其他综合收益的税后净额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-20,981,853.26</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54,279,668.25</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200" w:firstLine="360"/>
              <w:rPr>
                <w:rFonts w:ascii="宋体" w:eastAsia="宋体" w:hAnsi="宋体" w:cs="宋体"/>
                <w:sz w:val="18"/>
                <w:szCs w:val="18"/>
              </w:rPr>
            </w:pPr>
            <w:r>
              <w:rPr>
                <w:rFonts w:ascii="宋体" w:eastAsia="宋体" w:hAnsi="宋体" w:cs="宋体"/>
                <w:sz w:val="18"/>
                <w:szCs w:val="18"/>
              </w:rPr>
              <w:t>（一）不能重分类进损益的其他综合收益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-20,010,468.85</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56,651,968.91</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300" w:firstLine="540"/>
              <w:rPr>
                <w:rFonts w:ascii="宋体" w:eastAsia="宋体" w:hAnsi="宋体" w:cs="宋体"/>
                <w:sz w:val="18"/>
                <w:szCs w:val="18"/>
              </w:rPr>
            </w:pPr>
            <w:r>
              <w:rPr>
                <w:rFonts w:ascii="宋体" w:eastAsia="宋体" w:hAnsi="宋体" w:cs="宋体"/>
                <w:sz w:val="18"/>
                <w:szCs w:val="18"/>
              </w:rPr>
              <w:t>1.重新计量设定受益计划变动额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300" w:firstLine="540"/>
              <w:rPr>
                <w:rFonts w:ascii="宋体" w:eastAsia="宋体" w:hAnsi="宋体" w:cs="宋体"/>
                <w:sz w:val="18"/>
                <w:szCs w:val="18"/>
              </w:rPr>
            </w:pPr>
            <w:r>
              <w:rPr>
                <w:rFonts w:ascii="宋体" w:eastAsia="宋体" w:hAnsi="宋体" w:cs="宋体"/>
                <w:sz w:val="18"/>
                <w:szCs w:val="18"/>
              </w:rPr>
              <w:t>2.权益法下不能转损益的其他综合收益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300" w:firstLine="540"/>
              <w:rPr>
                <w:rFonts w:ascii="宋体" w:eastAsia="宋体" w:hAnsi="宋体" w:cs="宋体"/>
                <w:sz w:val="18"/>
                <w:szCs w:val="18"/>
              </w:rPr>
            </w:pPr>
            <w:r>
              <w:rPr>
                <w:rFonts w:ascii="宋体" w:eastAsia="宋体" w:hAnsi="宋体" w:cs="宋体"/>
                <w:sz w:val="18"/>
                <w:szCs w:val="18"/>
              </w:rPr>
              <w:lastRenderedPageBreak/>
              <w:t>3.其他权益工具投资公允价值变动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-20,010,468.85</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56,651,968.91</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300" w:firstLine="540"/>
              <w:rPr>
                <w:rFonts w:ascii="宋体" w:eastAsia="宋体" w:hAnsi="宋体" w:cs="宋体"/>
                <w:sz w:val="18"/>
                <w:szCs w:val="18"/>
              </w:rPr>
            </w:pPr>
            <w:r>
              <w:rPr>
                <w:rFonts w:ascii="宋体" w:eastAsia="宋体" w:hAnsi="宋体" w:cs="宋体"/>
                <w:sz w:val="18"/>
                <w:szCs w:val="18"/>
              </w:rPr>
              <w:t>4.企业自身信用风险公允价值变动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300" w:firstLine="540"/>
              <w:rPr>
                <w:rFonts w:ascii="宋体" w:eastAsia="宋体" w:hAnsi="宋体" w:cs="宋体"/>
                <w:sz w:val="18"/>
                <w:szCs w:val="18"/>
              </w:rPr>
            </w:pPr>
            <w:r>
              <w:rPr>
                <w:rFonts w:ascii="宋体" w:eastAsia="宋体" w:hAnsi="宋体" w:cs="宋体"/>
                <w:sz w:val="18"/>
                <w:szCs w:val="18"/>
              </w:rPr>
              <w:t>5.其他</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200" w:firstLine="360"/>
              <w:rPr>
                <w:rFonts w:ascii="宋体" w:eastAsia="宋体" w:hAnsi="宋体" w:cs="宋体"/>
                <w:sz w:val="18"/>
                <w:szCs w:val="18"/>
              </w:rPr>
            </w:pPr>
            <w:r>
              <w:rPr>
                <w:rFonts w:ascii="宋体" w:eastAsia="宋体" w:hAnsi="宋体" w:cs="宋体"/>
                <w:sz w:val="18"/>
                <w:szCs w:val="18"/>
              </w:rPr>
              <w:t>（二）将重分类进损益的其他综合收益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-971,384.41</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-2,372,300.66</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300" w:firstLine="540"/>
              <w:rPr>
                <w:rFonts w:ascii="宋体" w:eastAsia="宋体" w:hAnsi="宋体" w:cs="宋体"/>
                <w:sz w:val="18"/>
                <w:szCs w:val="18"/>
              </w:rPr>
            </w:pPr>
            <w:r>
              <w:rPr>
                <w:rFonts w:ascii="宋体" w:eastAsia="宋体" w:hAnsi="宋体" w:cs="宋体"/>
                <w:sz w:val="18"/>
                <w:szCs w:val="18"/>
              </w:rPr>
              <w:t>1.权益法下可转损益的其他综合收益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300" w:firstLine="540"/>
              <w:rPr>
                <w:rFonts w:ascii="宋体" w:eastAsia="宋体" w:hAnsi="宋体" w:cs="宋体"/>
                <w:sz w:val="18"/>
                <w:szCs w:val="18"/>
              </w:rPr>
            </w:pPr>
            <w:r>
              <w:rPr>
                <w:rFonts w:ascii="宋体" w:eastAsia="宋体" w:hAnsi="宋体" w:cs="宋体"/>
                <w:sz w:val="18"/>
                <w:szCs w:val="18"/>
              </w:rPr>
              <w:t>2.其他债权投资公允价值变动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300" w:firstLine="540"/>
              <w:rPr>
                <w:rFonts w:ascii="宋体" w:eastAsia="宋体" w:hAnsi="宋体" w:cs="宋体"/>
                <w:sz w:val="18"/>
                <w:szCs w:val="18"/>
              </w:rPr>
            </w:pPr>
            <w:r>
              <w:rPr>
                <w:rFonts w:ascii="宋体" w:eastAsia="宋体" w:hAnsi="宋体" w:cs="宋体"/>
                <w:sz w:val="18"/>
                <w:szCs w:val="18"/>
              </w:rPr>
              <w:t>3.金融资产重分类计入其他综合收益的金额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300" w:firstLine="540"/>
              <w:rPr>
                <w:rFonts w:ascii="宋体" w:eastAsia="宋体" w:hAnsi="宋体" w:cs="宋体"/>
                <w:sz w:val="18"/>
                <w:szCs w:val="18"/>
              </w:rPr>
            </w:pPr>
            <w:r>
              <w:rPr>
                <w:rFonts w:ascii="宋体" w:eastAsia="宋体" w:hAnsi="宋体" w:cs="宋体"/>
                <w:sz w:val="18"/>
                <w:szCs w:val="18"/>
              </w:rPr>
              <w:t>4.其他债权投资信用减值准备</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300" w:firstLine="540"/>
              <w:rPr>
                <w:rFonts w:ascii="宋体" w:eastAsia="宋体" w:hAnsi="宋体" w:cs="宋体"/>
                <w:sz w:val="18"/>
                <w:szCs w:val="18"/>
              </w:rPr>
            </w:pPr>
            <w:r>
              <w:rPr>
                <w:rFonts w:ascii="宋体" w:eastAsia="宋体" w:hAnsi="宋体" w:cs="宋体"/>
                <w:sz w:val="18"/>
                <w:szCs w:val="18"/>
              </w:rPr>
              <w:t>5.现金流量套期储备</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300" w:firstLine="540"/>
              <w:rPr>
                <w:rFonts w:ascii="宋体" w:eastAsia="宋体" w:hAnsi="宋体" w:cs="宋体"/>
                <w:sz w:val="18"/>
                <w:szCs w:val="18"/>
              </w:rPr>
            </w:pPr>
            <w:r>
              <w:rPr>
                <w:rFonts w:ascii="宋体" w:eastAsia="宋体" w:hAnsi="宋体" w:cs="宋体"/>
                <w:sz w:val="18"/>
                <w:szCs w:val="18"/>
              </w:rPr>
              <w:t>6.外币财务报表折算差额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-971,384.41</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-2,372,300.66</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300" w:firstLine="540"/>
              <w:rPr>
                <w:rFonts w:ascii="宋体" w:eastAsia="宋体" w:hAnsi="宋体" w:cs="宋体"/>
                <w:sz w:val="18"/>
                <w:szCs w:val="18"/>
              </w:rPr>
            </w:pPr>
            <w:r>
              <w:rPr>
                <w:rFonts w:ascii="宋体" w:eastAsia="宋体" w:hAnsi="宋体" w:cs="宋体"/>
                <w:sz w:val="18"/>
                <w:szCs w:val="18"/>
              </w:rPr>
              <w:t>7.其他</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归属于少数股东的其他综合收益的税后净额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-65,792.75</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七、综合收益总额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374,325,098.84</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286,742,251.61</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归属于母公司所有者的综合收益总额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312,167,820.87</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256,931,299.41</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归属于少数股东的综合收益总额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62,157,277.97</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29,810,952.20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八、每股收益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（一）基本每股收益</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0.3486</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0.2147</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（二）稀释每股收益</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0.3552</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0.217</w:t>
            </w:r>
          </w:p>
        </w:tc>
      </w:tr>
    </w:tbl>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法定代表人：官</w:t>
      </w:r>
      <w:proofErr w:type="gramStart"/>
      <w:r>
        <w:rPr>
          <w:rFonts w:ascii="宋体" w:eastAsia="宋体" w:hAnsi="宋体" w:cs="宋体"/>
          <w:sz w:val="18"/>
          <w:szCs w:val="18"/>
        </w:rPr>
        <w:t>炳</w:t>
      </w:r>
      <w:proofErr w:type="gramEnd"/>
      <w:r>
        <w:rPr>
          <w:rFonts w:ascii="宋体" w:eastAsia="宋体" w:hAnsi="宋体" w:cs="宋体"/>
          <w:sz w:val="18"/>
          <w:szCs w:val="18"/>
        </w:rPr>
        <w:t xml:space="preserve">政    </w:t>
      </w:r>
      <w:r w:rsidR="007E0ED4">
        <w:rPr>
          <w:rFonts w:ascii="宋体" w:eastAsia="宋体" w:hAnsi="宋体" w:cs="宋体"/>
          <w:sz w:val="18"/>
          <w:szCs w:val="18"/>
        </w:rPr>
        <w:t xml:space="preserve">                 </w:t>
      </w:r>
      <w:r>
        <w:rPr>
          <w:rFonts w:ascii="宋体" w:eastAsia="宋体" w:hAnsi="宋体" w:cs="宋体"/>
          <w:sz w:val="18"/>
          <w:szCs w:val="18"/>
        </w:rPr>
        <w:t xml:space="preserve">主管会计工作负责人：张垚 </w:t>
      </w:r>
      <w:r w:rsidR="007E0ED4">
        <w:rPr>
          <w:rFonts w:ascii="宋体" w:eastAsia="宋体" w:hAnsi="宋体" w:cs="宋体"/>
          <w:sz w:val="18"/>
          <w:szCs w:val="18"/>
        </w:rPr>
        <w:t xml:space="preserve">                </w:t>
      </w:r>
      <w:r>
        <w:rPr>
          <w:rFonts w:ascii="宋体" w:eastAsia="宋体" w:hAnsi="宋体" w:cs="宋体"/>
          <w:sz w:val="18"/>
          <w:szCs w:val="18"/>
        </w:rPr>
        <w:t xml:space="preserve">   会计机构负责人：廖永健</w:t>
      </w:r>
    </w:p>
    <w:p w:rsidR="00BA0365" w:rsidRDefault="008D4B2E">
      <w:pPr>
        <w:pStyle w:val="3"/>
        <w:spacing w:line="280" w:lineRule="exact"/>
        <w:jc w:val="left"/>
        <w:rPr>
          <w:rFonts w:ascii="宋体" w:hAnsi="宋体" w:cs="宋体"/>
          <w:b/>
          <w:bCs/>
        </w:rPr>
      </w:pPr>
      <w:bookmarkStart w:id="155" w:name="_Toc989044"/>
      <w:r>
        <w:rPr>
          <w:rFonts w:ascii="宋体" w:hAnsi="宋体" w:cs="宋体"/>
          <w:b/>
          <w:bCs/>
        </w:rPr>
        <w:t>4、母公司利润表</w:t>
      </w:r>
      <w:bookmarkEnd w:id="155"/>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3213"/>
        <w:gridCol w:w="3213"/>
        <w:gridCol w:w="3213"/>
      </w:tblGrid>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2023年度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2022年度</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一、营业收入</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228,639,882.62</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255,171,716.30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减：营业成本</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18,433,016.40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62,236,235.09</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税金及附加</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3,258,589.24</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3,366,714.31</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销售费用</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20,527,019.81</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22,457,786.40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管理费用</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96,496,881.39</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118,730,923.24</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研发费用</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76,970,505.28</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75,775,480.43</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财务费用</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11,587,692.42</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14,531,965.01</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其中：利息费用</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14,898,144.72</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23,696,910.23</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700" w:firstLine="1260"/>
              <w:rPr>
                <w:rFonts w:ascii="宋体" w:eastAsia="宋体" w:hAnsi="宋体" w:cs="宋体"/>
                <w:sz w:val="18"/>
                <w:szCs w:val="18"/>
              </w:rPr>
            </w:pPr>
            <w:r>
              <w:rPr>
                <w:rFonts w:ascii="宋体" w:eastAsia="宋体" w:hAnsi="宋体"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2,551,927.00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3,904,754.71</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加：其他收益</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20,657,464.96</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18,378,346.35</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投资收益（损失以“－”号填列）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38,232,160.93</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22,446,674.71</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其中：对联营企业和合营企业的投资收益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978,709.95</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1,036,754.42</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700" w:firstLine="1260"/>
              <w:rPr>
                <w:rFonts w:ascii="宋体" w:eastAsia="宋体" w:hAnsi="宋体" w:cs="宋体"/>
                <w:sz w:val="18"/>
                <w:szCs w:val="18"/>
              </w:rPr>
            </w:pPr>
            <w:r>
              <w:rPr>
                <w:rFonts w:ascii="宋体" w:eastAsia="宋体" w:hAnsi="宋体" w:cs="宋体"/>
                <w:sz w:val="18"/>
                <w:szCs w:val="18"/>
              </w:rPr>
              <w:t>以摊</w:t>
            </w:r>
            <w:proofErr w:type="gramStart"/>
            <w:r>
              <w:rPr>
                <w:rFonts w:ascii="宋体" w:eastAsia="宋体" w:hAnsi="宋体" w:cs="宋体"/>
                <w:sz w:val="18"/>
                <w:szCs w:val="18"/>
              </w:rPr>
              <w:t>余成本</w:t>
            </w:r>
            <w:proofErr w:type="gramEnd"/>
            <w:r>
              <w:rPr>
                <w:rFonts w:ascii="宋体" w:eastAsia="宋体" w:hAnsi="宋体" w:cs="宋体"/>
                <w:sz w:val="18"/>
                <w:szCs w:val="18"/>
              </w:rPr>
              <w:t>计量的金融资产终止确认收益（损失以“-”号填列）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净敞口套期收益（损失以“－”号填列）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公允价值变动收益（损失以</w:t>
            </w:r>
            <w:r>
              <w:rPr>
                <w:rFonts w:ascii="宋体" w:eastAsia="宋体" w:hAnsi="宋体" w:cs="宋体"/>
                <w:sz w:val="18"/>
                <w:szCs w:val="18"/>
              </w:rPr>
              <w:lastRenderedPageBreak/>
              <w:t>“－”号填列）</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lastRenderedPageBreak/>
              <w:t>信用减值损失（损失以“-”号填列）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6,680,400.12</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15,065,460.62</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资产减值损失（损失以“-”号填列）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-454,914.21</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-193,455.34</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资产处置收益（损失以“-”号填列）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-1,294,736.22</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二、营业利润（亏损以“－”号填列）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65,186,553.66</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13,769,638.16</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加：营业外收入</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40,378.60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21,171.61</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减：营业外支出</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653,610.69</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81,251.08</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三、利润总额（亏损总额以“－”号填列）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64,573,321.57</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13,709,558.69</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减：所得税费用</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1,329,466.30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-9,354,888.16</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四、净利润（净亏损以“－”号填列）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63,243,855.27</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23,064,446.85</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（一）持续经营净利润（净亏损以“－”号填列）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63,243,855.27</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23,064,446.85</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（二）终止经营净利润（净亏损以“－”号填列）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五、其他综合收益的税后净额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-5,221,541.69</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200" w:firstLine="360"/>
              <w:rPr>
                <w:rFonts w:ascii="宋体" w:eastAsia="宋体" w:hAnsi="宋体" w:cs="宋体"/>
                <w:sz w:val="18"/>
                <w:szCs w:val="18"/>
              </w:rPr>
            </w:pPr>
            <w:r>
              <w:rPr>
                <w:rFonts w:ascii="宋体" w:eastAsia="宋体" w:hAnsi="宋体" w:cs="宋体"/>
                <w:sz w:val="18"/>
                <w:szCs w:val="18"/>
              </w:rPr>
              <w:t>（一）不能重分类进损益的其他综合收益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-5,221,541.69</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300" w:firstLine="540"/>
              <w:rPr>
                <w:rFonts w:ascii="宋体" w:eastAsia="宋体" w:hAnsi="宋体" w:cs="宋体"/>
                <w:sz w:val="18"/>
                <w:szCs w:val="18"/>
              </w:rPr>
            </w:pPr>
            <w:r>
              <w:rPr>
                <w:rFonts w:ascii="宋体" w:eastAsia="宋体" w:hAnsi="宋体" w:cs="宋体"/>
                <w:sz w:val="18"/>
                <w:szCs w:val="18"/>
              </w:rPr>
              <w:t>1.重新计量设定受益计划变动额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300" w:firstLine="540"/>
              <w:rPr>
                <w:rFonts w:ascii="宋体" w:eastAsia="宋体" w:hAnsi="宋体" w:cs="宋体"/>
                <w:sz w:val="18"/>
                <w:szCs w:val="18"/>
              </w:rPr>
            </w:pPr>
            <w:r>
              <w:rPr>
                <w:rFonts w:ascii="宋体" w:eastAsia="宋体" w:hAnsi="宋体" w:cs="宋体"/>
                <w:sz w:val="18"/>
                <w:szCs w:val="18"/>
              </w:rPr>
              <w:t>2.权益法下不能转损益的其他综合收益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300" w:firstLine="540"/>
              <w:rPr>
                <w:rFonts w:ascii="宋体" w:eastAsia="宋体" w:hAnsi="宋体" w:cs="宋体"/>
                <w:sz w:val="18"/>
                <w:szCs w:val="18"/>
              </w:rPr>
            </w:pPr>
            <w:r>
              <w:rPr>
                <w:rFonts w:ascii="宋体" w:eastAsia="宋体" w:hAnsi="宋体" w:cs="宋体"/>
                <w:sz w:val="18"/>
                <w:szCs w:val="18"/>
              </w:rPr>
              <w:t>3.其他权益工具投资公允价值变动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-5,221,541.69</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300" w:firstLine="540"/>
              <w:rPr>
                <w:rFonts w:ascii="宋体" w:eastAsia="宋体" w:hAnsi="宋体" w:cs="宋体"/>
                <w:sz w:val="18"/>
                <w:szCs w:val="18"/>
              </w:rPr>
            </w:pPr>
            <w:r>
              <w:rPr>
                <w:rFonts w:ascii="宋体" w:eastAsia="宋体" w:hAnsi="宋体" w:cs="宋体"/>
                <w:sz w:val="18"/>
                <w:szCs w:val="18"/>
              </w:rPr>
              <w:t>4.企业自身信用风险公允价值变动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300" w:firstLine="540"/>
              <w:rPr>
                <w:rFonts w:ascii="宋体" w:eastAsia="宋体" w:hAnsi="宋体" w:cs="宋体"/>
                <w:sz w:val="18"/>
                <w:szCs w:val="18"/>
              </w:rPr>
            </w:pPr>
            <w:r>
              <w:rPr>
                <w:rFonts w:ascii="宋体" w:eastAsia="宋体" w:hAnsi="宋体" w:cs="宋体"/>
                <w:sz w:val="18"/>
                <w:szCs w:val="18"/>
              </w:rPr>
              <w:t>5.其他</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200" w:firstLine="360"/>
              <w:rPr>
                <w:rFonts w:ascii="宋体" w:eastAsia="宋体" w:hAnsi="宋体" w:cs="宋体"/>
                <w:sz w:val="18"/>
                <w:szCs w:val="18"/>
              </w:rPr>
            </w:pPr>
            <w:r>
              <w:rPr>
                <w:rFonts w:ascii="宋体" w:eastAsia="宋体" w:hAnsi="宋体" w:cs="宋体"/>
                <w:sz w:val="18"/>
                <w:szCs w:val="18"/>
              </w:rPr>
              <w:t>（二）将重分类进损益的其他综合收益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300" w:firstLine="540"/>
              <w:rPr>
                <w:rFonts w:ascii="宋体" w:eastAsia="宋体" w:hAnsi="宋体" w:cs="宋体"/>
                <w:sz w:val="18"/>
                <w:szCs w:val="18"/>
              </w:rPr>
            </w:pPr>
            <w:r>
              <w:rPr>
                <w:rFonts w:ascii="宋体" w:eastAsia="宋体" w:hAnsi="宋体" w:cs="宋体"/>
                <w:sz w:val="18"/>
                <w:szCs w:val="18"/>
              </w:rPr>
              <w:t>1.权益法下可转损益的其他综合收益</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300" w:firstLine="540"/>
              <w:rPr>
                <w:rFonts w:ascii="宋体" w:eastAsia="宋体" w:hAnsi="宋体" w:cs="宋体"/>
                <w:sz w:val="18"/>
                <w:szCs w:val="18"/>
              </w:rPr>
            </w:pPr>
            <w:r>
              <w:rPr>
                <w:rFonts w:ascii="宋体" w:eastAsia="宋体" w:hAnsi="宋体" w:cs="宋体"/>
                <w:sz w:val="18"/>
                <w:szCs w:val="18"/>
              </w:rPr>
              <w:t>2.其他债权投资公允价值变动</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300" w:firstLine="540"/>
              <w:rPr>
                <w:rFonts w:ascii="宋体" w:eastAsia="宋体" w:hAnsi="宋体" w:cs="宋体"/>
                <w:sz w:val="18"/>
                <w:szCs w:val="18"/>
              </w:rPr>
            </w:pPr>
            <w:r>
              <w:rPr>
                <w:rFonts w:ascii="宋体" w:eastAsia="宋体" w:hAnsi="宋体" w:cs="宋体"/>
                <w:sz w:val="18"/>
                <w:szCs w:val="18"/>
              </w:rPr>
              <w:t>3.金融资产重分类计入其他综合收益的金额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300" w:firstLine="540"/>
              <w:rPr>
                <w:rFonts w:ascii="宋体" w:eastAsia="宋体" w:hAnsi="宋体" w:cs="宋体"/>
                <w:sz w:val="18"/>
                <w:szCs w:val="18"/>
              </w:rPr>
            </w:pPr>
            <w:r>
              <w:rPr>
                <w:rFonts w:ascii="宋体" w:eastAsia="宋体" w:hAnsi="宋体" w:cs="宋体"/>
                <w:sz w:val="18"/>
                <w:szCs w:val="18"/>
              </w:rPr>
              <w:t>4.其他债权投资信用减值准备</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300" w:firstLine="540"/>
              <w:rPr>
                <w:rFonts w:ascii="宋体" w:eastAsia="宋体" w:hAnsi="宋体" w:cs="宋体"/>
                <w:sz w:val="18"/>
                <w:szCs w:val="18"/>
              </w:rPr>
            </w:pPr>
            <w:r>
              <w:rPr>
                <w:rFonts w:ascii="宋体" w:eastAsia="宋体" w:hAnsi="宋体" w:cs="宋体"/>
                <w:sz w:val="18"/>
                <w:szCs w:val="18"/>
              </w:rPr>
              <w:t>5.现金流量套期储备</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300" w:firstLine="540"/>
              <w:rPr>
                <w:rFonts w:ascii="宋体" w:eastAsia="宋体" w:hAnsi="宋体" w:cs="宋体"/>
                <w:sz w:val="18"/>
                <w:szCs w:val="18"/>
              </w:rPr>
            </w:pPr>
            <w:r>
              <w:rPr>
                <w:rFonts w:ascii="宋体" w:eastAsia="宋体" w:hAnsi="宋体" w:cs="宋体"/>
                <w:sz w:val="18"/>
                <w:szCs w:val="18"/>
              </w:rPr>
              <w:t>6.外币财务报表折算差额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300" w:firstLine="540"/>
              <w:rPr>
                <w:rFonts w:ascii="宋体" w:eastAsia="宋体" w:hAnsi="宋体" w:cs="宋体"/>
                <w:sz w:val="18"/>
                <w:szCs w:val="18"/>
              </w:rPr>
            </w:pPr>
            <w:r>
              <w:rPr>
                <w:rFonts w:ascii="宋体" w:eastAsia="宋体" w:hAnsi="宋体" w:cs="宋体"/>
                <w:sz w:val="18"/>
                <w:szCs w:val="18"/>
              </w:rPr>
              <w:t>7.其他</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六、综合收益总额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63,243,855.27</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17,842,905.16</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七、每股收益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（一）基本每股收益</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0.069</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0.0244</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（二）稀释每股收益</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0.0684</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0.0247</w:t>
            </w:r>
          </w:p>
        </w:tc>
      </w:tr>
    </w:tbl>
    <w:p w:rsidR="00BA0365" w:rsidRDefault="008D4B2E">
      <w:pPr>
        <w:pStyle w:val="3"/>
        <w:spacing w:line="280" w:lineRule="exact"/>
        <w:jc w:val="left"/>
        <w:rPr>
          <w:rFonts w:ascii="宋体" w:hAnsi="宋体" w:cs="宋体"/>
          <w:b/>
          <w:bCs/>
        </w:rPr>
      </w:pPr>
      <w:bookmarkStart w:id="156" w:name="_Toc989045"/>
      <w:r>
        <w:rPr>
          <w:rFonts w:ascii="宋体" w:hAnsi="宋体" w:cs="宋体"/>
          <w:b/>
          <w:bCs/>
        </w:rPr>
        <w:t>5、合并现金流量表</w:t>
      </w:r>
      <w:bookmarkEnd w:id="156"/>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3213"/>
        <w:gridCol w:w="3213"/>
        <w:gridCol w:w="3213"/>
      </w:tblGrid>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jc w:val="center"/>
              <w:rPr>
                <w:rFonts w:ascii="宋体" w:eastAsia="宋体" w:hAnsi="宋体" w:cs="宋体"/>
                <w:sz w:val="18"/>
                <w:szCs w:val="18"/>
              </w:rPr>
            </w:pPr>
            <w:r>
              <w:rPr>
                <w:rFonts w:ascii="宋体" w:eastAsia="宋体" w:hAnsi="宋体" w:cs="宋体"/>
                <w:sz w:val="18"/>
                <w:szCs w:val="18"/>
              </w:rPr>
              <w:t>2023年度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jc w:val="center"/>
              <w:rPr>
                <w:rFonts w:ascii="宋体" w:eastAsia="宋体" w:hAnsi="宋体" w:cs="宋体"/>
                <w:sz w:val="18"/>
                <w:szCs w:val="18"/>
              </w:rPr>
            </w:pPr>
            <w:r>
              <w:rPr>
                <w:rFonts w:ascii="宋体" w:eastAsia="宋体" w:hAnsi="宋体" w:cs="宋体"/>
                <w:sz w:val="18"/>
                <w:szCs w:val="18"/>
              </w:rPr>
              <w:t>2022年度</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一、经营活动产生的现金流量：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销售商品、提供劳务收到的现金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6,560,088,037.13</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6,925,222,150.90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客户存款和同业存放款项净增加额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向中央银行借款净增加额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向其他金融机构拆入资金净增加额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收到原保险合同保费取得的现金</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收到再保业务现金净额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保户储金及投资款净增加额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收取利息、手续费及佣金的现金</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拆入资金净增加额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回购业务资金净增加额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代理买卖证券收到的现金净额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收到的税费返还</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88,989,186.31</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175,353,424.31</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1,194,625,643.93</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799,879,487.06</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经营活动现金流入小计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7,843,702,867.37</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7,900,455,062.27</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购买商品、接受劳务支付的现金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5,117,005,144.36</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5,547,071,867.76</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客户贷款及垫款净增加额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存放中央银行和同业款项净增加额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支付原保险合同赔付款项的现金</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拆出资金净增加额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支付利息、手续费及佣金的现金</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支付保单红利的现金</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支付给职工以及为职工支付的现金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710,681,979.83</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561,146,297.88</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支付的各项税费</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153,628,886.31</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131,278,448.09</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1,630,982,109.30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1,278,223,795.63</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经营活动现金流出小计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7,612,298,119.80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7,517,720,409.36</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经营活动产生的现金流量净额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231,404,747.57</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382,734,652.91</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二、投资活动产生的现金流量：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收回投资收到的现金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2,962,209,777.06</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3,383,581,410.00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取得投资收益收到的现金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70,861,653.68</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43,663,951.57</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处置固定资产、无形资产和其他长期资产收回的现金净额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918,666.00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838,076.00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处置子公司及其他营业单位收到的现金净额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55,487,765.48</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29,999,354.71</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投资活动现金流入小计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3,089,477,862.22</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3,458,082,792.28</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购建固定资产、无形资产和其他长期资产支付的现金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526,042,471.11</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453,893,380.08</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投资支付的现金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3,389,090,000.00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3,756,348,080.00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质押贷款净增加额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取得子公司及其他营业单位支付的现金净额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投资活动现金流出小计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3,915,132,471.11</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4,210,241,460.08</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投资活动产生的现金流量净额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-825,654,608.89</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-752,158,667.80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三、筹资活动产生的现金流量：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吸收投资收到的现金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185,536,403.47</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62,451,200.00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其中：子公司吸收少数股东投资收到的现金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取得借款收到的现金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1,384,624,761.81</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1,443,934,646.05</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筹资活动现金流入小计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1,570,161,165.28</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1,506,385,846.05</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偿还债务支付的现金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921,462,502.36</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699,211,702.25</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分配股利、利润或偿付利息支付的现金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106,575,452.90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59,329,302.95</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其中：子公司支付给少数股东的股利、利润</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筹资活动现金流出小计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1,028,037,955.26</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758,541,005.20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筹资活动产生的现金流量净额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542,123,210.02</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747,844,840.85</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四、汇率变动对现金及现金等价物的影响</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-5,048,577.27</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18,572,901.32</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五、现金及现金等价物净增加额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-57,175,228.57</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396,993,727.28</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加：期初现金及现金等价物余额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1,711,471,764.13</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1,314,478,036.85</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六、期末现金及现金等价物余额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1,654,296,535.56</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1,711,471,764.13</w:t>
            </w:r>
          </w:p>
        </w:tc>
      </w:tr>
    </w:tbl>
    <w:p w:rsidR="00BA0365" w:rsidRDefault="008D4B2E">
      <w:pPr>
        <w:pStyle w:val="3"/>
        <w:spacing w:line="280" w:lineRule="exact"/>
        <w:jc w:val="left"/>
        <w:rPr>
          <w:rFonts w:ascii="宋体" w:hAnsi="宋体" w:cs="宋体"/>
          <w:b/>
          <w:bCs/>
        </w:rPr>
      </w:pPr>
      <w:bookmarkStart w:id="157" w:name="_Toc989046"/>
      <w:r>
        <w:rPr>
          <w:rFonts w:ascii="宋体" w:hAnsi="宋体" w:cs="宋体"/>
          <w:b/>
          <w:bCs/>
        </w:rPr>
        <w:t>6、母公司现金流量表</w:t>
      </w:r>
      <w:bookmarkEnd w:id="157"/>
    </w:p>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3213"/>
        <w:gridCol w:w="3213"/>
        <w:gridCol w:w="3213"/>
      </w:tblGrid>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jc w:val="center"/>
              <w:rPr>
                <w:rFonts w:ascii="宋体" w:eastAsia="宋体" w:hAnsi="宋体" w:cs="宋体"/>
                <w:sz w:val="18"/>
                <w:szCs w:val="18"/>
              </w:rPr>
            </w:pPr>
            <w:r>
              <w:rPr>
                <w:rFonts w:ascii="宋体" w:eastAsia="宋体" w:hAnsi="宋体" w:cs="宋体"/>
                <w:sz w:val="18"/>
                <w:szCs w:val="18"/>
              </w:rPr>
              <w:t>2023年度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jc w:val="center"/>
              <w:rPr>
                <w:rFonts w:ascii="宋体" w:eastAsia="宋体" w:hAnsi="宋体" w:cs="宋体"/>
                <w:sz w:val="18"/>
                <w:szCs w:val="18"/>
              </w:rPr>
            </w:pPr>
            <w:r>
              <w:rPr>
                <w:rFonts w:ascii="宋体" w:eastAsia="宋体" w:hAnsi="宋体" w:cs="宋体"/>
                <w:sz w:val="18"/>
                <w:szCs w:val="18"/>
              </w:rPr>
              <w:t>2022年度</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一、经营活动产生的现金流量：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销售商品、提供劳务收到的现金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311,492,551.14</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333,929,362.25</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收到的税费返还</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16,903,333.61</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23,366,391.23</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36,726,822.95</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77,421,357.36</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经营活动现金流入小计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365,122,707.70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434,717,110.84</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购买商品、接受劳务支付的现金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30,913,804.43</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208,565,594.60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支付给职工以及为职工支付的现金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115,192,727.26</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93,449,400.68</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支付的各项税费</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24,807,803.86</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29,200,811.21</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支付其他与经营活动有关的现金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37,218,425.57</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50,813,237.91</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经营活动现金流出小计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208,132,761.12</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382,029,044.40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经营活动产生的现金流量净额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156,989,946.58</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52,688,066.44</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二、投资活动产生的现金流量：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收回投资收到的现金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448,287,892.35</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499,383,330.00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取得投资收益收到的现金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19,799,336.30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12,548,465.68</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处置固定资产、无形资产和其他长期资产收回的现金净额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处置子公司及其他营业单位收到的现金净额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61,000,000.00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80,000,000.00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3,023,816,230.83</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1,974,848,656.40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投资活动现金流入小计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3,552,903,459.48</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2,566,780,452.08</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购建固定资产、无形资产和其他长期资产支付的现金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1,636,120.00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6,844,400.00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投资支付的现金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987,090,000.00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1,219,848,224.60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取得子公司及其他营业单位支付的现金净额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11,320,000.00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支付其他与投资活动有关的现金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2,360,500,490.68</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2,082,100,033.42</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投资活动现金流出小计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3,349,226,610.68</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3,320,112,658.02</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投资活动产生的现金流量净额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203,676,848.80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-753,332,205.94</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三、筹资活动产生的现金流量：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吸收投资收到的现金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181,129,489.52</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61,451,200.00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取得借款收到的现金</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359,496,104.44</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700,897,314.71</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收到其他与筹资活动有关的现金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筹资活动现金流入小计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540,625,593.96</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762,348,514.71</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偿还债务支付的现金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346,811,764.71</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389,500,000.00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分配股利、利润或偿付利息支付的现金</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56,437,227.53</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17,308,502.76</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支付其他与筹资活动有关的现金</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筹资活动现金流出小计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403,248,992.24</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406,808,502.76</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筹资活动产生的现金流量净额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137,376,601.72</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355,540,011.95</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lastRenderedPageBreak/>
              <w:t>四、汇率变动对现金及现金等价物的影响</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-13,643.46</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50,599.01</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五、现金及现金等价物净增加额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498,029,753.64</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-345,053,528.54</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ind w:firstLineChars="100" w:firstLine="180"/>
              <w:rPr>
                <w:rFonts w:ascii="宋体" w:eastAsia="宋体" w:hAnsi="宋体" w:cs="宋体"/>
                <w:sz w:val="18"/>
                <w:szCs w:val="18"/>
              </w:rPr>
            </w:pPr>
            <w:r>
              <w:rPr>
                <w:rFonts w:ascii="宋体" w:eastAsia="宋体" w:hAnsi="宋体" w:cs="宋体"/>
                <w:sz w:val="18"/>
                <w:szCs w:val="18"/>
              </w:rPr>
              <w:t>加：期初现金及现金等价物余额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107,587,252.58</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452,640,781.12</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六、期末现金及现金等价物余额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605,617,006.22</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107,587,252.58</w:t>
            </w:r>
          </w:p>
        </w:tc>
      </w:tr>
    </w:tbl>
    <w:p w:rsidR="00BA0365" w:rsidRDefault="008D4B2E">
      <w:pPr>
        <w:pStyle w:val="3"/>
        <w:spacing w:line="280" w:lineRule="exact"/>
        <w:jc w:val="left"/>
        <w:rPr>
          <w:rFonts w:ascii="宋体" w:hAnsi="宋体" w:cs="宋体"/>
          <w:b/>
          <w:bCs/>
        </w:rPr>
      </w:pPr>
      <w:bookmarkStart w:id="158" w:name="_Toc989047"/>
      <w:r>
        <w:rPr>
          <w:rFonts w:ascii="宋体" w:hAnsi="宋体" w:cs="宋体"/>
          <w:b/>
          <w:bCs/>
        </w:rPr>
        <w:t>7、合并所有者权益变动表</w:t>
      </w:r>
      <w:bookmarkEnd w:id="158"/>
    </w:p>
    <w:p w:rsidR="00BA0365" w:rsidRDefault="008D4B2E">
      <w:pPr>
        <w:spacing w:line="240" w:lineRule="exact"/>
        <w:rPr>
          <w:rFonts w:ascii="宋体" w:eastAsia="宋体" w:hAnsi="宋体" w:cs="宋体"/>
          <w:sz w:val="18"/>
          <w:szCs w:val="18"/>
        </w:rPr>
      </w:pPr>
      <w:r>
        <w:rPr>
          <w:rFonts w:ascii="宋体" w:eastAsia="宋体" w:hAnsi="宋体" w:cs="宋体"/>
          <w:sz w:val="18"/>
          <w:szCs w:val="18"/>
        </w:rPr>
        <w:t>本期金额</w:t>
      </w:r>
    </w:p>
    <w:p w:rsidR="00BA0365" w:rsidRDefault="008D4B2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602"/>
        <w:gridCol w:w="602"/>
        <w:gridCol w:w="602"/>
        <w:gridCol w:w="602"/>
        <w:gridCol w:w="603"/>
        <w:gridCol w:w="602"/>
        <w:gridCol w:w="602"/>
        <w:gridCol w:w="602"/>
        <w:gridCol w:w="602"/>
        <w:gridCol w:w="602"/>
        <w:gridCol w:w="602"/>
        <w:gridCol w:w="602"/>
        <w:gridCol w:w="602"/>
        <w:gridCol w:w="607"/>
        <w:gridCol w:w="602"/>
        <w:gridCol w:w="603"/>
      </w:tblGrid>
      <w:tr w:rsidR="00157EA0">
        <w:trPr>
          <w:trHeight w:val="240"/>
        </w:trPr>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9037" w:type="dxa"/>
            <w:gridSpan w:val="15"/>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2023年度</w:t>
            </w:r>
          </w:p>
        </w:tc>
      </w:tr>
      <w:tr w:rsidR="00157EA0">
        <w:trPr>
          <w:trHeight w:val="240"/>
        </w:trPr>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7832"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归属于母公司所有者权益</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0" w:lineRule="atLeast"/>
              <w:jc w:val="center"/>
              <w:rPr>
                <w:rFonts w:ascii="宋体" w:eastAsia="宋体" w:hAnsi="宋体" w:cs="宋体"/>
                <w:sz w:val="18"/>
                <w:szCs w:val="18"/>
              </w:rPr>
            </w:pPr>
            <w:r>
              <w:rPr>
                <w:rFonts w:ascii="宋体" w:eastAsia="宋体" w:hAnsi="宋体" w:cs="宋体"/>
                <w:sz w:val="18"/>
                <w:szCs w:val="18"/>
              </w:rPr>
              <w:t>少数股东权益</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所有者权益合计</w:t>
            </w:r>
          </w:p>
        </w:tc>
      </w:tr>
      <w:tr w:rsidR="00157EA0">
        <w:trPr>
          <w:trHeight w:val="240"/>
        </w:trPr>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股本</w:t>
            </w:r>
          </w:p>
        </w:tc>
        <w:tc>
          <w:tcPr>
            <w:tcW w:w="1807"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其他权益工具</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资本公积</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减：库存股</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其他综合收益</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专项储备</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盈余公积</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一般风险准备</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未分配利润</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小计</w:t>
            </w:r>
          </w:p>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r w:rsidR="00157EA0">
        <w:trPr>
          <w:trHeight w:val="240"/>
        </w:trPr>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优先股</w:t>
            </w:r>
          </w:p>
        </w:tc>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永续债</w:t>
            </w:r>
          </w:p>
        </w:tc>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602" w:type="dxa"/>
            <w:vMerge/>
            <w:tcBorders>
              <w:top w:val="single" w:sz="2" w:space="0" w:color="auto"/>
              <w:left w:val="single" w:sz="2" w:space="0" w:color="auto"/>
              <w:bottom w:val="single" w:sz="2" w:space="0" w:color="auto"/>
              <w:right w:val="single" w:sz="2" w:space="0" w:color="auto"/>
            </w:tcBorders>
            <w:vAlign w:val="center"/>
          </w:tcPr>
          <w:p w:rsidR="00BA0365" w:rsidRDefault="00BA0365"/>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r w:rsidR="00157EA0">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一、上年期末余额</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969,506,674.00</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2,023,632,169.44</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91,439,200.00</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53,473,129.86</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29,324,846.55</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331,982,973.54</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1,494,610,178.30</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4,811,090,771.69</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282,479,054.29</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5,093,569,825.98</w:t>
            </w:r>
          </w:p>
        </w:tc>
      </w:tr>
      <w:tr w:rsidR="00157EA0">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加：会计政策变更</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前期差错更正</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其他</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二、本年期初余额</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969,506,674.00</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2,023,632,169.44</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91,439,200.00</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53,473,129.86</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29,324,846.55</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331,982,973.54</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1,494,610,178.30</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4,811,090,771.69</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282,479,054.29</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5,093,569,825.98</w:t>
            </w:r>
          </w:p>
        </w:tc>
      </w:tr>
      <w:tr w:rsidR="00157EA0">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三、本期增减变动金额（减少以“－”号填列）</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42,589,830.00</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247,277,462.13</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109,692,304.00</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-20,981,853.26</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9,131,015.55</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6,324,385.53</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302,221,066.58</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476,869,602.53</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-26,924,804.27</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449,944,798.26</w:t>
            </w:r>
          </w:p>
        </w:tc>
      </w:tr>
      <w:tr w:rsidR="00157EA0">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（一）综合收益总额</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-1,062,920.28</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333,149,674.13</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332,086,753.85</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62,157,277.97</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394,244,031.82</w:t>
            </w:r>
          </w:p>
        </w:tc>
      </w:tr>
      <w:tr w:rsidR="00157EA0">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（二）所</w:t>
            </w:r>
            <w:r>
              <w:rPr>
                <w:rFonts w:ascii="宋体" w:eastAsia="宋体" w:hAnsi="宋体" w:cs="宋体"/>
                <w:sz w:val="18"/>
                <w:szCs w:val="18"/>
              </w:rPr>
              <w:lastRenderedPageBreak/>
              <w:t>有者投入和减少资本</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lastRenderedPageBreak/>
              <w:t>42,589,8</w:t>
            </w:r>
            <w:r>
              <w:rPr>
                <w:rFonts w:ascii="宋体" w:eastAsia="宋体" w:hAnsi="宋体" w:cs="宋体"/>
                <w:sz w:val="18"/>
                <w:szCs w:val="18"/>
              </w:rPr>
              <w:lastRenderedPageBreak/>
              <w:t>30.00</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248,960,</w:t>
            </w:r>
            <w:r>
              <w:rPr>
                <w:rFonts w:ascii="宋体" w:eastAsia="宋体" w:hAnsi="宋体" w:cs="宋体"/>
                <w:sz w:val="18"/>
                <w:szCs w:val="18"/>
              </w:rPr>
              <w:lastRenderedPageBreak/>
              <w:t>588.41</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lastRenderedPageBreak/>
              <w:t>109,692,</w:t>
            </w:r>
            <w:r>
              <w:rPr>
                <w:rFonts w:ascii="宋体" w:eastAsia="宋体" w:hAnsi="宋体" w:cs="宋体"/>
                <w:sz w:val="18"/>
                <w:szCs w:val="18"/>
              </w:rPr>
              <w:lastRenderedPageBreak/>
              <w:t>304.00</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181,858,</w:t>
            </w:r>
            <w:r>
              <w:rPr>
                <w:rFonts w:ascii="宋体" w:eastAsia="宋体" w:hAnsi="宋体" w:cs="宋体"/>
                <w:sz w:val="18"/>
                <w:szCs w:val="18"/>
              </w:rPr>
              <w:lastRenderedPageBreak/>
              <w:t>114.41</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lastRenderedPageBreak/>
              <w:t>4,376,77</w:t>
            </w:r>
            <w:r>
              <w:rPr>
                <w:rFonts w:ascii="宋体" w:eastAsia="宋体" w:hAnsi="宋体" w:cs="宋体"/>
                <w:sz w:val="18"/>
                <w:szCs w:val="18"/>
              </w:rPr>
              <w:lastRenderedPageBreak/>
              <w:t>6.39</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lastRenderedPageBreak/>
              <w:t>186,234,</w:t>
            </w:r>
            <w:r>
              <w:rPr>
                <w:rFonts w:ascii="宋体" w:eastAsia="宋体" w:hAnsi="宋体" w:cs="宋体"/>
                <w:sz w:val="18"/>
                <w:szCs w:val="18"/>
              </w:rPr>
              <w:lastRenderedPageBreak/>
              <w:t>890.80</w:t>
            </w:r>
          </w:p>
        </w:tc>
      </w:tr>
      <w:tr w:rsidR="00157EA0">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lastRenderedPageBreak/>
              <w:t>1．所有者投入的普通股</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42,589,830.00</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138,602,928.92</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181,192,758.92</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4,376,776.39</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185,569,535.31</w:t>
            </w:r>
          </w:p>
        </w:tc>
      </w:tr>
      <w:tr w:rsidR="00157EA0">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2．其他权益工具持有者投入资本</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3．股份支付计入所有者权益的金额</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110,357,659.49</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109,692,304.00</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665,355.49</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665,355.49</w:t>
            </w:r>
          </w:p>
        </w:tc>
      </w:tr>
      <w:tr w:rsidR="00157EA0">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4．其他</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（三）利润分配</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6,324,385.53</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-50,847,540.53</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-44,523,155.00</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-44,523,155.00</w:t>
            </w:r>
          </w:p>
        </w:tc>
      </w:tr>
      <w:tr w:rsidR="00157EA0">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1．提取盈余公积</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6,324,385.53</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-6,324,385.53</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2．提取一般风险准备</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3．对所有者（或股东）的分配</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-44,523,155.00</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-44,523,155.00</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-44,523,155.00</w:t>
            </w:r>
          </w:p>
        </w:tc>
      </w:tr>
      <w:tr w:rsidR="00157EA0">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4．其他</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（四</w:t>
            </w:r>
            <w:r>
              <w:rPr>
                <w:rFonts w:ascii="宋体" w:eastAsia="宋体" w:hAnsi="宋体" w:cs="宋体"/>
                <w:sz w:val="18"/>
                <w:szCs w:val="18"/>
              </w:rPr>
              <w:lastRenderedPageBreak/>
              <w:t>）所有者权益内部结转</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-19,9</w:t>
            </w:r>
            <w:r>
              <w:rPr>
                <w:rFonts w:ascii="宋体" w:eastAsia="宋体" w:hAnsi="宋体" w:cs="宋体"/>
                <w:sz w:val="18"/>
                <w:szCs w:val="18"/>
              </w:rPr>
              <w:lastRenderedPageBreak/>
              <w:t>18,932.98</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19,918,9</w:t>
            </w:r>
            <w:r>
              <w:rPr>
                <w:rFonts w:ascii="宋体" w:eastAsia="宋体" w:hAnsi="宋体" w:cs="宋体"/>
                <w:sz w:val="18"/>
                <w:szCs w:val="18"/>
              </w:rPr>
              <w:lastRenderedPageBreak/>
              <w:t>32.98</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lastRenderedPageBreak/>
              <w:t>1．资本公积转增资本（或股本）</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2．盈余公积转增资本（或股本）</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3．盈余公积弥补亏损</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4．设定受益计划变动额结转留存收益</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5．其他综合收益结转留存收益</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-19,918,932.98</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19,918,932.98</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6．其他</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（五）专项储备</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9,131,015.55</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9,131,015.55</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9,131,015.55</w:t>
            </w:r>
          </w:p>
        </w:tc>
      </w:tr>
      <w:tr w:rsidR="00157EA0">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1．本期提取</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22,725,471.70</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22,725,471.70</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22,725,471.70</w:t>
            </w:r>
          </w:p>
        </w:tc>
      </w:tr>
      <w:tr w:rsidR="00157EA0">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2．本期使用</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13,594,456.1</w:t>
            </w:r>
            <w:r>
              <w:rPr>
                <w:rFonts w:ascii="宋体" w:eastAsia="宋体" w:hAnsi="宋体" w:cs="宋体"/>
                <w:sz w:val="18"/>
                <w:szCs w:val="18"/>
              </w:rPr>
              <w:lastRenderedPageBreak/>
              <w:t>5</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13,594,456.1</w:t>
            </w:r>
            <w:r>
              <w:rPr>
                <w:rFonts w:ascii="宋体" w:eastAsia="宋体" w:hAnsi="宋体" w:cs="宋体"/>
                <w:sz w:val="18"/>
                <w:szCs w:val="18"/>
              </w:rPr>
              <w:lastRenderedPageBreak/>
              <w:t>5</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13,594,456.1</w:t>
            </w:r>
            <w:r>
              <w:rPr>
                <w:rFonts w:ascii="宋体" w:eastAsia="宋体" w:hAnsi="宋体" w:cs="宋体"/>
                <w:sz w:val="18"/>
                <w:szCs w:val="18"/>
              </w:rPr>
              <w:lastRenderedPageBreak/>
              <w:t>5</w:t>
            </w:r>
          </w:p>
        </w:tc>
      </w:tr>
      <w:tr w:rsidR="00157EA0">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（六）其他</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-1,683,126.28</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-1,683,126.28</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-93,458,858.63</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-95,141,984.91</w:t>
            </w:r>
          </w:p>
        </w:tc>
      </w:tr>
      <w:tr w:rsidR="00157EA0">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四、本期期末余额</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1,012,096,504.00</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2,270,909,631.57</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201,131,504.00</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32,491,276.60</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38,455,862.10</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338,307,359.07</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1,796,831,244.88</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5,287,960,374.22</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255,554,250.02</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5,543,514,624.24</w:t>
            </w:r>
          </w:p>
        </w:tc>
      </w:tr>
    </w:tbl>
    <w:p w:rsidR="00BA0365" w:rsidRDefault="008D4B2E">
      <w:pPr>
        <w:spacing w:line="240" w:lineRule="exact"/>
        <w:rPr>
          <w:rFonts w:ascii="宋体" w:eastAsia="宋体" w:hAnsi="宋体" w:cs="宋体"/>
          <w:sz w:val="18"/>
          <w:szCs w:val="18"/>
        </w:rPr>
      </w:pPr>
      <w:r>
        <w:rPr>
          <w:rFonts w:ascii="宋体" w:eastAsia="宋体" w:hAnsi="宋体" w:cs="宋体"/>
          <w:sz w:val="18"/>
          <w:szCs w:val="18"/>
        </w:rPr>
        <w:t>上期金额</w:t>
      </w:r>
    </w:p>
    <w:p w:rsidR="00BA0365" w:rsidRDefault="008D4B2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602"/>
        <w:gridCol w:w="602"/>
        <w:gridCol w:w="602"/>
        <w:gridCol w:w="602"/>
        <w:gridCol w:w="603"/>
        <w:gridCol w:w="602"/>
        <w:gridCol w:w="602"/>
        <w:gridCol w:w="602"/>
        <w:gridCol w:w="602"/>
        <w:gridCol w:w="602"/>
        <w:gridCol w:w="602"/>
        <w:gridCol w:w="602"/>
        <w:gridCol w:w="602"/>
        <w:gridCol w:w="607"/>
        <w:gridCol w:w="602"/>
        <w:gridCol w:w="603"/>
      </w:tblGrid>
      <w:tr w:rsidR="00157EA0">
        <w:trPr>
          <w:trHeight w:val="240"/>
        </w:trPr>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9037" w:type="dxa"/>
            <w:gridSpan w:val="15"/>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2022年度</w:t>
            </w:r>
          </w:p>
        </w:tc>
      </w:tr>
      <w:tr w:rsidR="00157EA0">
        <w:trPr>
          <w:trHeight w:val="240"/>
        </w:trPr>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7832"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归属于母公司所有者权益</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少数股东权益</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所有者权益合计</w:t>
            </w:r>
          </w:p>
        </w:tc>
      </w:tr>
      <w:tr w:rsidR="00157EA0">
        <w:trPr>
          <w:trHeight w:val="240"/>
        </w:trPr>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股本</w:t>
            </w:r>
          </w:p>
        </w:tc>
        <w:tc>
          <w:tcPr>
            <w:tcW w:w="1807"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其他权益工具</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资本公积</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减：库存股</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其他综合收益</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专项储备</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盈余公积</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一般风险准备</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未分配利润</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6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小计</w:t>
            </w:r>
          </w:p>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r w:rsidR="00157EA0">
        <w:trPr>
          <w:trHeight w:val="240"/>
        </w:trPr>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优先股</w:t>
            </w:r>
          </w:p>
        </w:tc>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永续债</w:t>
            </w:r>
          </w:p>
        </w:tc>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602" w:type="dxa"/>
            <w:vMerge/>
            <w:tcBorders>
              <w:top w:val="single" w:sz="2" w:space="0" w:color="auto"/>
              <w:left w:val="single" w:sz="2" w:space="0" w:color="auto"/>
              <w:bottom w:val="single" w:sz="2" w:space="0" w:color="auto"/>
              <w:right w:val="single" w:sz="2" w:space="0" w:color="auto"/>
            </w:tcBorders>
            <w:vAlign w:val="center"/>
          </w:tcPr>
          <w:p w:rsidR="00BA0365" w:rsidRDefault="00BA0365"/>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602" w:type="dxa"/>
            <w:vMerge/>
            <w:tcBorders>
              <w:top w:val="single" w:sz="2" w:space="0" w:color="auto"/>
              <w:left w:val="single" w:sz="2" w:space="0" w:color="auto"/>
              <w:bottom w:val="single" w:sz="2" w:space="0" w:color="auto"/>
              <w:right w:val="single" w:sz="2" w:space="0" w:color="auto"/>
            </w:tcBorders>
            <w:vAlign w:val="center"/>
          </w:tcPr>
          <w:p w:rsidR="00BA0365" w:rsidRDefault="00BA0365"/>
        </w:tc>
        <w:tc>
          <w:tcPr>
            <w:tcW w:w="602" w:type="dxa"/>
            <w:vMerge/>
            <w:tcBorders>
              <w:top w:val="single" w:sz="2" w:space="0" w:color="auto"/>
              <w:left w:val="single" w:sz="2" w:space="0" w:color="auto"/>
              <w:bottom w:val="single" w:sz="2" w:space="0" w:color="auto"/>
              <w:right w:val="single" w:sz="2" w:space="0" w:color="auto"/>
            </w:tcBorders>
            <w:vAlign w:val="center"/>
          </w:tcPr>
          <w:p w:rsidR="00BA0365" w:rsidRDefault="00BA0365"/>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6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r w:rsidR="00157EA0">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一、上年期末余额</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953,586,674.00</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1,879,382,085.34</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29,988,000.00</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-806,538.39</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27,456,497.72</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329,676,528.85</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1,294,264,991.83</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4,453,572,239.35</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267,591,619.88</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4,721,163,859.23</w:t>
            </w:r>
          </w:p>
        </w:tc>
      </w:tr>
      <w:tr w:rsidR="00157EA0">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加：会计政策变更</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前期差错更正</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其他</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二、本年期初余额</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953,586,674.00</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1,879,382,085.34</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29,988,000.00</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-806,538.39</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27,456,497.72</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329,676,528.85</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1,294,264,991.83</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4,453,572,239.35</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267,591,619.88</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4,721,163,859.23</w:t>
            </w:r>
          </w:p>
        </w:tc>
      </w:tr>
      <w:tr w:rsidR="00157EA0">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三、本期增减变动金额（减少以“－”号填列）</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15,920,000.00</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144,250,084.10</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61,451,200.00</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54,279,668.25</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1,868,348.83</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2,306,444.69</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200,345,186.47</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357,518,532.34</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14,887,434.41</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372,405,966.75</w:t>
            </w:r>
          </w:p>
        </w:tc>
      </w:tr>
      <w:tr w:rsidR="00157EA0">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（一）综合收益总额</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54,279,668.25</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202,651,631.16</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256,931,299.41</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29,810,952.20</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286,742,251.61</w:t>
            </w:r>
          </w:p>
        </w:tc>
      </w:tr>
      <w:tr w:rsidR="00157EA0">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lastRenderedPageBreak/>
              <w:t>（二）所有者投入和减少资本</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15,920,000.00</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144,281,662.33</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61,451,200.00</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98,750,462.33</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1,000,000.00</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99,750,462.33</w:t>
            </w:r>
          </w:p>
        </w:tc>
      </w:tr>
      <w:tr w:rsidR="00157EA0">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1．所有者投入的普通股</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15,920,000.00</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45,531,200.00</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61,451,200.00</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1,000,000.00</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62,451,200.00</w:t>
            </w:r>
          </w:p>
        </w:tc>
      </w:tr>
      <w:tr w:rsidR="00157EA0">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2．其他权益工具持有者投入资本</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3．股份支付计入所有者权益的金额</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98,750,462.33</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61,451,200.00</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37,299,262.33</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37,299,262.33</w:t>
            </w:r>
          </w:p>
        </w:tc>
      </w:tr>
      <w:tr w:rsidR="00157EA0">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4．其他</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（三）利润分配</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2,306,444.69</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-2,306,444.69</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-1,470,000.00</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-1,470,000.00</w:t>
            </w:r>
          </w:p>
        </w:tc>
      </w:tr>
      <w:tr w:rsidR="00157EA0">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1．提取盈余公积</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2,306,444.69</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-2,306,444.69</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2．提取一般风险准备</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3．对所有者（或股东）的分配</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-1,470,000.00</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-1,470,000.00</w:t>
            </w:r>
          </w:p>
        </w:tc>
      </w:tr>
      <w:tr w:rsidR="00157EA0">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4．其他</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（四）所有者权益内部结转</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1．资本公积转增资本（或股本）</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2．盈余公积转增资本（或股本）</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3．盈余公积弥补亏损</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4．设定受益计划变动额结转留存收益</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5．其他综合收益结转留存收益</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6．其他</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（五）专项储备</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1,868,348.83</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1,868,348.83</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1,868,348.83</w:t>
            </w:r>
          </w:p>
        </w:tc>
      </w:tr>
      <w:tr w:rsidR="00157EA0">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1．本期提取</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12,345,351.32</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12,345,351.32</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12,345,351.32</w:t>
            </w:r>
          </w:p>
        </w:tc>
      </w:tr>
      <w:tr w:rsidR="00157EA0">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2．本期</w:t>
            </w:r>
            <w:r>
              <w:rPr>
                <w:rFonts w:ascii="宋体" w:eastAsia="宋体" w:hAnsi="宋体" w:cs="宋体"/>
                <w:sz w:val="18"/>
                <w:szCs w:val="18"/>
              </w:rPr>
              <w:lastRenderedPageBreak/>
              <w:t>使用</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10,477,0</w:t>
            </w:r>
            <w:r>
              <w:rPr>
                <w:rFonts w:ascii="宋体" w:eastAsia="宋体" w:hAnsi="宋体" w:cs="宋体"/>
                <w:sz w:val="18"/>
                <w:szCs w:val="18"/>
              </w:rPr>
              <w:lastRenderedPageBreak/>
              <w:t>02.49</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10,477,0</w:t>
            </w:r>
            <w:r>
              <w:rPr>
                <w:rFonts w:ascii="宋体" w:eastAsia="宋体" w:hAnsi="宋体" w:cs="宋体"/>
                <w:sz w:val="18"/>
                <w:szCs w:val="18"/>
              </w:rPr>
              <w:lastRenderedPageBreak/>
              <w:t>02.49</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10,477,0</w:t>
            </w:r>
            <w:r>
              <w:rPr>
                <w:rFonts w:ascii="宋体" w:eastAsia="宋体" w:hAnsi="宋体" w:cs="宋体"/>
                <w:sz w:val="18"/>
                <w:szCs w:val="18"/>
              </w:rPr>
              <w:lastRenderedPageBreak/>
              <w:t>02.49</w:t>
            </w:r>
          </w:p>
        </w:tc>
      </w:tr>
      <w:tr w:rsidR="00157EA0">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（六）其他</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-31,578.23</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-31,578.23</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-14,453,517.79</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-14,485,096.02</w:t>
            </w:r>
          </w:p>
        </w:tc>
      </w:tr>
      <w:tr w:rsidR="00157EA0">
        <w:trPr>
          <w:trHeight w:val="240"/>
        </w:trPr>
        <w:tc>
          <w:tcPr>
            <w:tcW w:w="6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四、本期期末余额</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969,506,674.00</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2,023,632,169.44</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91,439,200.00</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53,473,129.86</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29,324,846.55</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331,982,973.54</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1,494,610,178.30</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4,811,090,771.69</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282,479,054.29</w:t>
            </w:r>
          </w:p>
        </w:tc>
        <w:tc>
          <w:tcPr>
            <w:tcW w:w="6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5,093,569,825.98</w:t>
            </w:r>
          </w:p>
        </w:tc>
      </w:tr>
    </w:tbl>
    <w:p w:rsidR="00BA0365" w:rsidRDefault="008D4B2E">
      <w:pPr>
        <w:pStyle w:val="3"/>
        <w:spacing w:line="280" w:lineRule="exact"/>
        <w:jc w:val="left"/>
        <w:rPr>
          <w:rFonts w:ascii="宋体" w:hAnsi="宋体" w:cs="宋体"/>
          <w:b/>
          <w:bCs/>
        </w:rPr>
      </w:pPr>
      <w:bookmarkStart w:id="159" w:name="_Toc989048"/>
      <w:r>
        <w:rPr>
          <w:rFonts w:ascii="宋体" w:hAnsi="宋体" w:cs="宋体"/>
          <w:b/>
          <w:bCs/>
        </w:rPr>
        <w:t>8、母公司所有者权益变动表</w:t>
      </w:r>
      <w:bookmarkEnd w:id="159"/>
    </w:p>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本期金额</w:t>
      </w:r>
    </w:p>
    <w:p w:rsidR="00BA0365" w:rsidRDefault="008D4B2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741"/>
        <w:gridCol w:w="741"/>
        <w:gridCol w:w="741"/>
        <w:gridCol w:w="741"/>
        <w:gridCol w:w="742"/>
        <w:gridCol w:w="741"/>
        <w:gridCol w:w="741"/>
        <w:gridCol w:w="741"/>
        <w:gridCol w:w="741"/>
        <w:gridCol w:w="741"/>
        <w:gridCol w:w="741"/>
        <w:gridCol w:w="741"/>
        <w:gridCol w:w="746"/>
      </w:tblGrid>
      <w:tr w:rsidR="00157EA0">
        <w:trPr>
          <w:trHeight w:val="240"/>
        </w:trPr>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8898"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2023年度</w:t>
            </w:r>
          </w:p>
        </w:tc>
      </w:tr>
      <w:tr w:rsidR="00157EA0">
        <w:trPr>
          <w:trHeight w:val="240"/>
        </w:trPr>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股本</w:t>
            </w:r>
          </w:p>
        </w:tc>
        <w:tc>
          <w:tcPr>
            <w:tcW w:w="2224"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其他权益工具</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资本公积</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减：库存股</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其他综合收益</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专项储备</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盈余公积</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未分配利润</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所有者权益合计</w:t>
            </w:r>
          </w:p>
        </w:tc>
      </w:tr>
      <w:tr w:rsidR="00157EA0">
        <w:trPr>
          <w:trHeight w:val="240"/>
        </w:trPr>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优先股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永续债</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741" w:type="dxa"/>
            <w:vMerge/>
            <w:tcBorders>
              <w:top w:val="single" w:sz="2" w:space="0" w:color="auto"/>
              <w:left w:val="single" w:sz="2" w:space="0" w:color="auto"/>
              <w:bottom w:val="single" w:sz="2" w:space="0" w:color="auto"/>
              <w:right w:val="single" w:sz="2" w:space="0" w:color="auto"/>
            </w:tcBorders>
            <w:vAlign w:val="center"/>
          </w:tcPr>
          <w:p w:rsidR="00BA0365" w:rsidRDefault="00BA0365"/>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741" w:type="dxa"/>
            <w:vMerge/>
            <w:tcBorders>
              <w:top w:val="single" w:sz="2" w:space="0" w:color="auto"/>
              <w:left w:val="single" w:sz="2" w:space="0" w:color="auto"/>
              <w:bottom w:val="single" w:sz="2" w:space="0" w:color="auto"/>
              <w:right w:val="single" w:sz="2" w:space="0" w:color="auto"/>
            </w:tcBorders>
            <w:vAlign w:val="center"/>
          </w:tcPr>
          <w:p w:rsidR="00BA0365" w:rsidRDefault="00BA0365"/>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r w:rsidR="00157EA0">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一、上年期末余额</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969,506,674.00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2,164,171,152.75</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91,439,200.00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-5,100,000.00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331,982,973.54</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2,233,587,256.65</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5,602,708,856.94</w:t>
            </w: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加：会计政策变更</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前期差错更正</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其他</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二、本年期初余额</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969,506,674.00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2,164,171,152.75</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91,439,200.00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-5,100,000.00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331,982,973.54</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2,233,587,256.65</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5,602,708,856.94</w:t>
            </w: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三、本期增减变动金额（减少以“－”号填列）</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42,589,830.00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248,321,151.62</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109,692,304.00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6,324,385.53</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12,396,314.74</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199,939,377.89</w:t>
            </w: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（一）综</w:t>
            </w:r>
            <w:r>
              <w:rPr>
                <w:rFonts w:ascii="宋体" w:eastAsia="宋体" w:hAnsi="宋体" w:cs="宋体"/>
                <w:sz w:val="18"/>
                <w:szCs w:val="18"/>
              </w:rPr>
              <w:lastRenderedPageBreak/>
              <w:t>合收益总额</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lastRenderedPageBreak/>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63,243,855</w:t>
            </w:r>
            <w:r>
              <w:rPr>
                <w:rFonts w:ascii="宋体" w:eastAsia="宋体" w:hAnsi="宋体" w:cs="宋体"/>
                <w:sz w:val="18"/>
                <w:szCs w:val="18"/>
              </w:rPr>
              <w:lastRenderedPageBreak/>
              <w:t>.27</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63,243,855</w:t>
            </w:r>
            <w:r>
              <w:rPr>
                <w:rFonts w:ascii="宋体" w:eastAsia="宋体" w:hAnsi="宋体" w:cs="宋体"/>
                <w:sz w:val="18"/>
                <w:szCs w:val="18"/>
              </w:rPr>
              <w:lastRenderedPageBreak/>
              <w:t>.27</w:t>
            </w: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lastRenderedPageBreak/>
              <w:t>（二）所有者投入和减少资本</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42,589,830.00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248,321,151.62</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109,692,304.00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181,218,677.62</w:t>
            </w: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1．所有者投入的普通股</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42,589,830.00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773D06">
            <w:pPr>
              <w:spacing w:line="240" w:lineRule="exact"/>
              <w:jc w:val="right"/>
              <w:rPr>
                <w:rFonts w:ascii="宋体" w:eastAsia="宋体" w:hAnsi="宋体" w:cs="宋体"/>
                <w:sz w:val="18"/>
                <w:szCs w:val="18"/>
              </w:rPr>
            </w:pPr>
            <w:r w:rsidRPr="00773D06">
              <w:rPr>
                <w:rFonts w:ascii="宋体" w:eastAsia="宋体" w:hAnsi="宋体" w:cs="宋体"/>
                <w:sz w:val="18"/>
                <w:szCs w:val="18"/>
              </w:rPr>
              <w:t>138,602,928.92</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42,589,830.00</w:t>
            </w: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2．其他权益工具持有者投入资本</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773D06">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248,960,588.36</w:t>
            </w: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3．股份支付计入所有者权益的金额</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773D06">
            <w:pPr>
              <w:spacing w:line="240" w:lineRule="exact"/>
              <w:jc w:val="right"/>
              <w:rPr>
                <w:rFonts w:ascii="宋体" w:eastAsia="宋体" w:hAnsi="宋体" w:cs="宋体"/>
                <w:sz w:val="18"/>
                <w:szCs w:val="18"/>
              </w:rPr>
            </w:pPr>
            <w:r w:rsidRPr="00773D06">
              <w:rPr>
                <w:rFonts w:ascii="宋体" w:eastAsia="宋体" w:hAnsi="宋体" w:cs="宋体"/>
                <w:sz w:val="18"/>
                <w:szCs w:val="18"/>
              </w:rPr>
              <w:t>110,357,659.44</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109,692,304.00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-109,692,304.00</w:t>
            </w: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4．其他</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-639,436.74</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-639,436.74</w:t>
            </w: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（三）利润分配</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6,324,385.53</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-50,847,540.53</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-44,523,155.00</w:t>
            </w: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1．提取盈余公积</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6,324,385.53</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-6,324,385.53</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2．对所有者（或股东）的分配</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-44,523,155.00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-44,523,155.00</w:t>
            </w: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3．其他</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（四）所有者</w:t>
            </w:r>
            <w:r>
              <w:rPr>
                <w:rFonts w:ascii="宋体" w:eastAsia="宋体" w:hAnsi="宋体" w:cs="宋体"/>
                <w:sz w:val="18"/>
                <w:szCs w:val="18"/>
              </w:rPr>
              <w:lastRenderedPageBreak/>
              <w:t>权益内部结转</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lastRenderedPageBreak/>
              <w:t>1．资本公积转增资本（或股本）</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2．盈余公积转增资本（或股本）</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3．盈余公积弥补亏损</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4．设定受益计划变动额结转留存收益</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5．其他综合收益结转留存收益</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6．其他</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（五）专项储备</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1．本期提取</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2．本期使用</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（六）其他</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四、本期期末余额</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1,012,096,504.00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2,412,492,304.37</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201,131,504.00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-5,100,000.00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338,307,359.07</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2,245,983,571.39</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5,802,648,234.83</w:t>
            </w:r>
          </w:p>
        </w:tc>
      </w:tr>
    </w:tbl>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上期金额</w:t>
      </w:r>
    </w:p>
    <w:p w:rsidR="00BA0365" w:rsidRDefault="008D4B2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741"/>
        <w:gridCol w:w="741"/>
        <w:gridCol w:w="741"/>
        <w:gridCol w:w="741"/>
        <w:gridCol w:w="742"/>
        <w:gridCol w:w="741"/>
        <w:gridCol w:w="741"/>
        <w:gridCol w:w="741"/>
        <w:gridCol w:w="741"/>
        <w:gridCol w:w="741"/>
        <w:gridCol w:w="741"/>
        <w:gridCol w:w="741"/>
        <w:gridCol w:w="746"/>
      </w:tblGrid>
      <w:tr w:rsidR="00157EA0">
        <w:trPr>
          <w:trHeight w:val="240"/>
        </w:trPr>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8898"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2022年度</w:t>
            </w:r>
          </w:p>
        </w:tc>
      </w:tr>
      <w:tr w:rsidR="00157EA0">
        <w:trPr>
          <w:trHeight w:val="240"/>
        </w:trPr>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股本</w:t>
            </w:r>
          </w:p>
        </w:tc>
        <w:tc>
          <w:tcPr>
            <w:tcW w:w="2224"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其他权益工具</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资本公积</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减：库存股</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其他综合收益</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专项储备</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盈余公积</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未分配利润</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所有者权益合计</w:t>
            </w:r>
          </w:p>
        </w:tc>
      </w:tr>
      <w:tr w:rsidR="00157EA0">
        <w:trPr>
          <w:trHeight w:val="240"/>
        </w:trPr>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优先股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永续债</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741" w:type="dxa"/>
            <w:vMerge/>
            <w:tcBorders>
              <w:top w:val="single" w:sz="2" w:space="0" w:color="auto"/>
              <w:left w:val="single" w:sz="2" w:space="0" w:color="auto"/>
              <w:bottom w:val="single" w:sz="2" w:space="0" w:color="auto"/>
              <w:right w:val="single" w:sz="2" w:space="0" w:color="auto"/>
            </w:tcBorders>
            <w:vAlign w:val="center"/>
          </w:tcPr>
          <w:p w:rsidR="00BA0365" w:rsidRDefault="00BA0365"/>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741" w:type="dxa"/>
            <w:vMerge/>
            <w:tcBorders>
              <w:top w:val="single" w:sz="2" w:space="0" w:color="auto"/>
              <w:left w:val="single" w:sz="2" w:space="0" w:color="auto"/>
              <w:bottom w:val="single" w:sz="2" w:space="0" w:color="auto"/>
              <w:right w:val="single" w:sz="2" w:space="0" w:color="auto"/>
            </w:tcBorders>
            <w:vAlign w:val="center"/>
          </w:tcPr>
          <w:p w:rsidR="00BA0365" w:rsidRDefault="00BA0365"/>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r w:rsidR="00157EA0">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一、上年期末余额</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953,586,674.00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2,019,895,092.72</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29,988,000.00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121,541.69</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329,676,528.85</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2,212,829,254.49</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5,486,121,091.75</w:t>
            </w: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加：会计政策变更</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前期差错更正</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其他</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二、本年期初余额</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953,586,674.00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2,019,895,092.72</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29,988,000.00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121,541.69</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329,676,528.85</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2,212,829,254.49</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5,486,121,091.75</w:t>
            </w: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三、本期增减变动金额（减少以“－”号填列）</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15,920,000.00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144,276,060.03</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61,451,200.00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-5,221,541.69</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2,306,444.69</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20,758,002.16</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116,587,765.19</w:t>
            </w: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（一）综合收益总额</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-5,221,541.69</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23,064,446.85</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17,842,905.16</w:t>
            </w: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（二）所有者投入和减少资本</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15,920,000.00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144,276,060.03</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61,451,200.00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98,744,860.03</w:t>
            </w: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lastRenderedPageBreak/>
              <w:t>1．所有者投入的普通股</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15,920,000.00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45,531,200.00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61,451,200.00</w:t>
            </w: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2．其他权益工具持有者投入资本</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3．股份支付计入所有者权益的金额</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98,750,462.33</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61,451,200.00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37,299,262.33</w:t>
            </w: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4．其他</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-5,602.30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-5,602.30</w:t>
            </w: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（三）利润分配</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2,306,444.69</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-2,306,444.69</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1．提取盈余公积</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2,306,444.69</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-2,306,444.69</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2．对所有者（或股东）的分配</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3．其他</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（四）所有者权益内部结转</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1．资本公积转增资本（或股</w:t>
            </w:r>
            <w:r>
              <w:rPr>
                <w:rFonts w:ascii="宋体" w:eastAsia="宋体" w:hAnsi="宋体" w:cs="宋体"/>
                <w:sz w:val="18"/>
                <w:szCs w:val="18"/>
              </w:rPr>
              <w:lastRenderedPageBreak/>
              <w:t>本）</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lastRenderedPageBreak/>
              <w:t>2．盈余公积转增资本（或股本）</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3．盈余公积弥补亏损</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4．设定受益计划变动额结转留存收益</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5．其他综合收益结转留存收益</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6．其他</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（五）专项储备</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1．本期提取</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2．本期使用</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（六）其他</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四、本期期末余额</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969,506,674.00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2,164,171,152.75</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91,439,200.00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-5,100,000.00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331,982,973.54</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2,233,587,256.65</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5,602,708,856.94</w:t>
            </w:r>
          </w:p>
        </w:tc>
      </w:tr>
    </w:tbl>
    <w:p w:rsidR="00BA0365" w:rsidRDefault="008D4B2E">
      <w:pPr>
        <w:pStyle w:val="2"/>
        <w:spacing w:before="300" w:after="300" w:line="320" w:lineRule="exact"/>
        <w:rPr>
          <w:rFonts w:ascii="宋体" w:eastAsia="宋体" w:hAnsi="宋体" w:cs="宋体"/>
          <w:b/>
          <w:bCs/>
          <w:sz w:val="24"/>
          <w:szCs w:val="24"/>
        </w:rPr>
      </w:pPr>
      <w:bookmarkStart w:id="160" w:name="_Toc989049"/>
      <w:r>
        <w:rPr>
          <w:rFonts w:ascii="宋体" w:eastAsia="宋体" w:hAnsi="宋体" w:cs="宋体"/>
          <w:b/>
          <w:bCs/>
          <w:sz w:val="24"/>
          <w:szCs w:val="24"/>
        </w:rPr>
        <w:t>三、公司基本情况</w:t>
      </w:r>
      <w:bookmarkEnd w:id="160"/>
    </w:p>
    <w:p w:rsidR="008D4B2E" w:rsidRPr="00606927" w:rsidRDefault="008D4B2E" w:rsidP="00B818D2">
      <w:pPr>
        <w:widowControl/>
        <w:numPr>
          <w:ilvl w:val="0"/>
          <w:numId w:val="7"/>
        </w:numPr>
        <w:spacing w:before="100" w:beforeAutospacing="1" w:after="100" w:afterAutospacing="1"/>
        <w:divId w:val="1406106886"/>
        <w:rPr>
          <w:rStyle w:val="a4"/>
        </w:rPr>
      </w:pPr>
      <w:r w:rsidRPr="00606927">
        <w:rPr>
          <w:rStyle w:val="a4"/>
          <w:rFonts w:hint="eastAsia"/>
          <w:sz w:val="18"/>
          <w:szCs w:val="18"/>
        </w:rPr>
        <w:t> </w:t>
      </w:r>
      <w:r w:rsidRPr="00606927">
        <w:rPr>
          <w:rStyle w:val="a4"/>
          <w:rFonts w:hint="eastAsia"/>
          <w:sz w:val="18"/>
          <w:szCs w:val="18"/>
        </w:rPr>
        <w:t>公司注册地、组织形式和总部地址</w:t>
      </w:r>
    </w:p>
    <w:p w:rsidR="008D4B2E" w:rsidRPr="00606927" w:rsidRDefault="008D4B2E" w:rsidP="00B818D2">
      <w:pPr>
        <w:pStyle w:val="a3"/>
        <w:spacing w:before="0" w:beforeAutospacing="0" w:after="0" w:afterAutospacing="0"/>
        <w:ind w:firstLine="400"/>
        <w:jc w:val="both"/>
        <w:divId w:val="1406106886"/>
        <w:rPr>
          <w:rFonts w:asciiTheme="minorHAnsi" w:eastAsiaTheme="minorEastAsia" w:hAnsiTheme="minorHAnsi" w:cs="Times New Roman"/>
          <w:kern w:val="2"/>
          <w:sz w:val="18"/>
          <w:szCs w:val="18"/>
        </w:rPr>
      </w:pPr>
      <w:proofErr w:type="gramStart"/>
      <w:r w:rsidRPr="00606927">
        <w:rPr>
          <w:rFonts w:asciiTheme="minorHAnsi" w:eastAsiaTheme="minorEastAsia" w:hAnsiTheme="minorHAnsi" w:cs="Times New Roman" w:hint="eastAsia"/>
          <w:kern w:val="2"/>
          <w:sz w:val="18"/>
          <w:szCs w:val="18"/>
        </w:rPr>
        <w:lastRenderedPageBreak/>
        <w:t>软控股份有限公司</w:t>
      </w:r>
      <w:proofErr w:type="gramEnd"/>
      <w:r w:rsidRPr="00606927">
        <w:rPr>
          <w:rFonts w:asciiTheme="minorHAnsi" w:eastAsiaTheme="minorEastAsia" w:hAnsiTheme="minorHAnsi" w:cs="Times New Roman" w:hint="eastAsia"/>
          <w:kern w:val="2"/>
          <w:sz w:val="18"/>
          <w:szCs w:val="18"/>
        </w:rPr>
        <w:t>（以下简称</w:t>
      </w:r>
      <w:r w:rsidRPr="00606927">
        <w:rPr>
          <w:rFonts w:asciiTheme="minorHAnsi" w:eastAsiaTheme="minorEastAsia" w:hAnsiTheme="minorHAnsi" w:cs="Times New Roman"/>
          <w:kern w:val="2"/>
          <w:sz w:val="18"/>
          <w:szCs w:val="18"/>
        </w:rPr>
        <w:t>“</w:t>
      </w:r>
      <w:r w:rsidRPr="00606927">
        <w:rPr>
          <w:rFonts w:asciiTheme="minorHAnsi" w:eastAsiaTheme="minorEastAsia" w:hAnsiTheme="minorHAnsi" w:cs="Times New Roman" w:hint="eastAsia"/>
          <w:kern w:val="2"/>
          <w:sz w:val="18"/>
          <w:szCs w:val="18"/>
        </w:rPr>
        <w:t>本公司</w:t>
      </w:r>
      <w:r w:rsidRPr="00606927">
        <w:rPr>
          <w:rFonts w:asciiTheme="minorHAnsi" w:eastAsiaTheme="minorEastAsia" w:hAnsiTheme="minorHAnsi" w:cs="Times New Roman"/>
          <w:kern w:val="2"/>
          <w:sz w:val="18"/>
          <w:szCs w:val="18"/>
        </w:rPr>
        <w:t>”</w:t>
      </w:r>
      <w:r w:rsidRPr="00606927">
        <w:rPr>
          <w:rFonts w:asciiTheme="minorHAnsi" w:eastAsiaTheme="minorEastAsia" w:hAnsiTheme="minorHAnsi" w:cs="Times New Roman" w:hint="eastAsia"/>
          <w:kern w:val="2"/>
          <w:sz w:val="18"/>
          <w:szCs w:val="18"/>
        </w:rPr>
        <w:t>或</w:t>
      </w:r>
      <w:r w:rsidRPr="00606927">
        <w:rPr>
          <w:rFonts w:asciiTheme="minorHAnsi" w:eastAsiaTheme="minorEastAsia" w:hAnsiTheme="minorHAnsi" w:cs="Times New Roman"/>
          <w:kern w:val="2"/>
          <w:sz w:val="18"/>
          <w:szCs w:val="18"/>
        </w:rPr>
        <w:t>“</w:t>
      </w:r>
      <w:r w:rsidRPr="00606927">
        <w:rPr>
          <w:rFonts w:asciiTheme="minorHAnsi" w:eastAsiaTheme="minorEastAsia" w:hAnsiTheme="minorHAnsi" w:cs="Times New Roman" w:hint="eastAsia"/>
          <w:kern w:val="2"/>
          <w:sz w:val="18"/>
          <w:szCs w:val="18"/>
        </w:rPr>
        <w:t>公司</w:t>
      </w:r>
      <w:r w:rsidRPr="00606927">
        <w:rPr>
          <w:rFonts w:asciiTheme="minorHAnsi" w:eastAsiaTheme="minorEastAsia" w:hAnsiTheme="minorHAnsi" w:cs="Times New Roman"/>
          <w:kern w:val="2"/>
          <w:sz w:val="18"/>
          <w:szCs w:val="18"/>
        </w:rPr>
        <w:t>”</w:t>
      </w:r>
      <w:r w:rsidRPr="00606927">
        <w:rPr>
          <w:rFonts w:asciiTheme="minorHAnsi" w:eastAsiaTheme="minorEastAsia" w:hAnsiTheme="minorHAnsi" w:cs="Times New Roman" w:hint="eastAsia"/>
          <w:kern w:val="2"/>
          <w:sz w:val="18"/>
          <w:szCs w:val="18"/>
        </w:rPr>
        <w:t>）前身为</w:t>
      </w:r>
      <w:r w:rsidRPr="00606927">
        <w:rPr>
          <w:rFonts w:asciiTheme="minorHAnsi" w:eastAsiaTheme="minorEastAsia" w:hAnsiTheme="minorHAnsi" w:cs="Times New Roman"/>
          <w:kern w:val="2"/>
          <w:sz w:val="18"/>
          <w:szCs w:val="18"/>
        </w:rPr>
        <w:t>2000</w:t>
      </w:r>
      <w:r w:rsidRPr="00606927">
        <w:rPr>
          <w:rFonts w:asciiTheme="minorHAnsi" w:eastAsiaTheme="minorEastAsia" w:hAnsiTheme="minorHAnsi" w:cs="Times New Roman" w:hint="eastAsia"/>
          <w:kern w:val="2"/>
          <w:sz w:val="18"/>
          <w:szCs w:val="18"/>
        </w:rPr>
        <w:t>年</w:t>
      </w:r>
      <w:r w:rsidRPr="00606927">
        <w:rPr>
          <w:rFonts w:asciiTheme="minorHAnsi" w:eastAsiaTheme="minorEastAsia" w:hAnsiTheme="minorHAnsi" w:cs="Times New Roman"/>
          <w:kern w:val="2"/>
          <w:sz w:val="18"/>
          <w:szCs w:val="18"/>
        </w:rPr>
        <w:t>4</w:t>
      </w:r>
      <w:r w:rsidRPr="00606927">
        <w:rPr>
          <w:rFonts w:asciiTheme="minorHAnsi" w:eastAsiaTheme="minorEastAsia" w:hAnsiTheme="minorHAnsi" w:cs="Times New Roman" w:hint="eastAsia"/>
          <w:kern w:val="2"/>
          <w:sz w:val="18"/>
          <w:szCs w:val="18"/>
        </w:rPr>
        <w:t>月</w:t>
      </w:r>
      <w:r w:rsidRPr="00606927">
        <w:rPr>
          <w:rFonts w:asciiTheme="minorHAnsi" w:eastAsiaTheme="minorEastAsia" w:hAnsiTheme="minorHAnsi" w:cs="Times New Roman"/>
          <w:kern w:val="2"/>
          <w:sz w:val="18"/>
          <w:szCs w:val="18"/>
        </w:rPr>
        <w:t>4</w:t>
      </w:r>
      <w:r w:rsidRPr="00606927">
        <w:rPr>
          <w:rFonts w:asciiTheme="minorHAnsi" w:eastAsiaTheme="minorEastAsia" w:hAnsiTheme="minorHAnsi" w:cs="Times New Roman" w:hint="eastAsia"/>
          <w:kern w:val="2"/>
          <w:sz w:val="18"/>
          <w:szCs w:val="18"/>
        </w:rPr>
        <w:t>日成立的青岛时代网络工程有限公司，</w:t>
      </w:r>
      <w:r w:rsidRPr="00606927">
        <w:rPr>
          <w:rFonts w:asciiTheme="minorHAnsi" w:eastAsiaTheme="minorEastAsia" w:hAnsiTheme="minorHAnsi" w:cs="Times New Roman"/>
          <w:kern w:val="2"/>
          <w:sz w:val="18"/>
          <w:szCs w:val="18"/>
        </w:rPr>
        <w:t>2000</w:t>
      </w:r>
      <w:r w:rsidRPr="00606927">
        <w:rPr>
          <w:rFonts w:asciiTheme="minorHAnsi" w:eastAsiaTheme="minorEastAsia" w:hAnsiTheme="minorHAnsi" w:cs="Times New Roman" w:hint="eastAsia"/>
          <w:kern w:val="2"/>
          <w:sz w:val="18"/>
          <w:szCs w:val="18"/>
        </w:rPr>
        <w:t>年</w:t>
      </w:r>
      <w:r w:rsidRPr="00606927">
        <w:rPr>
          <w:rFonts w:asciiTheme="minorHAnsi" w:eastAsiaTheme="minorEastAsia" w:hAnsiTheme="minorHAnsi" w:cs="Times New Roman"/>
          <w:kern w:val="2"/>
          <w:sz w:val="18"/>
          <w:szCs w:val="18"/>
        </w:rPr>
        <w:t>10</w:t>
      </w:r>
      <w:r w:rsidRPr="00606927">
        <w:rPr>
          <w:rFonts w:asciiTheme="minorHAnsi" w:eastAsiaTheme="minorEastAsia" w:hAnsiTheme="minorHAnsi" w:cs="Times New Roman" w:hint="eastAsia"/>
          <w:kern w:val="2"/>
          <w:sz w:val="18"/>
          <w:szCs w:val="18"/>
        </w:rPr>
        <w:t>月更名为青岛高校软控有限公司，</w:t>
      </w:r>
      <w:r w:rsidRPr="00606927">
        <w:rPr>
          <w:rFonts w:asciiTheme="minorHAnsi" w:eastAsiaTheme="minorEastAsia" w:hAnsiTheme="minorHAnsi" w:cs="Times New Roman"/>
          <w:kern w:val="2"/>
          <w:sz w:val="18"/>
          <w:szCs w:val="18"/>
        </w:rPr>
        <w:t>2010</w:t>
      </w:r>
      <w:r w:rsidRPr="00606927">
        <w:rPr>
          <w:rFonts w:asciiTheme="minorHAnsi" w:eastAsiaTheme="minorEastAsia" w:hAnsiTheme="minorHAnsi" w:cs="Times New Roman" w:hint="eastAsia"/>
          <w:kern w:val="2"/>
          <w:sz w:val="18"/>
          <w:szCs w:val="18"/>
        </w:rPr>
        <w:t>年</w:t>
      </w:r>
      <w:r w:rsidRPr="00606927">
        <w:rPr>
          <w:rFonts w:asciiTheme="minorHAnsi" w:eastAsiaTheme="minorEastAsia" w:hAnsiTheme="minorHAnsi" w:cs="Times New Roman"/>
          <w:kern w:val="2"/>
          <w:sz w:val="18"/>
          <w:szCs w:val="18"/>
        </w:rPr>
        <w:t>3</w:t>
      </w:r>
      <w:r w:rsidRPr="00606927">
        <w:rPr>
          <w:rFonts w:asciiTheme="minorHAnsi" w:eastAsiaTheme="minorEastAsia" w:hAnsiTheme="minorHAnsi" w:cs="Times New Roman" w:hint="eastAsia"/>
          <w:kern w:val="2"/>
          <w:sz w:val="18"/>
          <w:szCs w:val="18"/>
        </w:rPr>
        <w:t>月公司更名</w:t>
      </w:r>
      <w:proofErr w:type="gramStart"/>
      <w:r w:rsidRPr="00606927">
        <w:rPr>
          <w:rFonts w:asciiTheme="minorHAnsi" w:eastAsiaTheme="minorEastAsia" w:hAnsiTheme="minorHAnsi" w:cs="Times New Roman" w:hint="eastAsia"/>
          <w:kern w:val="2"/>
          <w:sz w:val="18"/>
          <w:szCs w:val="18"/>
        </w:rPr>
        <w:t>为软控股份有限公司</w:t>
      </w:r>
      <w:proofErr w:type="gramEnd"/>
      <w:r w:rsidRPr="00606927">
        <w:rPr>
          <w:rFonts w:asciiTheme="minorHAnsi" w:eastAsiaTheme="minorEastAsia" w:hAnsiTheme="minorHAnsi" w:cs="Times New Roman" w:hint="eastAsia"/>
          <w:kern w:val="2"/>
          <w:sz w:val="18"/>
          <w:szCs w:val="18"/>
        </w:rPr>
        <w:t>。</w:t>
      </w:r>
      <w:r w:rsidRPr="00606927">
        <w:rPr>
          <w:rFonts w:asciiTheme="minorHAnsi" w:eastAsiaTheme="minorEastAsia" w:hAnsiTheme="minorHAnsi" w:cs="Times New Roman"/>
          <w:kern w:val="2"/>
          <w:sz w:val="18"/>
          <w:szCs w:val="18"/>
        </w:rPr>
        <w:t>2000</w:t>
      </w:r>
      <w:r w:rsidRPr="00606927">
        <w:rPr>
          <w:rFonts w:asciiTheme="minorHAnsi" w:eastAsiaTheme="minorEastAsia" w:hAnsiTheme="minorHAnsi" w:cs="Times New Roman" w:hint="eastAsia"/>
          <w:kern w:val="2"/>
          <w:sz w:val="18"/>
          <w:szCs w:val="18"/>
        </w:rPr>
        <w:t>年</w:t>
      </w:r>
      <w:r w:rsidRPr="00606927">
        <w:rPr>
          <w:rFonts w:asciiTheme="minorHAnsi" w:eastAsiaTheme="minorEastAsia" w:hAnsiTheme="minorHAnsi" w:cs="Times New Roman"/>
          <w:kern w:val="2"/>
          <w:sz w:val="18"/>
          <w:szCs w:val="18"/>
        </w:rPr>
        <w:t>12</w:t>
      </w:r>
      <w:r w:rsidRPr="00606927">
        <w:rPr>
          <w:rFonts w:asciiTheme="minorHAnsi" w:eastAsiaTheme="minorEastAsia" w:hAnsiTheme="minorHAnsi" w:cs="Times New Roman" w:hint="eastAsia"/>
          <w:kern w:val="2"/>
          <w:sz w:val="18"/>
          <w:szCs w:val="18"/>
        </w:rPr>
        <w:t>月</w:t>
      </w:r>
      <w:r w:rsidRPr="00606927">
        <w:rPr>
          <w:rFonts w:asciiTheme="minorHAnsi" w:eastAsiaTheme="minorEastAsia" w:hAnsiTheme="minorHAnsi" w:cs="Times New Roman"/>
          <w:kern w:val="2"/>
          <w:sz w:val="18"/>
          <w:szCs w:val="18"/>
        </w:rPr>
        <w:t>22</w:t>
      </w:r>
      <w:r w:rsidRPr="00606927">
        <w:rPr>
          <w:rFonts w:asciiTheme="minorHAnsi" w:eastAsiaTheme="minorEastAsia" w:hAnsiTheme="minorHAnsi" w:cs="Times New Roman" w:hint="eastAsia"/>
          <w:kern w:val="2"/>
          <w:sz w:val="18"/>
          <w:szCs w:val="18"/>
        </w:rPr>
        <w:t>日公司经青岛市人民政府批准（</w:t>
      </w:r>
      <w:proofErr w:type="gramStart"/>
      <w:r w:rsidRPr="00606927">
        <w:rPr>
          <w:rFonts w:asciiTheme="minorHAnsi" w:eastAsiaTheme="minorEastAsia" w:hAnsiTheme="minorHAnsi" w:cs="Times New Roman" w:hint="eastAsia"/>
          <w:kern w:val="2"/>
          <w:sz w:val="18"/>
          <w:szCs w:val="18"/>
        </w:rPr>
        <w:t>青股改</w:t>
      </w:r>
      <w:proofErr w:type="gramEnd"/>
      <w:r w:rsidRPr="00606927">
        <w:rPr>
          <w:rFonts w:asciiTheme="minorHAnsi" w:eastAsiaTheme="minorEastAsia" w:hAnsiTheme="minorHAnsi" w:cs="Times New Roman" w:hint="eastAsia"/>
          <w:kern w:val="2"/>
          <w:sz w:val="18"/>
          <w:szCs w:val="18"/>
        </w:rPr>
        <w:t>字</w:t>
      </w:r>
      <w:r w:rsidRPr="00606927">
        <w:rPr>
          <w:rFonts w:asciiTheme="minorHAnsi" w:eastAsiaTheme="minorEastAsia" w:hAnsiTheme="minorHAnsi" w:cs="Times New Roman"/>
          <w:kern w:val="2"/>
          <w:sz w:val="18"/>
          <w:szCs w:val="18"/>
        </w:rPr>
        <w:t>[2000]12</w:t>
      </w:r>
      <w:r w:rsidRPr="00606927">
        <w:rPr>
          <w:rFonts w:asciiTheme="minorHAnsi" w:eastAsiaTheme="minorEastAsia" w:hAnsiTheme="minorHAnsi" w:cs="Times New Roman" w:hint="eastAsia"/>
          <w:kern w:val="2"/>
          <w:sz w:val="18"/>
          <w:szCs w:val="18"/>
        </w:rPr>
        <w:t>号批准证书），根据青岛市经济体制改革委员会《关于青岛高校软控股份有限公司获准设立的通知》（青</w:t>
      </w:r>
      <w:proofErr w:type="gramStart"/>
      <w:r w:rsidRPr="00606927">
        <w:rPr>
          <w:rFonts w:asciiTheme="minorHAnsi" w:eastAsiaTheme="minorEastAsia" w:hAnsiTheme="minorHAnsi" w:cs="Times New Roman" w:hint="eastAsia"/>
          <w:kern w:val="2"/>
          <w:sz w:val="18"/>
          <w:szCs w:val="18"/>
        </w:rPr>
        <w:t>体改发</w:t>
      </w:r>
      <w:proofErr w:type="gramEnd"/>
      <w:r w:rsidRPr="00606927">
        <w:rPr>
          <w:rFonts w:asciiTheme="minorHAnsi" w:eastAsiaTheme="minorEastAsia" w:hAnsiTheme="minorHAnsi" w:cs="Times New Roman"/>
          <w:kern w:val="2"/>
          <w:sz w:val="18"/>
          <w:szCs w:val="18"/>
        </w:rPr>
        <w:t>[2000]186</w:t>
      </w:r>
      <w:r w:rsidRPr="00606927">
        <w:rPr>
          <w:rFonts w:asciiTheme="minorHAnsi" w:eastAsiaTheme="minorEastAsia" w:hAnsiTheme="minorHAnsi" w:cs="Times New Roman" w:hint="eastAsia"/>
          <w:kern w:val="2"/>
          <w:sz w:val="18"/>
          <w:szCs w:val="18"/>
        </w:rPr>
        <w:t>号），在原青岛高校软控有限公司基础上整体变更设立为股份有限公司。</w:t>
      </w:r>
      <w:r w:rsidRPr="00606927">
        <w:rPr>
          <w:rFonts w:asciiTheme="minorHAnsi" w:eastAsiaTheme="minorEastAsia" w:hAnsiTheme="minorHAnsi" w:cs="Times New Roman"/>
          <w:kern w:val="2"/>
          <w:sz w:val="18"/>
          <w:szCs w:val="18"/>
        </w:rPr>
        <w:t>2006</w:t>
      </w:r>
      <w:r w:rsidRPr="00606927">
        <w:rPr>
          <w:rFonts w:asciiTheme="minorHAnsi" w:eastAsiaTheme="minorEastAsia" w:hAnsiTheme="minorHAnsi" w:cs="Times New Roman" w:hint="eastAsia"/>
          <w:kern w:val="2"/>
          <w:sz w:val="18"/>
          <w:szCs w:val="18"/>
        </w:rPr>
        <w:t>年</w:t>
      </w:r>
      <w:r w:rsidRPr="00606927">
        <w:rPr>
          <w:rFonts w:asciiTheme="minorHAnsi" w:eastAsiaTheme="minorEastAsia" w:hAnsiTheme="minorHAnsi" w:cs="Times New Roman"/>
          <w:kern w:val="2"/>
          <w:sz w:val="18"/>
          <w:szCs w:val="18"/>
        </w:rPr>
        <w:t>10</w:t>
      </w:r>
      <w:r w:rsidRPr="00606927">
        <w:rPr>
          <w:rFonts w:asciiTheme="minorHAnsi" w:eastAsiaTheme="minorEastAsia" w:hAnsiTheme="minorHAnsi" w:cs="Times New Roman" w:hint="eastAsia"/>
          <w:kern w:val="2"/>
          <w:sz w:val="18"/>
          <w:szCs w:val="18"/>
        </w:rPr>
        <w:t>月</w:t>
      </w:r>
      <w:r w:rsidRPr="00606927">
        <w:rPr>
          <w:rFonts w:asciiTheme="minorHAnsi" w:eastAsiaTheme="minorEastAsia" w:hAnsiTheme="minorHAnsi" w:cs="Times New Roman"/>
          <w:kern w:val="2"/>
          <w:sz w:val="18"/>
          <w:szCs w:val="18"/>
        </w:rPr>
        <w:t>13</w:t>
      </w:r>
      <w:r w:rsidRPr="00606927">
        <w:rPr>
          <w:rFonts w:asciiTheme="minorHAnsi" w:eastAsiaTheme="minorEastAsia" w:hAnsiTheme="minorHAnsi" w:cs="Times New Roman" w:hint="eastAsia"/>
          <w:kern w:val="2"/>
          <w:sz w:val="18"/>
          <w:szCs w:val="18"/>
        </w:rPr>
        <w:t>日，公司经中国证券监督管理委员会证</w:t>
      </w:r>
      <w:proofErr w:type="gramStart"/>
      <w:r w:rsidRPr="00606927">
        <w:rPr>
          <w:rFonts w:asciiTheme="minorHAnsi" w:eastAsiaTheme="minorEastAsia" w:hAnsiTheme="minorHAnsi" w:cs="Times New Roman" w:hint="eastAsia"/>
          <w:kern w:val="2"/>
          <w:sz w:val="18"/>
          <w:szCs w:val="18"/>
        </w:rPr>
        <w:t>监发行字</w:t>
      </w:r>
      <w:proofErr w:type="gramEnd"/>
      <w:r w:rsidRPr="00606927">
        <w:rPr>
          <w:rFonts w:asciiTheme="minorHAnsi" w:eastAsiaTheme="minorEastAsia" w:hAnsiTheme="minorHAnsi" w:cs="Times New Roman"/>
          <w:kern w:val="2"/>
          <w:sz w:val="18"/>
          <w:szCs w:val="18"/>
        </w:rPr>
        <w:t>[2006]75</w:t>
      </w:r>
      <w:r w:rsidRPr="00606927">
        <w:rPr>
          <w:rFonts w:asciiTheme="minorHAnsi" w:eastAsiaTheme="minorEastAsia" w:hAnsiTheme="minorHAnsi" w:cs="Times New Roman" w:hint="eastAsia"/>
          <w:kern w:val="2"/>
          <w:sz w:val="18"/>
          <w:szCs w:val="18"/>
        </w:rPr>
        <w:t>号文核准，向社会公众发行人民币普通股</w:t>
      </w:r>
      <w:r w:rsidRPr="00606927">
        <w:rPr>
          <w:rFonts w:asciiTheme="minorHAnsi" w:eastAsiaTheme="minorEastAsia" w:hAnsiTheme="minorHAnsi" w:cs="Times New Roman"/>
          <w:kern w:val="2"/>
          <w:sz w:val="18"/>
          <w:szCs w:val="18"/>
        </w:rPr>
        <w:t>1,800</w:t>
      </w:r>
      <w:r w:rsidRPr="00606927">
        <w:rPr>
          <w:rFonts w:asciiTheme="minorHAnsi" w:eastAsiaTheme="minorEastAsia" w:hAnsiTheme="minorHAnsi" w:cs="Times New Roman" w:hint="eastAsia"/>
          <w:kern w:val="2"/>
          <w:sz w:val="18"/>
          <w:szCs w:val="18"/>
        </w:rPr>
        <w:t>万股，并于</w:t>
      </w:r>
      <w:r w:rsidRPr="00606927">
        <w:rPr>
          <w:rFonts w:asciiTheme="minorHAnsi" w:eastAsiaTheme="minorEastAsia" w:hAnsiTheme="minorHAnsi" w:cs="Times New Roman"/>
          <w:kern w:val="2"/>
          <w:sz w:val="18"/>
          <w:szCs w:val="18"/>
        </w:rPr>
        <w:t>2006</w:t>
      </w:r>
      <w:r w:rsidRPr="00606927">
        <w:rPr>
          <w:rFonts w:asciiTheme="minorHAnsi" w:eastAsiaTheme="minorEastAsia" w:hAnsiTheme="minorHAnsi" w:cs="Times New Roman" w:hint="eastAsia"/>
          <w:kern w:val="2"/>
          <w:sz w:val="18"/>
          <w:szCs w:val="18"/>
        </w:rPr>
        <w:t>年</w:t>
      </w:r>
      <w:r w:rsidRPr="00606927">
        <w:rPr>
          <w:rFonts w:asciiTheme="minorHAnsi" w:eastAsiaTheme="minorEastAsia" w:hAnsiTheme="minorHAnsi" w:cs="Times New Roman"/>
          <w:kern w:val="2"/>
          <w:sz w:val="18"/>
          <w:szCs w:val="18"/>
        </w:rPr>
        <w:t>10</w:t>
      </w:r>
      <w:r w:rsidRPr="00606927">
        <w:rPr>
          <w:rFonts w:asciiTheme="minorHAnsi" w:eastAsiaTheme="minorEastAsia" w:hAnsiTheme="minorHAnsi" w:cs="Times New Roman" w:hint="eastAsia"/>
          <w:kern w:val="2"/>
          <w:sz w:val="18"/>
          <w:szCs w:val="18"/>
        </w:rPr>
        <w:t>月</w:t>
      </w:r>
      <w:r w:rsidRPr="00606927">
        <w:rPr>
          <w:rFonts w:asciiTheme="minorHAnsi" w:eastAsiaTheme="minorEastAsia" w:hAnsiTheme="minorHAnsi" w:cs="Times New Roman"/>
          <w:kern w:val="2"/>
          <w:sz w:val="18"/>
          <w:szCs w:val="18"/>
        </w:rPr>
        <w:t>18</w:t>
      </w:r>
      <w:r w:rsidRPr="00606927">
        <w:rPr>
          <w:rFonts w:asciiTheme="minorHAnsi" w:eastAsiaTheme="minorEastAsia" w:hAnsiTheme="minorHAnsi" w:cs="Times New Roman" w:hint="eastAsia"/>
          <w:kern w:val="2"/>
          <w:sz w:val="18"/>
          <w:szCs w:val="18"/>
        </w:rPr>
        <w:t>日在深圳证券交易所中小板上市交易，目前注册资本为</w:t>
      </w:r>
      <w:r w:rsidRPr="00606927">
        <w:rPr>
          <w:rFonts w:asciiTheme="minorHAnsi" w:eastAsiaTheme="minorEastAsia" w:hAnsiTheme="minorHAnsi" w:cs="Times New Roman"/>
          <w:kern w:val="2"/>
          <w:sz w:val="18"/>
          <w:szCs w:val="18"/>
        </w:rPr>
        <w:t>101,209.6504</w:t>
      </w:r>
      <w:r w:rsidRPr="00606927">
        <w:rPr>
          <w:rFonts w:asciiTheme="minorHAnsi" w:eastAsiaTheme="minorEastAsia" w:hAnsiTheme="minorHAnsi" w:cs="Times New Roman" w:hint="eastAsia"/>
          <w:kern w:val="2"/>
          <w:sz w:val="18"/>
          <w:szCs w:val="18"/>
        </w:rPr>
        <w:t>万元。</w:t>
      </w:r>
    </w:p>
    <w:p w:rsidR="008D4B2E" w:rsidRDefault="008D4B2E" w:rsidP="00B818D2">
      <w:pPr>
        <w:pStyle w:val="a3"/>
        <w:spacing w:before="0" w:beforeAutospacing="0" w:after="0" w:afterAutospacing="0"/>
        <w:ind w:firstLine="400"/>
        <w:jc w:val="both"/>
        <w:divId w:val="1406106886"/>
        <w:rPr>
          <w:rFonts w:asciiTheme="minorHAnsi" w:eastAsiaTheme="minorEastAsia" w:hAnsiTheme="minorHAnsi" w:cs="Times New Roman"/>
          <w:kern w:val="2"/>
          <w:sz w:val="18"/>
          <w:szCs w:val="18"/>
        </w:rPr>
      </w:pPr>
      <w:r w:rsidRPr="00606927">
        <w:rPr>
          <w:rFonts w:asciiTheme="minorHAnsi" w:eastAsiaTheme="minorEastAsia" w:hAnsiTheme="minorHAnsi" w:cs="Times New Roman" w:hint="eastAsia"/>
          <w:kern w:val="2"/>
          <w:sz w:val="18"/>
          <w:szCs w:val="18"/>
        </w:rPr>
        <w:t>公司在青岛市工商行政管理局登记注册，统一社会信用代码：</w:t>
      </w:r>
      <w:r w:rsidRPr="00606927">
        <w:rPr>
          <w:rFonts w:asciiTheme="minorHAnsi" w:eastAsiaTheme="minorEastAsia" w:hAnsiTheme="minorHAnsi" w:cs="Times New Roman"/>
          <w:kern w:val="2"/>
          <w:sz w:val="18"/>
          <w:szCs w:val="18"/>
        </w:rPr>
        <w:t>913702007180555372</w:t>
      </w:r>
      <w:r w:rsidRPr="00606927">
        <w:rPr>
          <w:rFonts w:asciiTheme="minorHAnsi" w:eastAsiaTheme="minorEastAsia" w:hAnsiTheme="minorHAnsi" w:cs="Times New Roman" w:hint="eastAsia"/>
          <w:kern w:val="2"/>
          <w:sz w:val="18"/>
          <w:szCs w:val="18"/>
        </w:rPr>
        <w:t>，公司注册地为山东省青岛市高新区新</w:t>
      </w:r>
      <w:proofErr w:type="gramStart"/>
      <w:r w:rsidRPr="00606927">
        <w:rPr>
          <w:rFonts w:asciiTheme="minorHAnsi" w:eastAsiaTheme="minorEastAsia" w:hAnsiTheme="minorHAnsi" w:cs="Times New Roman" w:hint="eastAsia"/>
          <w:kern w:val="2"/>
          <w:sz w:val="18"/>
          <w:szCs w:val="18"/>
        </w:rPr>
        <w:t>业路</w:t>
      </w:r>
      <w:r w:rsidRPr="00606927">
        <w:rPr>
          <w:rFonts w:asciiTheme="minorHAnsi" w:eastAsiaTheme="minorEastAsia" w:hAnsiTheme="minorHAnsi" w:cs="Times New Roman"/>
          <w:kern w:val="2"/>
          <w:sz w:val="18"/>
          <w:szCs w:val="18"/>
        </w:rPr>
        <w:t>31</w:t>
      </w:r>
      <w:r w:rsidRPr="00606927">
        <w:rPr>
          <w:rFonts w:asciiTheme="minorHAnsi" w:eastAsiaTheme="minorEastAsia" w:hAnsiTheme="minorHAnsi" w:cs="Times New Roman" w:hint="eastAsia"/>
          <w:kern w:val="2"/>
          <w:sz w:val="18"/>
          <w:szCs w:val="18"/>
        </w:rPr>
        <w:t>号远创国际蓝湾创意园</w:t>
      </w:r>
      <w:proofErr w:type="gramEnd"/>
      <w:r w:rsidRPr="00606927">
        <w:rPr>
          <w:rFonts w:asciiTheme="minorHAnsi" w:eastAsiaTheme="minorEastAsia" w:hAnsiTheme="minorHAnsi" w:cs="Times New Roman"/>
          <w:kern w:val="2"/>
          <w:sz w:val="18"/>
          <w:szCs w:val="18"/>
        </w:rPr>
        <w:t>B</w:t>
      </w:r>
      <w:r w:rsidRPr="00606927">
        <w:rPr>
          <w:rFonts w:asciiTheme="minorHAnsi" w:eastAsiaTheme="minorEastAsia" w:hAnsiTheme="minorHAnsi" w:cs="Times New Roman" w:hint="eastAsia"/>
          <w:kern w:val="2"/>
          <w:sz w:val="18"/>
          <w:szCs w:val="18"/>
        </w:rPr>
        <w:t>区</w:t>
      </w:r>
      <w:r w:rsidRPr="00606927">
        <w:rPr>
          <w:rFonts w:asciiTheme="minorHAnsi" w:eastAsiaTheme="minorEastAsia" w:hAnsiTheme="minorHAnsi" w:cs="Times New Roman"/>
          <w:kern w:val="2"/>
          <w:sz w:val="18"/>
          <w:szCs w:val="18"/>
        </w:rPr>
        <w:t>1</w:t>
      </w:r>
      <w:r w:rsidRPr="00606927">
        <w:rPr>
          <w:rFonts w:asciiTheme="minorHAnsi" w:eastAsiaTheme="minorEastAsia" w:hAnsiTheme="minorHAnsi" w:cs="Times New Roman" w:hint="eastAsia"/>
          <w:kern w:val="2"/>
          <w:sz w:val="18"/>
          <w:szCs w:val="18"/>
        </w:rPr>
        <w:t>号楼</w:t>
      </w:r>
      <w:r w:rsidRPr="00606927">
        <w:rPr>
          <w:rFonts w:asciiTheme="minorHAnsi" w:eastAsiaTheme="minorEastAsia" w:hAnsiTheme="minorHAnsi" w:cs="Times New Roman"/>
          <w:kern w:val="2"/>
          <w:sz w:val="18"/>
          <w:szCs w:val="18"/>
        </w:rPr>
        <w:t>202</w:t>
      </w:r>
      <w:r w:rsidRPr="00606927">
        <w:rPr>
          <w:rFonts w:asciiTheme="minorHAnsi" w:eastAsiaTheme="minorEastAsia" w:hAnsiTheme="minorHAnsi" w:cs="Times New Roman" w:hint="eastAsia"/>
          <w:kern w:val="2"/>
          <w:sz w:val="18"/>
          <w:szCs w:val="18"/>
        </w:rPr>
        <w:t>室，总部地址：青岛市郑州路</w:t>
      </w:r>
      <w:r w:rsidRPr="00606927">
        <w:rPr>
          <w:rFonts w:asciiTheme="minorHAnsi" w:eastAsiaTheme="minorEastAsia" w:hAnsiTheme="minorHAnsi" w:cs="Times New Roman"/>
          <w:kern w:val="2"/>
          <w:sz w:val="18"/>
          <w:szCs w:val="18"/>
        </w:rPr>
        <w:t>43</w:t>
      </w:r>
      <w:r w:rsidRPr="00606927">
        <w:rPr>
          <w:rFonts w:asciiTheme="minorHAnsi" w:eastAsiaTheme="minorEastAsia" w:hAnsiTheme="minorHAnsi" w:cs="Times New Roman" w:hint="eastAsia"/>
          <w:kern w:val="2"/>
          <w:sz w:val="18"/>
          <w:szCs w:val="18"/>
        </w:rPr>
        <w:t>号。法定代表人：官</w:t>
      </w:r>
      <w:proofErr w:type="gramStart"/>
      <w:r w:rsidRPr="00606927">
        <w:rPr>
          <w:rFonts w:asciiTheme="minorHAnsi" w:eastAsiaTheme="minorEastAsia" w:hAnsiTheme="minorHAnsi" w:cs="Times New Roman" w:hint="eastAsia"/>
          <w:kern w:val="2"/>
          <w:sz w:val="18"/>
          <w:szCs w:val="18"/>
        </w:rPr>
        <w:t>炳</w:t>
      </w:r>
      <w:proofErr w:type="gramEnd"/>
      <w:r w:rsidRPr="00606927">
        <w:rPr>
          <w:rFonts w:asciiTheme="minorHAnsi" w:eastAsiaTheme="minorEastAsia" w:hAnsiTheme="minorHAnsi" w:cs="Times New Roman" w:hint="eastAsia"/>
          <w:kern w:val="2"/>
          <w:sz w:val="18"/>
          <w:szCs w:val="18"/>
        </w:rPr>
        <w:t>政。</w:t>
      </w:r>
    </w:p>
    <w:p w:rsidR="00B818D2" w:rsidRPr="00606927" w:rsidRDefault="00B818D2" w:rsidP="00B818D2">
      <w:pPr>
        <w:widowControl/>
        <w:numPr>
          <w:ilvl w:val="0"/>
          <w:numId w:val="7"/>
        </w:numPr>
        <w:spacing w:before="100" w:beforeAutospacing="1" w:after="100" w:afterAutospacing="1"/>
        <w:divId w:val="1406106886"/>
        <w:rPr>
          <w:rStyle w:val="a4"/>
        </w:rPr>
      </w:pPr>
      <w:r w:rsidRPr="00606927">
        <w:rPr>
          <w:rStyle w:val="a4"/>
          <w:rFonts w:hint="eastAsia"/>
          <w:sz w:val="18"/>
          <w:szCs w:val="18"/>
        </w:rPr>
        <w:t> </w:t>
      </w:r>
      <w:r w:rsidRPr="00606927">
        <w:rPr>
          <w:rStyle w:val="a4"/>
          <w:rFonts w:hint="eastAsia"/>
          <w:sz w:val="18"/>
          <w:szCs w:val="18"/>
        </w:rPr>
        <w:t>公司</w:t>
      </w:r>
      <w:r>
        <w:rPr>
          <w:rStyle w:val="a4"/>
          <w:rFonts w:hint="eastAsia"/>
          <w:sz w:val="18"/>
          <w:szCs w:val="18"/>
        </w:rPr>
        <w:t>的业务性质和主要经营活动</w:t>
      </w:r>
    </w:p>
    <w:p w:rsidR="008D4B2E" w:rsidRPr="00606927" w:rsidRDefault="008D4B2E" w:rsidP="00B818D2">
      <w:pPr>
        <w:pStyle w:val="a3"/>
        <w:spacing w:before="0" w:beforeAutospacing="0" w:after="0" w:afterAutospacing="0"/>
        <w:ind w:firstLine="380"/>
        <w:jc w:val="both"/>
        <w:divId w:val="1406106886"/>
        <w:rPr>
          <w:rFonts w:asciiTheme="minorHAnsi" w:eastAsiaTheme="minorEastAsia" w:hAnsiTheme="minorHAnsi" w:cs="Times New Roman"/>
          <w:kern w:val="2"/>
          <w:sz w:val="18"/>
          <w:szCs w:val="18"/>
        </w:rPr>
      </w:pPr>
      <w:r w:rsidRPr="00606927">
        <w:rPr>
          <w:rFonts w:asciiTheme="minorHAnsi" w:eastAsiaTheme="minorEastAsia" w:hAnsiTheme="minorHAnsi" w:cs="Times New Roman" w:hint="eastAsia"/>
          <w:kern w:val="2"/>
          <w:sz w:val="18"/>
          <w:szCs w:val="18"/>
        </w:rPr>
        <w:t>本公司属专用设备制造业。</w:t>
      </w:r>
    </w:p>
    <w:p w:rsidR="008D4B2E" w:rsidRPr="00606927" w:rsidRDefault="008D4B2E" w:rsidP="00B818D2">
      <w:pPr>
        <w:pStyle w:val="a3"/>
        <w:spacing w:before="0" w:beforeAutospacing="0" w:after="0" w:afterAutospacing="0"/>
        <w:ind w:firstLine="380"/>
        <w:jc w:val="both"/>
        <w:divId w:val="1406106886"/>
        <w:rPr>
          <w:rFonts w:asciiTheme="minorHAnsi" w:eastAsiaTheme="minorEastAsia" w:hAnsiTheme="minorHAnsi" w:cs="Times New Roman"/>
          <w:kern w:val="2"/>
          <w:sz w:val="18"/>
          <w:szCs w:val="18"/>
        </w:rPr>
      </w:pPr>
      <w:r w:rsidRPr="00606927">
        <w:rPr>
          <w:rFonts w:asciiTheme="minorHAnsi" w:eastAsiaTheme="minorEastAsia" w:hAnsiTheme="minorHAnsi" w:cs="Times New Roman" w:hint="eastAsia"/>
          <w:kern w:val="2"/>
          <w:sz w:val="18"/>
          <w:szCs w:val="18"/>
        </w:rPr>
        <w:t>经营范围：</w:t>
      </w:r>
      <w:r w:rsidRPr="00606927">
        <w:rPr>
          <w:rFonts w:asciiTheme="minorHAnsi" w:eastAsiaTheme="minorEastAsia" w:hAnsiTheme="minorHAnsi" w:cs="Times New Roman"/>
          <w:kern w:val="2"/>
          <w:sz w:val="18"/>
          <w:szCs w:val="18"/>
        </w:rPr>
        <w:t xml:space="preserve"> </w:t>
      </w:r>
      <w:r w:rsidRPr="00606927">
        <w:rPr>
          <w:rFonts w:asciiTheme="minorHAnsi" w:eastAsiaTheme="minorEastAsia" w:hAnsiTheme="minorHAnsi" w:cs="Times New Roman" w:hint="eastAsia"/>
          <w:kern w:val="2"/>
          <w:sz w:val="18"/>
          <w:szCs w:val="18"/>
        </w:rPr>
        <w:t>机械设备、模具、计算机软硬件、大规模集成电路、自动化系统、网络及监控工程设计、开发、生产、销售、安装、调试、维护；信息化系统的集成、销售、安装、调试、维护；以上业务的技术服务、咨询及培训；自营和代理各类商品和技术的进出口（国家限定公司经营或禁止进出口的商品和技术除外）。（依法须经批准的项目，经相关部门批准后方可开展经营活动）。</w:t>
      </w:r>
    </w:p>
    <w:p w:rsidR="008D4B2E" w:rsidRDefault="008D4B2E" w:rsidP="00B818D2">
      <w:pPr>
        <w:pStyle w:val="a3"/>
        <w:spacing w:before="0" w:beforeAutospacing="0" w:after="0" w:afterAutospacing="0"/>
        <w:ind w:firstLine="380"/>
        <w:jc w:val="both"/>
        <w:divId w:val="1406106886"/>
        <w:rPr>
          <w:rFonts w:ascii="Arial" w:hAnsi="Arial" w:cs="Arial"/>
          <w:sz w:val="18"/>
          <w:szCs w:val="18"/>
        </w:rPr>
      </w:pPr>
      <w:r w:rsidRPr="00606927">
        <w:rPr>
          <w:rFonts w:asciiTheme="minorHAnsi" w:eastAsiaTheme="minorEastAsia" w:hAnsiTheme="minorHAnsi" w:cs="Times New Roman" w:hint="eastAsia"/>
          <w:kern w:val="2"/>
          <w:sz w:val="18"/>
          <w:szCs w:val="18"/>
        </w:rPr>
        <w:t>公司主要产品或提供的劳务：密炼机上辅机系统、小料配料称量系统、轮胎企业管控网络、炼胶系统、内衬层、裁断机、成型机、硫化机、模具、动平衡试验机系统、均匀性试验机、自动化物流系统、工业机器人、粉料输送线、溶剂输送线、浆料输送线、搅拌机、高速</w:t>
      </w:r>
      <w:proofErr w:type="gramStart"/>
      <w:r w:rsidRPr="00606927">
        <w:rPr>
          <w:rFonts w:asciiTheme="minorHAnsi" w:eastAsiaTheme="minorEastAsia" w:hAnsiTheme="minorHAnsi" w:cs="Times New Roman" w:hint="eastAsia"/>
          <w:kern w:val="2"/>
          <w:sz w:val="18"/>
          <w:szCs w:val="18"/>
        </w:rPr>
        <w:t>分散机</w:t>
      </w:r>
      <w:proofErr w:type="gramEnd"/>
      <w:r w:rsidRPr="00606927">
        <w:rPr>
          <w:rFonts w:asciiTheme="minorHAnsi" w:eastAsiaTheme="minorEastAsia" w:hAnsiTheme="minorHAnsi" w:cs="Times New Roman" w:hint="eastAsia"/>
          <w:kern w:val="2"/>
          <w:sz w:val="18"/>
          <w:szCs w:val="18"/>
        </w:rPr>
        <w:t>等软件产品和相关硬件的配套生产和销售、橡胶新材料的研发、生产和销售</w:t>
      </w:r>
      <w:r>
        <w:rPr>
          <w:rFonts w:cs="Arial" w:hint="eastAsia"/>
          <w:sz w:val="18"/>
          <w:szCs w:val="18"/>
        </w:rPr>
        <w:t>。</w:t>
      </w:r>
    </w:p>
    <w:p w:rsidR="008D4B2E" w:rsidRPr="00606927" w:rsidRDefault="008D4B2E" w:rsidP="00B818D2">
      <w:pPr>
        <w:widowControl/>
        <w:numPr>
          <w:ilvl w:val="0"/>
          <w:numId w:val="9"/>
        </w:numPr>
        <w:spacing w:before="100" w:beforeAutospacing="1" w:after="100" w:afterAutospacing="1"/>
        <w:divId w:val="1406106886"/>
        <w:rPr>
          <w:rStyle w:val="a4"/>
        </w:rPr>
      </w:pPr>
      <w:r w:rsidRPr="00606927">
        <w:rPr>
          <w:rStyle w:val="a4"/>
          <w:rFonts w:hint="eastAsia"/>
        </w:rPr>
        <w:t xml:space="preserve">  </w:t>
      </w:r>
      <w:r w:rsidRPr="00606927">
        <w:rPr>
          <w:rStyle w:val="a4"/>
          <w:rFonts w:hint="eastAsia"/>
          <w:sz w:val="18"/>
          <w:szCs w:val="18"/>
        </w:rPr>
        <w:t>财务报告的批准报出</w:t>
      </w:r>
    </w:p>
    <w:p w:rsidR="008D4B2E" w:rsidRPr="00606927" w:rsidRDefault="008D4B2E" w:rsidP="00B818D2">
      <w:pPr>
        <w:pStyle w:val="a3"/>
        <w:spacing w:before="0" w:beforeAutospacing="0" w:after="0" w:afterAutospacing="0"/>
        <w:ind w:left="426"/>
        <w:jc w:val="both"/>
        <w:textAlignment w:val="baseline"/>
        <w:divId w:val="1406106886"/>
        <w:rPr>
          <w:rFonts w:asciiTheme="minorHAnsi" w:eastAsiaTheme="minorEastAsia" w:hAnsiTheme="minorHAnsi" w:cs="Times New Roman"/>
          <w:kern w:val="2"/>
          <w:sz w:val="18"/>
          <w:szCs w:val="18"/>
        </w:rPr>
      </w:pPr>
      <w:r w:rsidRPr="00606927">
        <w:rPr>
          <w:rFonts w:asciiTheme="minorHAnsi" w:eastAsiaTheme="minorEastAsia" w:hAnsiTheme="minorHAnsi" w:cs="Times New Roman" w:hint="eastAsia"/>
          <w:kern w:val="2"/>
          <w:sz w:val="18"/>
          <w:szCs w:val="18"/>
        </w:rPr>
        <w:t>本财务报表已经本公司董事会于</w:t>
      </w:r>
      <w:r w:rsidRPr="00606927">
        <w:rPr>
          <w:rFonts w:asciiTheme="minorHAnsi" w:eastAsiaTheme="minorEastAsia" w:hAnsiTheme="minorHAnsi" w:cs="Times New Roman"/>
          <w:kern w:val="2"/>
          <w:sz w:val="18"/>
          <w:szCs w:val="18"/>
        </w:rPr>
        <w:t>2024</w:t>
      </w:r>
      <w:r w:rsidRPr="00606927">
        <w:rPr>
          <w:rFonts w:asciiTheme="minorHAnsi" w:eastAsiaTheme="minorEastAsia" w:hAnsiTheme="minorHAnsi" w:cs="Times New Roman" w:hint="eastAsia"/>
          <w:kern w:val="2"/>
          <w:sz w:val="18"/>
          <w:szCs w:val="18"/>
        </w:rPr>
        <w:t>年</w:t>
      </w:r>
      <w:r w:rsidRPr="00606927">
        <w:rPr>
          <w:rFonts w:asciiTheme="minorHAnsi" w:eastAsiaTheme="minorEastAsia" w:hAnsiTheme="minorHAnsi" w:cs="Times New Roman"/>
          <w:kern w:val="2"/>
          <w:sz w:val="18"/>
          <w:szCs w:val="18"/>
        </w:rPr>
        <w:t>4</w:t>
      </w:r>
      <w:r w:rsidRPr="00606927">
        <w:rPr>
          <w:rFonts w:asciiTheme="minorHAnsi" w:eastAsiaTheme="minorEastAsia" w:hAnsiTheme="minorHAnsi" w:cs="Times New Roman" w:hint="eastAsia"/>
          <w:kern w:val="2"/>
          <w:sz w:val="18"/>
          <w:szCs w:val="18"/>
        </w:rPr>
        <w:t>月</w:t>
      </w:r>
      <w:r w:rsidRPr="00606927">
        <w:rPr>
          <w:rFonts w:asciiTheme="minorHAnsi" w:eastAsiaTheme="minorEastAsia" w:hAnsiTheme="minorHAnsi" w:cs="Times New Roman"/>
          <w:kern w:val="2"/>
          <w:sz w:val="18"/>
          <w:szCs w:val="18"/>
        </w:rPr>
        <w:t>1</w:t>
      </w:r>
      <w:r w:rsidRPr="00606927">
        <w:rPr>
          <w:rFonts w:asciiTheme="minorHAnsi" w:eastAsiaTheme="minorEastAsia" w:hAnsiTheme="minorHAnsi" w:cs="Times New Roman" w:hint="eastAsia"/>
          <w:kern w:val="2"/>
          <w:sz w:val="18"/>
          <w:szCs w:val="18"/>
        </w:rPr>
        <w:t>日决议批准报出。</w:t>
      </w:r>
    </w:p>
    <w:p w:rsidR="008D4B2E" w:rsidRPr="00606927" w:rsidRDefault="008D4B2E" w:rsidP="00B818D2">
      <w:pPr>
        <w:widowControl/>
        <w:numPr>
          <w:ilvl w:val="0"/>
          <w:numId w:val="10"/>
        </w:numPr>
        <w:spacing w:before="100" w:beforeAutospacing="1" w:after="100" w:afterAutospacing="1"/>
        <w:divId w:val="1406106886"/>
        <w:rPr>
          <w:rStyle w:val="a4"/>
        </w:rPr>
      </w:pPr>
      <w:r>
        <w:rPr>
          <w:rFonts w:cs="Arial" w:hint="eastAsia"/>
          <w:szCs w:val="21"/>
        </w:rPr>
        <w:t xml:space="preserve">  </w:t>
      </w:r>
      <w:r w:rsidRPr="00606927">
        <w:rPr>
          <w:rStyle w:val="a4"/>
          <w:rFonts w:hint="eastAsia"/>
          <w:sz w:val="18"/>
          <w:szCs w:val="18"/>
        </w:rPr>
        <w:t>合并报表范围</w:t>
      </w:r>
    </w:p>
    <w:p w:rsidR="008D4B2E" w:rsidRDefault="008D4B2E" w:rsidP="00606927">
      <w:pPr>
        <w:pStyle w:val="a3"/>
        <w:spacing w:before="0" w:beforeAutospacing="0" w:after="0" w:afterAutospacing="0" w:line="400" w:lineRule="atLeast"/>
        <w:ind w:firstLineChars="200" w:firstLine="360"/>
        <w:jc w:val="both"/>
        <w:divId w:val="1406106886"/>
        <w:rPr>
          <w:sz w:val="18"/>
          <w:szCs w:val="18"/>
        </w:rPr>
      </w:pPr>
      <w:r w:rsidRPr="00606927">
        <w:rPr>
          <w:rFonts w:hint="eastAsia"/>
          <w:sz w:val="18"/>
          <w:szCs w:val="18"/>
        </w:rPr>
        <w:t>截至</w:t>
      </w:r>
      <w:r w:rsidRPr="00606927">
        <w:rPr>
          <w:sz w:val="18"/>
          <w:szCs w:val="18"/>
        </w:rPr>
        <w:t>2023</w:t>
      </w:r>
      <w:r w:rsidRPr="00606927">
        <w:rPr>
          <w:rFonts w:hint="eastAsia"/>
          <w:sz w:val="18"/>
          <w:szCs w:val="18"/>
        </w:rPr>
        <w:t>年</w:t>
      </w:r>
      <w:r w:rsidRPr="00606927">
        <w:rPr>
          <w:sz w:val="18"/>
          <w:szCs w:val="18"/>
        </w:rPr>
        <w:t>12</w:t>
      </w:r>
      <w:r w:rsidRPr="00606927">
        <w:rPr>
          <w:rFonts w:hint="eastAsia"/>
          <w:sz w:val="18"/>
          <w:szCs w:val="18"/>
        </w:rPr>
        <w:t>月</w:t>
      </w:r>
      <w:r w:rsidRPr="00606927">
        <w:rPr>
          <w:sz w:val="18"/>
          <w:szCs w:val="18"/>
        </w:rPr>
        <w:t>31</w:t>
      </w:r>
      <w:r w:rsidRPr="00606927">
        <w:rPr>
          <w:rFonts w:hint="eastAsia"/>
          <w:sz w:val="18"/>
          <w:szCs w:val="18"/>
        </w:rPr>
        <w:t>日止，本公司合并财务报表范围内子公司如下：</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36"/>
        <w:gridCol w:w="4846"/>
        <w:gridCol w:w="2902"/>
      </w:tblGrid>
      <w:tr w:rsidR="008D4B2E" w:rsidTr="007E18D0">
        <w:trPr>
          <w:divId w:val="1406106886"/>
          <w:trHeight w:val="340"/>
        </w:trPr>
        <w:tc>
          <w:tcPr>
            <w:tcW w:w="1036" w:type="dxa"/>
            <w:shd w:val="clear" w:color="auto" w:fill="D3D3D3"/>
            <w:tcMar>
              <w:top w:w="0" w:type="dxa"/>
              <w:left w:w="108" w:type="dxa"/>
              <w:bottom w:w="0" w:type="dxa"/>
              <w:right w:w="108" w:type="dxa"/>
            </w:tcMar>
            <w:vAlign w:val="center"/>
            <w:hideMark/>
          </w:tcPr>
          <w:p w:rsidR="008D4B2E" w:rsidRPr="00B818D2" w:rsidRDefault="008D4B2E">
            <w:pPr>
              <w:pStyle w:val="a3"/>
              <w:spacing w:before="0" w:beforeAutospacing="0" w:after="0" w:afterAutospacing="0"/>
              <w:jc w:val="both"/>
              <w:rPr>
                <w:rFonts w:ascii="Arial" w:hAnsi="Arial" w:cs="Arial"/>
                <w:b/>
                <w:sz w:val="20"/>
                <w:szCs w:val="20"/>
              </w:rPr>
            </w:pPr>
            <w:r w:rsidRPr="00B818D2">
              <w:rPr>
                <w:rStyle w:val="a4"/>
                <w:rFonts w:cs="Arial" w:hint="eastAsia"/>
                <w:b w:val="0"/>
                <w:sz w:val="20"/>
                <w:szCs w:val="20"/>
              </w:rPr>
              <w:t>序号</w:t>
            </w:r>
          </w:p>
        </w:tc>
        <w:tc>
          <w:tcPr>
            <w:tcW w:w="4846" w:type="dxa"/>
            <w:shd w:val="clear" w:color="auto" w:fill="D3D3D3"/>
            <w:tcMar>
              <w:top w:w="0" w:type="dxa"/>
              <w:left w:w="108" w:type="dxa"/>
              <w:bottom w:w="0" w:type="dxa"/>
              <w:right w:w="108" w:type="dxa"/>
            </w:tcMar>
            <w:vAlign w:val="center"/>
            <w:hideMark/>
          </w:tcPr>
          <w:p w:rsidR="008D4B2E" w:rsidRPr="00B818D2" w:rsidRDefault="008D4B2E">
            <w:pPr>
              <w:pStyle w:val="a3"/>
              <w:spacing w:before="0" w:beforeAutospacing="0" w:after="0" w:afterAutospacing="0"/>
              <w:rPr>
                <w:rFonts w:ascii="Arial" w:hAnsi="Arial" w:cs="Arial"/>
                <w:b/>
                <w:sz w:val="20"/>
                <w:szCs w:val="20"/>
              </w:rPr>
            </w:pPr>
            <w:r w:rsidRPr="00B818D2">
              <w:rPr>
                <w:rStyle w:val="a4"/>
                <w:rFonts w:cs="Arial" w:hint="eastAsia"/>
                <w:b w:val="0"/>
                <w:sz w:val="20"/>
                <w:szCs w:val="20"/>
              </w:rPr>
              <w:t>单位名称</w:t>
            </w:r>
          </w:p>
        </w:tc>
        <w:tc>
          <w:tcPr>
            <w:tcW w:w="2902" w:type="dxa"/>
            <w:shd w:val="clear" w:color="auto" w:fill="D3D3D3"/>
            <w:tcMar>
              <w:top w:w="0" w:type="dxa"/>
              <w:left w:w="108" w:type="dxa"/>
              <w:bottom w:w="0" w:type="dxa"/>
              <w:right w:w="108" w:type="dxa"/>
            </w:tcMar>
            <w:vAlign w:val="center"/>
            <w:hideMark/>
          </w:tcPr>
          <w:p w:rsidR="008D4B2E" w:rsidRPr="00B818D2" w:rsidRDefault="008D4B2E">
            <w:pPr>
              <w:pStyle w:val="a3"/>
              <w:spacing w:before="0" w:beforeAutospacing="0" w:after="0" w:afterAutospacing="0"/>
              <w:rPr>
                <w:rFonts w:ascii="Arial" w:hAnsi="Arial" w:cs="Arial"/>
                <w:b/>
                <w:sz w:val="20"/>
                <w:szCs w:val="20"/>
              </w:rPr>
            </w:pPr>
            <w:r w:rsidRPr="00B818D2">
              <w:rPr>
                <w:rStyle w:val="a4"/>
                <w:rFonts w:cs="Arial" w:hint="eastAsia"/>
                <w:b w:val="0"/>
                <w:sz w:val="20"/>
                <w:szCs w:val="20"/>
              </w:rPr>
              <w:t>简称</w:t>
            </w:r>
          </w:p>
        </w:tc>
      </w:tr>
      <w:tr w:rsidR="008D4B2E" w:rsidTr="007E18D0">
        <w:trPr>
          <w:divId w:val="1406106886"/>
          <w:trHeight w:val="340"/>
        </w:trPr>
        <w:tc>
          <w:tcPr>
            <w:tcW w:w="1036" w:type="dxa"/>
            <w:shd w:val="clear" w:color="auto" w:fill="D3D3D3"/>
            <w:noWrap/>
            <w:tcMar>
              <w:top w:w="0" w:type="dxa"/>
              <w:left w:w="108" w:type="dxa"/>
              <w:bottom w:w="0" w:type="dxa"/>
              <w:right w:w="108" w:type="dxa"/>
            </w:tcMar>
            <w:vAlign w:val="center"/>
            <w:hideMark/>
          </w:tcPr>
          <w:p w:rsidR="008D4B2E" w:rsidRDefault="008D4B2E">
            <w:pPr>
              <w:pStyle w:val="a3"/>
              <w:spacing w:before="0" w:beforeAutospacing="0" w:after="0" w:afterAutospacing="0"/>
              <w:rPr>
                <w:rFonts w:ascii="Arial" w:hAnsi="Arial" w:cs="Arial"/>
                <w:sz w:val="20"/>
                <w:szCs w:val="20"/>
              </w:rPr>
            </w:pPr>
            <w:r>
              <w:rPr>
                <w:rFonts w:ascii="Arial" w:hAnsi="Arial" w:cs="Arial"/>
                <w:sz w:val="20"/>
                <w:szCs w:val="20"/>
              </w:rPr>
              <w:t>1</w:t>
            </w:r>
          </w:p>
        </w:tc>
        <w:tc>
          <w:tcPr>
            <w:tcW w:w="4846" w:type="dxa"/>
            <w:noWrap/>
            <w:tcMar>
              <w:top w:w="0" w:type="dxa"/>
              <w:left w:w="108" w:type="dxa"/>
              <w:bottom w:w="0" w:type="dxa"/>
              <w:right w:w="108" w:type="dxa"/>
            </w:tcMar>
            <w:vAlign w:val="center"/>
            <w:hideMark/>
          </w:tcPr>
          <w:p w:rsidR="008D4B2E" w:rsidRPr="00606927" w:rsidRDefault="008D4B2E">
            <w:pPr>
              <w:pStyle w:val="a3"/>
              <w:spacing w:before="0" w:beforeAutospacing="0" w:after="0" w:afterAutospacing="0"/>
              <w:rPr>
                <w:rFonts w:asciiTheme="minorHAnsi" w:eastAsiaTheme="minorEastAsia" w:hAnsiTheme="minorHAnsi" w:cs="Times New Roman"/>
                <w:kern w:val="2"/>
                <w:sz w:val="18"/>
                <w:szCs w:val="18"/>
              </w:rPr>
            </w:pPr>
            <w:proofErr w:type="gramStart"/>
            <w:r w:rsidRPr="00606927">
              <w:rPr>
                <w:rFonts w:asciiTheme="minorHAnsi" w:eastAsiaTheme="minorEastAsia" w:hAnsiTheme="minorHAnsi" w:cs="Times New Roman" w:hint="eastAsia"/>
                <w:kern w:val="2"/>
                <w:sz w:val="18"/>
                <w:szCs w:val="18"/>
              </w:rPr>
              <w:t>软控股份有限公司</w:t>
            </w:r>
            <w:proofErr w:type="gramEnd"/>
          </w:p>
        </w:tc>
        <w:tc>
          <w:tcPr>
            <w:tcW w:w="2902" w:type="dxa"/>
            <w:noWrap/>
            <w:tcMar>
              <w:top w:w="0" w:type="dxa"/>
              <w:left w:w="108" w:type="dxa"/>
              <w:bottom w:w="0" w:type="dxa"/>
              <w:right w:w="108" w:type="dxa"/>
            </w:tcMar>
            <w:vAlign w:val="center"/>
            <w:hideMark/>
          </w:tcPr>
          <w:p w:rsidR="008D4B2E" w:rsidRPr="00606927" w:rsidRDefault="008D4B2E">
            <w:pPr>
              <w:pStyle w:val="a3"/>
              <w:spacing w:before="0" w:beforeAutospacing="0" w:after="0" w:afterAutospacing="0"/>
              <w:rPr>
                <w:rFonts w:asciiTheme="minorHAnsi" w:eastAsiaTheme="minorEastAsia" w:hAnsiTheme="minorHAnsi" w:cs="Times New Roman"/>
                <w:kern w:val="2"/>
                <w:sz w:val="18"/>
                <w:szCs w:val="18"/>
              </w:rPr>
            </w:pPr>
            <w:r w:rsidRPr="00606927">
              <w:rPr>
                <w:rFonts w:asciiTheme="minorHAnsi" w:eastAsiaTheme="minorEastAsia" w:hAnsiTheme="minorHAnsi" w:cs="Times New Roman" w:hint="eastAsia"/>
                <w:kern w:val="2"/>
                <w:sz w:val="18"/>
                <w:szCs w:val="18"/>
              </w:rPr>
              <w:t>软控股份</w:t>
            </w:r>
          </w:p>
        </w:tc>
      </w:tr>
      <w:tr w:rsidR="008D4B2E" w:rsidTr="007E18D0">
        <w:trPr>
          <w:divId w:val="1406106886"/>
          <w:trHeight w:val="340"/>
        </w:trPr>
        <w:tc>
          <w:tcPr>
            <w:tcW w:w="1036" w:type="dxa"/>
            <w:shd w:val="clear" w:color="auto" w:fill="D3D3D3"/>
            <w:noWrap/>
            <w:tcMar>
              <w:top w:w="0" w:type="dxa"/>
              <w:left w:w="108" w:type="dxa"/>
              <w:bottom w:w="0" w:type="dxa"/>
              <w:right w:w="108" w:type="dxa"/>
            </w:tcMar>
            <w:vAlign w:val="center"/>
            <w:hideMark/>
          </w:tcPr>
          <w:p w:rsidR="008D4B2E" w:rsidRDefault="008D4B2E">
            <w:pPr>
              <w:pStyle w:val="a3"/>
              <w:spacing w:before="0" w:beforeAutospacing="0" w:after="0" w:afterAutospacing="0"/>
              <w:rPr>
                <w:rFonts w:ascii="Arial" w:hAnsi="Arial" w:cs="Arial"/>
                <w:sz w:val="20"/>
                <w:szCs w:val="20"/>
              </w:rPr>
            </w:pPr>
            <w:r>
              <w:rPr>
                <w:rFonts w:ascii="Arial" w:hAnsi="Arial" w:cs="Arial"/>
                <w:sz w:val="20"/>
                <w:szCs w:val="20"/>
              </w:rPr>
              <w:t>2</w:t>
            </w:r>
          </w:p>
        </w:tc>
        <w:tc>
          <w:tcPr>
            <w:tcW w:w="4846" w:type="dxa"/>
            <w:noWrap/>
            <w:tcMar>
              <w:top w:w="0" w:type="dxa"/>
              <w:left w:w="108" w:type="dxa"/>
              <w:bottom w:w="0" w:type="dxa"/>
              <w:right w:w="108" w:type="dxa"/>
            </w:tcMar>
            <w:vAlign w:val="center"/>
            <w:hideMark/>
          </w:tcPr>
          <w:p w:rsidR="008D4B2E" w:rsidRPr="00606927" w:rsidRDefault="008D4B2E">
            <w:pPr>
              <w:pStyle w:val="a3"/>
              <w:spacing w:before="0" w:beforeAutospacing="0" w:after="0" w:afterAutospacing="0"/>
              <w:rPr>
                <w:rFonts w:asciiTheme="minorHAnsi" w:eastAsiaTheme="minorEastAsia" w:hAnsiTheme="minorHAnsi" w:cs="Times New Roman"/>
                <w:kern w:val="2"/>
                <w:sz w:val="18"/>
                <w:szCs w:val="18"/>
              </w:rPr>
            </w:pPr>
            <w:proofErr w:type="gramStart"/>
            <w:r w:rsidRPr="00606927">
              <w:rPr>
                <w:rFonts w:asciiTheme="minorHAnsi" w:eastAsiaTheme="minorEastAsia" w:hAnsiTheme="minorHAnsi" w:cs="Times New Roman" w:hint="eastAsia"/>
                <w:kern w:val="2"/>
                <w:sz w:val="18"/>
                <w:szCs w:val="18"/>
              </w:rPr>
              <w:t>青岛软控机电工程</w:t>
            </w:r>
            <w:proofErr w:type="gramEnd"/>
            <w:r w:rsidRPr="00606927">
              <w:rPr>
                <w:rFonts w:asciiTheme="minorHAnsi" w:eastAsiaTheme="minorEastAsia" w:hAnsiTheme="minorHAnsi" w:cs="Times New Roman" w:hint="eastAsia"/>
                <w:kern w:val="2"/>
                <w:sz w:val="18"/>
                <w:szCs w:val="18"/>
              </w:rPr>
              <w:t>有限公司</w:t>
            </w:r>
          </w:p>
        </w:tc>
        <w:tc>
          <w:tcPr>
            <w:tcW w:w="2902" w:type="dxa"/>
            <w:noWrap/>
            <w:tcMar>
              <w:top w:w="0" w:type="dxa"/>
              <w:left w:w="108" w:type="dxa"/>
              <w:bottom w:w="0" w:type="dxa"/>
              <w:right w:w="108" w:type="dxa"/>
            </w:tcMar>
            <w:vAlign w:val="center"/>
            <w:hideMark/>
          </w:tcPr>
          <w:p w:rsidR="008D4B2E" w:rsidRPr="00606927" w:rsidRDefault="008D4B2E">
            <w:pPr>
              <w:pStyle w:val="a3"/>
              <w:spacing w:before="0" w:beforeAutospacing="0" w:after="0" w:afterAutospacing="0"/>
              <w:rPr>
                <w:rFonts w:asciiTheme="minorHAnsi" w:eastAsiaTheme="minorEastAsia" w:hAnsiTheme="minorHAnsi" w:cs="Times New Roman"/>
                <w:kern w:val="2"/>
                <w:sz w:val="18"/>
                <w:szCs w:val="18"/>
              </w:rPr>
            </w:pPr>
            <w:proofErr w:type="gramStart"/>
            <w:r w:rsidRPr="00606927">
              <w:rPr>
                <w:rFonts w:asciiTheme="minorHAnsi" w:eastAsiaTheme="minorEastAsia" w:hAnsiTheme="minorHAnsi" w:cs="Times New Roman" w:hint="eastAsia"/>
                <w:kern w:val="2"/>
                <w:sz w:val="18"/>
                <w:szCs w:val="18"/>
              </w:rPr>
              <w:t>软控机电</w:t>
            </w:r>
            <w:proofErr w:type="gramEnd"/>
          </w:p>
        </w:tc>
      </w:tr>
      <w:tr w:rsidR="008D4B2E" w:rsidTr="007E18D0">
        <w:trPr>
          <w:divId w:val="1406106886"/>
          <w:trHeight w:val="340"/>
        </w:trPr>
        <w:tc>
          <w:tcPr>
            <w:tcW w:w="1036" w:type="dxa"/>
            <w:shd w:val="clear" w:color="auto" w:fill="D3D3D3"/>
            <w:noWrap/>
            <w:tcMar>
              <w:top w:w="0" w:type="dxa"/>
              <w:left w:w="108" w:type="dxa"/>
              <w:bottom w:w="0" w:type="dxa"/>
              <w:right w:w="108" w:type="dxa"/>
            </w:tcMar>
            <w:vAlign w:val="center"/>
            <w:hideMark/>
          </w:tcPr>
          <w:p w:rsidR="008D4B2E" w:rsidRDefault="008D4B2E">
            <w:pPr>
              <w:pStyle w:val="a3"/>
              <w:spacing w:before="0" w:beforeAutospacing="0" w:after="0" w:afterAutospacing="0"/>
              <w:rPr>
                <w:rFonts w:ascii="Arial" w:hAnsi="Arial" w:cs="Arial"/>
                <w:sz w:val="20"/>
                <w:szCs w:val="20"/>
              </w:rPr>
            </w:pPr>
            <w:r>
              <w:rPr>
                <w:rFonts w:ascii="Arial" w:hAnsi="Arial" w:cs="Arial"/>
                <w:sz w:val="20"/>
                <w:szCs w:val="20"/>
              </w:rPr>
              <w:t>3</w:t>
            </w:r>
          </w:p>
        </w:tc>
        <w:tc>
          <w:tcPr>
            <w:tcW w:w="4846" w:type="dxa"/>
            <w:noWrap/>
            <w:tcMar>
              <w:top w:w="0" w:type="dxa"/>
              <w:left w:w="108" w:type="dxa"/>
              <w:bottom w:w="0" w:type="dxa"/>
              <w:right w:w="108" w:type="dxa"/>
            </w:tcMar>
            <w:vAlign w:val="center"/>
            <w:hideMark/>
          </w:tcPr>
          <w:p w:rsidR="008D4B2E" w:rsidRPr="00606927" w:rsidRDefault="008D4B2E">
            <w:pPr>
              <w:pStyle w:val="a3"/>
              <w:spacing w:before="0" w:beforeAutospacing="0" w:after="0" w:afterAutospacing="0"/>
              <w:rPr>
                <w:rFonts w:asciiTheme="minorHAnsi" w:eastAsiaTheme="minorEastAsia" w:hAnsiTheme="minorHAnsi" w:cs="Times New Roman"/>
                <w:kern w:val="2"/>
                <w:sz w:val="18"/>
                <w:szCs w:val="18"/>
              </w:rPr>
            </w:pPr>
            <w:r w:rsidRPr="00606927">
              <w:rPr>
                <w:rFonts w:asciiTheme="minorHAnsi" w:eastAsiaTheme="minorEastAsia" w:hAnsiTheme="minorHAnsi" w:cs="Times New Roman" w:hint="eastAsia"/>
                <w:kern w:val="2"/>
                <w:sz w:val="18"/>
                <w:szCs w:val="18"/>
              </w:rPr>
              <w:t>北京敬业机械设备有限公司</w:t>
            </w:r>
          </w:p>
        </w:tc>
        <w:tc>
          <w:tcPr>
            <w:tcW w:w="2902" w:type="dxa"/>
            <w:noWrap/>
            <w:tcMar>
              <w:top w:w="0" w:type="dxa"/>
              <w:left w:w="108" w:type="dxa"/>
              <w:bottom w:w="0" w:type="dxa"/>
              <w:right w:w="108" w:type="dxa"/>
            </w:tcMar>
            <w:vAlign w:val="center"/>
            <w:hideMark/>
          </w:tcPr>
          <w:p w:rsidR="008D4B2E" w:rsidRPr="00606927" w:rsidRDefault="008D4B2E">
            <w:pPr>
              <w:pStyle w:val="a3"/>
              <w:spacing w:before="0" w:beforeAutospacing="0" w:after="0" w:afterAutospacing="0"/>
              <w:rPr>
                <w:rFonts w:asciiTheme="minorHAnsi" w:eastAsiaTheme="minorEastAsia" w:hAnsiTheme="minorHAnsi" w:cs="Times New Roman"/>
                <w:kern w:val="2"/>
                <w:sz w:val="18"/>
                <w:szCs w:val="18"/>
              </w:rPr>
            </w:pPr>
            <w:r w:rsidRPr="00606927">
              <w:rPr>
                <w:rFonts w:asciiTheme="minorHAnsi" w:eastAsiaTheme="minorEastAsia" w:hAnsiTheme="minorHAnsi" w:cs="Times New Roman" w:hint="eastAsia"/>
                <w:kern w:val="2"/>
                <w:sz w:val="18"/>
                <w:szCs w:val="18"/>
              </w:rPr>
              <w:t>敬业机械</w:t>
            </w:r>
          </w:p>
        </w:tc>
      </w:tr>
      <w:tr w:rsidR="008D4B2E" w:rsidTr="007E18D0">
        <w:trPr>
          <w:divId w:val="1406106886"/>
          <w:trHeight w:val="340"/>
        </w:trPr>
        <w:tc>
          <w:tcPr>
            <w:tcW w:w="1036" w:type="dxa"/>
            <w:shd w:val="clear" w:color="auto" w:fill="D3D3D3"/>
            <w:noWrap/>
            <w:tcMar>
              <w:top w:w="0" w:type="dxa"/>
              <w:left w:w="108" w:type="dxa"/>
              <w:bottom w:w="0" w:type="dxa"/>
              <w:right w:w="108" w:type="dxa"/>
            </w:tcMar>
            <w:vAlign w:val="center"/>
            <w:hideMark/>
          </w:tcPr>
          <w:p w:rsidR="008D4B2E" w:rsidRDefault="008D4B2E">
            <w:pPr>
              <w:pStyle w:val="a3"/>
              <w:spacing w:before="0" w:beforeAutospacing="0" w:after="0" w:afterAutospacing="0"/>
              <w:rPr>
                <w:rFonts w:ascii="Arial" w:hAnsi="Arial" w:cs="Arial"/>
                <w:sz w:val="20"/>
                <w:szCs w:val="20"/>
              </w:rPr>
            </w:pPr>
            <w:r>
              <w:rPr>
                <w:rFonts w:ascii="Arial" w:hAnsi="Arial" w:cs="Arial"/>
                <w:sz w:val="20"/>
                <w:szCs w:val="20"/>
              </w:rPr>
              <w:t>4</w:t>
            </w:r>
          </w:p>
        </w:tc>
        <w:tc>
          <w:tcPr>
            <w:tcW w:w="4846" w:type="dxa"/>
            <w:noWrap/>
            <w:tcMar>
              <w:top w:w="0" w:type="dxa"/>
              <w:left w:w="108" w:type="dxa"/>
              <w:bottom w:w="0" w:type="dxa"/>
              <w:right w:w="108" w:type="dxa"/>
            </w:tcMar>
            <w:vAlign w:val="center"/>
            <w:hideMark/>
          </w:tcPr>
          <w:p w:rsidR="008D4B2E" w:rsidRPr="00606927" w:rsidRDefault="008D4B2E">
            <w:pPr>
              <w:pStyle w:val="a3"/>
              <w:spacing w:before="0" w:beforeAutospacing="0" w:after="0" w:afterAutospacing="0"/>
              <w:rPr>
                <w:rFonts w:asciiTheme="minorHAnsi" w:eastAsiaTheme="minorEastAsia" w:hAnsiTheme="minorHAnsi" w:cs="Times New Roman"/>
                <w:kern w:val="2"/>
                <w:sz w:val="18"/>
                <w:szCs w:val="18"/>
              </w:rPr>
            </w:pPr>
            <w:r w:rsidRPr="00606927">
              <w:rPr>
                <w:rFonts w:asciiTheme="minorHAnsi" w:eastAsiaTheme="minorEastAsia" w:hAnsiTheme="minorHAnsi" w:cs="Times New Roman" w:hint="eastAsia"/>
                <w:kern w:val="2"/>
                <w:sz w:val="18"/>
                <w:szCs w:val="18"/>
              </w:rPr>
              <w:t>天津敬业园机械设备有限公司</w:t>
            </w:r>
          </w:p>
        </w:tc>
        <w:tc>
          <w:tcPr>
            <w:tcW w:w="2902" w:type="dxa"/>
            <w:noWrap/>
            <w:tcMar>
              <w:top w:w="0" w:type="dxa"/>
              <w:left w:w="108" w:type="dxa"/>
              <w:bottom w:w="0" w:type="dxa"/>
              <w:right w:w="108" w:type="dxa"/>
            </w:tcMar>
            <w:vAlign w:val="center"/>
            <w:hideMark/>
          </w:tcPr>
          <w:p w:rsidR="008D4B2E" w:rsidRPr="00606927" w:rsidRDefault="008D4B2E">
            <w:pPr>
              <w:pStyle w:val="a3"/>
              <w:spacing w:before="0" w:beforeAutospacing="0" w:after="0" w:afterAutospacing="0"/>
              <w:rPr>
                <w:rFonts w:asciiTheme="minorHAnsi" w:eastAsiaTheme="minorEastAsia" w:hAnsiTheme="minorHAnsi" w:cs="Times New Roman"/>
                <w:kern w:val="2"/>
                <w:sz w:val="18"/>
                <w:szCs w:val="18"/>
              </w:rPr>
            </w:pPr>
            <w:r w:rsidRPr="00606927">
              <w:rPr>
                <w:rFonts w:asciiTheme="minorHAnsi" w:eastAsiaTheme="minorEastAsia" w:hAnsiTheme="minorHAnsi" w:cs="Times New Roman" w:hint="eastAsia"/>
                <w:kern w:val="2"/>
                <w:sz w:val="18"/>
                <w:szCs w:val="18"/>
              </w:rPr>
              <w:t>敬业园</w:t>
            </w:r>
          </w:p>
        </w:tc>
      </w:tr>
      <w:tr w:rsidR="008D4B2E" w:rsidTr="007E18D0">
        <w:trPr>
          <w:divId w:val="1406106886"/>
          <w:trHeight w:val="340"/>
        </w:trPr>
        <w:tc>
          <w:tcPr>
            <w:tcW w:w="1036" w:type="dxa"/>
            <w:shd w:val="clear" w:color="auto" w:fill="D3D3D3"/>
            <w:noWrap/>
            <w:tcMar>
              <w:top w:w="0" w:type="dxa"/>
              <w:left w:w="108" w:type="dxa"/>
              <w:bottom w:w="0" w:type="dxa"/>
              <w:right w:w="108" w:type="dxa"/>
            </w:tcMar>
            <w:vAlign w:val="center"/>
            <w:hideMark/>
          </w:tcPr>
          <w:p w:rsidR="008D4B2E" w:rsidRDefault="008D4B2E">
            <w:pPr>
              <w:pStyle w:val="a3"/>
              <w:spacing w:before="0" w:beforeAutospacing="0" w:after="0" w:afterAutospacing="0"/>
              <w:rPr>
                <w:rFonts w:ascii="Arial" w:hAnsi="Arial" w:cs="Arial"/>
                <w:sz w:val="20"/>
                <w:szCs w:val="20"/>
              </w:rPr>
            </w:pPr>
            <w:r>
              <w:rPr>
                <w:rFonts w:ascii="Arial" w:hAnsi="Arial" w:cs="Arial"/>
                <w:sz w:val="20"/>
                <w:szCs w:val="20"/>
              </w:rPr>
              <w:t>5</w:t>
            </w:r>
          </w:p>
        </w:tc>
        <w:tc>
          <w:tcPr>
            <w:tcW w:w="4846" w:type="dxa"/>
            <w:noWrap/>
            <w:tcMar>
              <w:top w:w="0" w:type="dxa"/>
              <w:left w:w="108" w:type="dxa"/>
              <w:bottom w:w="0" w:type="dxa"/>
              <w:right w:w="108" w:type="dxa"/>
            </w:tcMar>
            <w:vAlign w:val="center"/>
            <w:hideMark/>
          </w:tcPr>
          <w:p w:rsidR="008D4B2E" w:rsidRPr="00606927" w:rsidRDefault="008D4B2E">
            <w:pPr>
              <w:pStyle w:val="a3"/>
              <w:spacing w:before="0" w:beforeAutospacing="0" w:after="0" w:afterAutospacing="0"/>
              <w:rPr>
                <w:rFonts w:asciiTheme="minorHAnsi" w:eastAsiaTheme="minorEastAsia" w:hAnsiTheme="minorHAnsi" w:cs="Times New Roman"/>
                <w:kern w:val="2"/>
                <w:sz w:val="18"/>
                <w:szCs w:val="18"/>
              </w:rPr>
            </w:pPr>
            <w:r w:rsidRPr="00606927">
              <w:rPr>
                <w:rFonts w:asciiTheme="minorHAnsi" w:eastAsiaTheme="minorEastAsia" w:hAnsiTheme="minorHAnsi" w:cs="Times New Roman" w:hint="eastAsia"/>
                <w:kern w:val="2"/>
                <w:sz w:val="18"/>
                <w:szCs w:val="18"/>
              </w:rPr>
              <w:t>北京敬业机电科技发展有限公司</w:t>
            </w:r>
          </w:p>
        </w:tc>
        <w:tc>
          <w:tcPr>
            <w:tcW w:w="2902" w:type="dxa"/>
            <w:noWrap/>
            <w:tcMar>
              <w:top w:w="0" w:type="dxa"/>
              <w:left w:w="108" w:type="dxa"/>
              <w:bottom w:w="0" w:type="dxa"/>
              <w:right w:w="108" w:type="dxa"/>
            </w:tcMar>
            <w:vAlign w:val="center"/>
            <w:hideMark/>
          </w:tcPr>
          <w:p w:rsidR="008D4B2E" w:rsidRPr="00606927" w:rsidRDefault="008D4B2E">
            <w:pPr>
              <w:pStyle w:val="a3"/>
              <w:spacing w:before="0" w:beforeAutospacing="0" w:after="0" w:afterAutospacing="0"/>
              <w:rPr>
                <w:rFonts w:asciiTheme="minorHAnsi" w:eastAsiaTheme="minorEastAsia" w:hAnsiTheme="minorHAnsi" w:cs="Times New Roman"/>
                <w:kern w:val="2"/>
                <w:sz w:val="18"/>
                <w:szCs w:val="18"/>
              </w:rPr>
            </w:pPr>
            <w:r w:rsidRPr="00606927">
              <w:rPr>
                <w:rFonts w:asciiTheme="minorHAnsi" w:eastAsiaTheme="minorEastAsia" w:hAnsiTheme="minorHAnsi" w:cs="Times New Roman" w:hint="eastAsia"/>
                <w:kern w:val="2"/>
                <w:sz w:val="18"/>
                <w:szCs w:val="18"/>
              </w:rPr>
              <w:t>敬业机电</w:t>
            </w:r>
          </w:p>
        </w:tc>
      </w:tr>
      <w:tr w:rsidR="008D4B2E" w:rsidTr="007E18D0">
        <w:trPr>
          <w:divId w:val="1406106886"/>
          <w:trHeight w:val="340"/>
        </w:trPr>
        <w:tc>
          <w:tcPr>
            <w:tcW w:w="1036" w:type="dxa"/>
            <w:shd w:val="clear" w:color="auto" w:fill="D3D3D3"/>
            <w:noWrap/>
            <w:tcMar>
              <w:top w:w="0" w:type="dxa"/>
              <w:left w:w="108" w:type="dxa"/>
              <w:bottom w:w="0" w:type="dxa"/>
              <w:right w:w="108" w:type="dxa"/>
            </w:tcMar>
            <w:vAlign w:val="center"/>
            <w:hideMark/>
          </w:tcPr>
          <w:p w:rsidR="008D4B2E" w:rsidRDefault="008D4B2E">
            <w:pPr>
              <w:pStyle w:val="a3"/>
              <w:spacing w:before="0" w:beforeAutospacing="0" w:after="0" w:afterAutospacing="0"/>
              <w:rPr>
                <w:rFonts w:ascii="Arial" w:hAnsi="Arial" w:cs="Arial"/>
                <w:sz w:val="20"/>
                <w:szCs w:val="20"/>
              </w:rPr>
            </w:pPr>
            <w:r>
              <w:rPr>
                <w:rFonts w:ascii="Arial" w:hAnsi="Arial" w:cs="Arial"/>
                <w:sz w:val="20"/>
                <w:szCs w:val="20"/>
              </w:rPr>
              <w:t>6</w:t>
            </w:r>
          </w:p>
        </w:tc>
        <w:tc>
          <w:tcPr>
            <w:tcW w:w="4846" w:type="dxa"/>
            <w:noWrap/>
            <w:tcMar>
              <w:top w:w="0" w:type="dxa"/>
              <w:left w:w="108" w:type="dxa"/>
              <w:bottom w:w="0" w:type="dxa"/>
              <w:right w:w="108" w:type="dxa"/>
            </w:tcMar>
            <w:vAlign w:val="center"/>
            <w:hideMark/>
          </w:tcPr>
          <w:p w:rsidR="008D4B2E" w:rsidRPr="00606927" w:rsidRDefault="008D4B2E">
            <w:pPr>
              <w:pStyle w:val="a3"/>
              <w:spacing w:before="0" w:beforeAutospacing="0" w:after="0" w:afterAutospacing="0"/>
              <w:rPr>
                <w:rFonts w:asciiTheme="minorHAnsi" w:eastAsiaTheme="minorEastAsia" w:hAnsiTheme="minorHAnsi" w:cs="Times New Roman"/>
                <w:kern w:val="2"/>
                <w:sz w:val="18"/>
                <w:szCs w:val="18"/>
              </w:rPr>
            </w:pPr>
            <w:r w:rsidRPr="00606927">
              <w:rPr>
                <w:rFonts w:asciiTheme="minorHAnsi" w:eastAsiaTheme="minorEastAsia" w:hAnsiTheme="minorHAnsi" w:cs="Times New Roman" w:hint="eastAsia"/>
                <w:kern w:val="2"/>
                <w:sz w:val="18"/>
                <w:szCs w:val="18"/>
              </w:rPr>
              <w:t>大连软控机电有限公司</w:t>
            </w:r>
          </w:p>
        </w:tc>
        <w:tc>
          <w:tcPr>
            <w:tcW w:w="2902" w:type="dxa"/>
            <w:noWrap/>
            <w:tcMar>
              <w:top w:w="0" w:type="dxa"/>
              <w:left w:w="108" w:type="dxa"/>
              <w:bottom w:w="0" w:type="dxa"/>
              <w:right w:w="108" w:type="dxa"/>
            </w:tcMar>
            <w:vAlign w:val="center"/>
            <w:hideMark/>
          </w:tcPr>
          <w:p w:rsidR="008D4B2E" w:rsidRPr="00606927" w:rsidRDefault="008D4B2E">
            <w:pPr>
              <w:pStyle w:val="a3"/>
              <w:spacing w:before="0" w:beforeAutospacing="0" w:after="0" w:afterAutospacing="0"/>
              <w:rPr>
                <w:rFonts w:asciiTheme="minorHAnsi" w:eastAsiaTheme="minorEastAsia" w:hAnsiTheme="minorHAnsi" w:cs="Times New Roman"/>
                <w:kern w:val="2"/>
                <w:sz w:val="18"/>
                <w:szCs w:val="18"/>
              </w:rPr>
            </w:pPr>
            <w:proofErr w:type="gramStart"/>
            <w:r w:rsidRPr="00606927">
              <w:rPr>
                <w:rFonts w:asciiTheme="minorHAnsi" w:eastAsiaTheme="minorEastAsia" w:hAnsiTheme="minorHAnsi" w:cs="Times New Roman" w:hint="eastAsia"/>
                <w:kern w:val="2"/>
                <w:sz w:val="18"/>
                <w:szCs w:val="18"/>
              </w:rPr>
              <w:t>大连软控</w:t>
            </w:r>
            <w:proofErr w:type="gramEnd"/>
          </w:p>
        </w:tc>
      </w:tr>
      <w:tr w:rsidR="008D4B2E" w:rsidTr="007E18D0">
        <w:trPr>
          <w:divId w:val="1406106886"/>
          <w:trHeight w:val="340"/>
        </w:trPr>
        <w:tc>
          <w:tcPr>
            <w:tcW w:w="1036" w:type="dxa"/>
            <w:shd w:val="clear" w:color="auto" w:fill="D3D3D3"/>
            <w:noWrap/>
            <w:tcMar>
              <w:top w:w="0" w:type="dxa"/>
              <w:left w:w="108" w:type="dxa"/>
              <w:bottom w:w="0" w:type="dxa"/>
              <w:right w:w="108" w:type="dxa"/>
            </w:tcMar>
            <w:vAlign w:val="center"/>
            <w:hideMark/>
          </w:tcPr>
          <w:p w:rsidR="008D4B2E" w:rsidRDefault="008D4B2E">
            <w:pPr>
              <w:pStyle w:val="a3"/>
              <w:spacing w:before="0" w:beforeAutospacing="0" w:after="0" w:afterAutospacing="0"/>
              <w:rPr>
                <w:rFonts w:ascii="Arial" w:hAnsi="Arial" w:cs="Arial"/>
                <w:sz w:val="20"/>
                <w:szCs w:val="20"/>
              </w:rPr>
            </w:pPr>
            <w:r>
              <w:rPr>
                <w:rFonts w:ascii="Arial" w:hAnsi="Arial" w:cs="Arial"/>
                <w:sz w:val="20"/>
                <w:szCs w:val="20"/>
              </w:rPr>
              <w:t>7</w:t>
            </w:r>
          </w:p>
        </w:tc>
        <w:tc>
          <w:tcPr>
            <w:tcW w:w="4846" w:type="dxa"/>
            <w:noWrap/>
            <w:tcMar>
              <w:top w:w="0" w:type="dxa"/>
              <w:left w:w="108" w:type="dxa"/>
              <w:bottom w:w="0" w:type="dxa"/>
              <w:right w:w="108" w:type="dxa"/>
            </w:tcMar>
            <w:vAlign w:val="center"/>
            <w:hideMark/>
          </w:tcPr>
          <w:p w:rsidR="008D4B2E" w:rsidRPr="00606927" w:rsidRDefault="008D4B2E">
            <w:pPr>
              <w:pStyle w:val="a3"/>
              <w:spacing w:before="0" w:beforeAutospacing="0" w:after="0" w:afterAutospacing="0"/>
              <w:rPr>
                <w:rFonts w:asciiTheme="minorHAnsi" w:eastAsiaTheme="minorEastAsia" w:hAnsiTheme="minorHAnsi" w:cs="Times New Roman"/>
                <w:kern w:val="2"/>
                <w:sz w:val="18"/>
                <w:szCs w:val="18"/>
              </w:rPr>
            </w:pPr>
            <w:r w:rsidRPr="00606927">
              <w:rPr>
                <w:rFonts w:asciiTheme="minorHAnsi" w:eastAsiaTheme="minorEastAsia" w:hAnsiTheme="minorHAnsi" w:cs="Times New Roman" w:hint="eastAsia"/>
                <w:kern w:val="2"/>
                <w:sz w:val="18"/>
                <w:szCs w:val="18"/>
              </w:rPr>
              <w:t>青岛</w:t>
            </w:r>
            <w:proofErr w:type="gramStart"/>
            <w:r w:rsidRPr="00606927">
              <w:rPr>
                <w:rFonts w:asciiTheme="minorHAnsi" w:eastAsiaTheme="minorEastAsia" w:hAnsiTheme="minorHAnsi" w:cs="Times New Roman" w:hint="eastAsia"/>
                <w:kern w:val="2"/>
                <w:sz w:val="18"/>
                <w:szCs w:val="18"/>
              </w:rPr>
              <w:t>优享供应</w:t>
            </w:r>
            <w:proofErr w:type="gramEnd"/>
            <w:r w:rsidRPr="00606927">
              <w:rPr>
                <w:rFonts w:asciiTheme="minorHAnsi" w:eastAsiaTheme="minorEastAsia" w:hAnsiTheme="minorHAnsi" w:cs="Times New Roman" w:hint="eastAsia"/>
                <w:kern w:val="2"/>
                <w:sz w:val="18"/>
                <w:szCs w:val="18"/>
              </w:rPr>
              <w:t>链有限公司</w:t>
            </w:r>
          </w:p>
        </w:tc>
        <w:tc>
          <w:tcPr>
            <w:tcW w:w="2902" w:type="dxa"/>
            <w:noWrap/>
            <w:tcMar>
              <w:top w:w="0" w:type="dxa"/>
              <w:left w:w="108" w:type="dxa"/>
              <w:bottom w:w="0" w:type="dxa"/>
              <w:right w:w="108" w:type="dxa"/>
            </w:tcMar>
            <w:vAlign w:val="center"/>
            <w:hideMark/>
          </w:tcPr>
          <w:p w:rsidR="008D4B2E" w:rsidRPr="00606927" w:rsidRDefault="008D4B2E">
            <w:pPr>
              <w:pStyle w:val="a3"/>
              <w:spacing w:before="0" w:beforeAutospacing="0" w:after="0" w:afterAutospacing="0"/>
              <w:rPr>
                <w:rFonts w:asciiTheme="minorHAnsi" w:eastAsiaTheme="minorEastAsia" w:hAnsiTheme="minorHAnsi" w:cs="Times New Roman"/>
                <w:kern w:val="2"/>
                <w:sz w:val="18"/>
                <w:szCs w:val="18"/>
              </w:rPr>
            </w:pPr>
            <w:proofErr w:type="gramStart"/>
            <w:r w:rsidRPr="00606927">
              <w:rPr>
                <w:rFonts w:asciiTheme="minorHAnsi" w:eastAsiaTheme="minorEastAsia" w:hAnsiTheme="minorHAnsi" w:cs="Times New Roman" w:hint="eastAsia"/>
                <w:kern w:val="2"/>
                <w:sz w:val="18"/>
                <w:szCs w:val="18"/>
              </w:rPr>
              <w:t>优享供应</w:t>
            </w:r>
            <w:proofErr w:type="gramEnd"/>
            <w:r w:rsidRPr="00606927">
              <w:rPr>
                <w:rFonts w:asciiTheme="minorHAnsi" w:eastAsiaTheme="minorEastAsia" w:hAnsiTheme="minorHAnsi" w:cs="Times New Roman" w:hint="eastAsia"/>
                <w:kern w:val="2"/>
                <w:sz w:val="18"/>
                <w:szCs w:val="18"/>
              </w:rPr>
              <w:t>链</w:t>
            </w:r>
          </w:p>
        </w:tc>
      </w:tr>
      <w:tr w:rsidR="008D4B2E" w:rsidTr="007E18D0">
        <w:trPr>
          <w:divId w:val="1406106886"/>
          <w:trHeight w:val="340"/>
        </w:trPr>
        <w:tc>
          <w:tcPr>
            <w:tcW w:w="1036" w:type="dxa"/>
            <w:shd w:val="clear" w:color="auto" w:fill="D3D3D3"/>
            <w:noWrap/>
            <w:tcMar>
              <w:top w:w="0" w:type="dxa"/>
              <w:left w:w="108" w:type="dxa"/>
              <w:bottom w:w="0" w:type="dxa"/>
              <w:right w:w="108" w:type="dxa"/>
            </w:tcMar>
            <w:vAlign w:val="center"/>
            <w:hideMark/>
          </w:tcPr>
          <w:p w:rsidR="008D4B2E" w:rsidRDefault="008D4B2E">
            <w:pPr>
              <w:pStyle w:val="a3"/>
              <w:spacing w:before="0" w:beforeAutospacing="0" w:after="0" w:afterAutospacing="0"/>
              <w:rPr>
                <w:rFonts w:ascii="Arial" w:hAnsi="Arial" w:cs="Arial"/>
                <w:sz w:val="20"/>
                <w:szCs w:val="20"/>
              </w:rPr>
            </w:pPr>
            <w:r>
              <w:rPr>
                <w:rFonts w:ascii="Arial" w:hAnsi="Arial" w:cs="Arial"/>
                <w:sz w:val="20"/>
                <w:szCs w:val="20"/>
              </w:rPr>
              <w:t>8</w:t>
            </w:r>
          </w:p>
        </w:tc>
        <w:tc>
          <w:tcPr>
            <w:tcW w:w="4846" w:type="dxa"/>
            <w:noWrap/>
            <w:tcMar>
              <w:top w:w="0" w:type="dxa"/>
              <w:left w:w="108" w:type="dxa"/>
              <w:bottom w:w="0" w:type="dxa"/>
              <w:right w:w="108" w:type="dxa"/>
            </w:tcMar>
            <w:vAlign w:val="center"/>
            <w:hideMark/>
          </w:tcPr>
          <w:p w:rsidR="008D4B2E" w:rsidRPr="00606927" w:rsidRDefault="008D4B2E">
            <w:pPr>
              <w:pStyle w:val="a3"/>
              <w:spacing w:before="0" w:beforeAutospacing="0" w:after="0" w:afterAutospacing="0"/>
              <w:rPr>
                <w:rFonts w:asciiTheme="minorHAnsi" w:eastAsiaTheme="minorEastAsia" w:hAnsiTheme="minorHAnsi" w:cs="Times New Roman"/>
                <w:kern w:val="2"/>
                <w:sz w:val="18"/>
                <w:szCs w:val="18"/>
              </w:rPr>
            </w:pPr>
            <w:r w:rsidRPr="00606927">
              <w:rPr>
                <w:rFonts w:asciiTheme="minorHAnsi" w:eastAsiaTheme="minorEastAsia" w:hAnsiTheme="minorHAnsi" w:cs="Times New Roman" w:hint="eastAsia"/>
                <w:kern w:val="2"/>
                <w:sz w:val="18"/>
                <w:szCs w:val="18"/>
              </w:rPr>
              <w:t>青岛软控计量检测技术有限公司</w:t>
            </w:r>
          </w:p>
        </w:tc>
        <w:tc>
          <w:tcPr>
            <w:tcW w:w="2902" w:type="dxa"/>
            <w:noWrap/>
            <w:tcMar>
              <w:top w:w="0" w:type="dxa"/>
              <w:left w:w="108" w:type="dxa"/>
              <w:bottom w:w="0" w:type="dxa"/>
              <w:right w:w="108" w:type="dxa"/>
            </w:tcMar>
            <w:vAlign w:val="center"/>
            <w:hideMark/>
          </w:tcPr>
          <w:p w:rsidR="008D4B2E" w:rsidRPr="00606927" w:rsidRDefault="008D4B2E">
            <w:pPr>
              <w:pStyle w:val="a3"/>
              <w:spacing w:before="0" w:beforeAutospacing="0" w:after="0" w:afterAutospacing="0"/>
              <w:rPr>
                <w:rFonts w:asciiTheme="minorHAnsi" w:eastAsiaTheme="minorEastAsia" w:hAnsiTheme="minorHAnsi" w:cs="Times New Roman"/>
                <w:kern w:val="2"/>
                <w:sz w:val="18"/>
                <w:szCs w:val="18"/>
              </w:rPr>
            </w:pPr>
            <w:r w:rsidRPr="00606927">
              <w:rPr>
                <w:rFonts w:asciiTheme="minorHAnsi" w:eastAsiaTheme="minorEastAsia" w:hAnsiTheme="minorHAnsi" w:cs="Times New Roman" w:hint="eastAsia"/>
                <w:kern w:val="2"/>
                <w:sz w:val="18"/>
                <w:szCs w:val="18"/>
              </w:rPr>
              <w:t>计量检测</w:t>
            </w:r>
          </w:p>
        </w:tc>
      </w:tr>
      <w:tr w:rsidR="008D4B2E" w:rsidTr="007E18D0">
        <w:trPr>
          <w:divId w:val="1406106886"/>
          <w:trHeight w:val="340"/>
        </w:trPr>
        <w:tc>
          <w:tcPr>
            <w:tcW w:w="1036" w:type="dxa"/>
            <w:shd w:val="clear" w:color="auto" w:fill="D3D3D3"/>
            <w:noWrap/>
            <w:tcMar>
              <w:top w:w="0" w:type="dxa"/>
              <w:left w:w="108" w:type="dxa"/>
              <w:bottom w:w="0" w:type="dxa"/>
              <w:right w:w="108" w:type="dxa"/>
            </w:tcMar>
            <w:vAlign w:val="center"/>
            <w:hideMark/>
          </w:tcPr>
          <w:p w:rsidR="008D4B2E" w:rsidRDefault="008D4B2E">
            <w:pPr>
              <w:pStyle w:val="a3"/>
              <w:spacing w:before="0" w:beforeAutospacing="0" w:after="0" w:afterAutospacing="0"/>
              <w:rPr>
                <w:rFonts w:ascii="Arial" w:hAnsi="Arial" w:cs="Arial"/>
                <w:sz w:val="20"/>
                <w:szCs w:val="20"/>
              </w:rPr>
            </w:pPr>
            <w:r>
              <w:rPr>
                <w:rFonts w:ascii="Arial" w:hAnsi="Arial" w:cs="Arial"/>
                <w:sz w:val="20"/>
                <w:szCs w:val="20"/>
              </w:rPr>
              <w:t>9</w:t>
            </w:r>
          </w:p>
        </w:tc>
        <w:tc>
          <w:tcPr>
            <w:tcW w:w="4846" w:type="dxa"/>
            <w:noWrap/>
            <w:tcMar>
              <w:top w:w="0" w:type="dxa"/>
              <w:left w:w="108" w:type="dxa"/>
              <w:bottom w:w="0" w:type="dxa"/>
              <w:right w:w="108" w:type="dxa"/>
            </w:tcMar>
            <w:vAlign w:val="center"/>
            <w:hideMark/>
          </w:tcPr>
          <w:p w:rsidR="008D4B2E" w:rsidRPr="00606927" w:rsidRDefault="008D4B2E">
            <w:pPr>
              <w:pStyle w:val="a3"/>
              <w:spacing w:before="0" w:beforeAutospacing="0" w:after="0" w:afterAutospacing="0"/>
              <w:rPr>
                <w:rFonts w:asciiTheme="minorHAnsi" w:eastAsiaTheme="minorEastAsia" w:hAnsiTheme="minorHAnsi" w:cs="Times New Roman"/>
                <w:kern w:val="2"/>
                <w:sz w:val="18"/>
                <w:szCs w:val="18"/>
              </w:rPr>
            </w:pPr>
            <w:r w:rsidRPr="00606927">
              <w:rPr>
                <w:rFonts w:asciiTheme="minorHAnsi" w:eastAsiaTheme="minorEastAsia" w:hAnsiTheme="minorHAnsi" w:cs="Times New Roman" w:hint="eastAsia"/>
                <w:kern w:val="2"/>
                <w:sz w:val="18"/>
                <w:szCs w:val="18"/>
              </w:rPr>
              <w:t>青岛海威物联科技有限公司</w:t>
            </w:r>
          </w:p>
        </w:tc>
        <w:tc>
          <w:tcPr>
            <w:tcW w:w="2902" w:type="dxa"/>
            <w:noWrap/>
            <w:tcMar>
              <w:top w:w="0" w:type="dxa"/>
              <w:left w:w="108" w:type="dxa"/>
              <w:bottom w:w="0" w:type="dxa"/>
              <w:right w:w="108" w:type="dxa"/>
            </w:tcMar>
            <w:vAlign w:val="center"/>
            <w:hideMark/>
          </w:tcPr>
          <w:p w:rsidR="008D4B2E" w:rsidRPr="00606927" w:rsidRDefault="008D4B2E">
            <w:pPr>
              <w:pStyle w:val="a3"/>
              <w:spacing w:before="0" w:beforeAutospacing="0" w:after="0" w:afterAutospacing="0"/>
              <w:rPr>
                <w:rFonts w:asciiTheme="minorHAnsi" w:eastAsiaTheme="minorEastAsia" w:hAnsiTheme="minorHAnsi" w:cs="Times New Roman"/>
                <w:kern w:val="2"/>
                <w:sz w:val="18"/>
                <w:szCs w:val="18"/>
              </w:rPr>
            </w:pPr>
            <w:r w:rsidRPr="00606927">
              <w:rPr>
                <w:rFonts w:asciiTheme="minorHAnsi" w:eastAsiaTheme="minorEastAsia" w:hAnsiTheme="minorHAnsi" w:cs="Times New Roman" w:hint="eastAsia"/>
                <w:kern w:val="2"/>
                <w:sz w:val="18"/>
                <w:szCs w:val="18"/>
              </w:rPr>
              <w:t>海</w:t>
            </w:r>
            <w:proofErr w:type="gramStart"/>
            <w:r w:rsidRPr="00606927">
              <w:rPr>
                <w:rFonts w:asciiTheme="minorHAnsi" w:eastAsiaTheme="minorEastAsia" w:hAnsiTheme="minorHAnsi" w:cs="Times New Roman" w:hint="eastAsia"/>
                <w:kern w:val="2"/>
                <w:sz w:val="18"/>
                <w:szCs w:val="18"/>
              </w:rPr>
              <w:t>威物联</w:t>
            </w:r>
            <w:proofErr w:type="gramEnd"/>
          </w:p>
        </w:tc>
      </w:tr>
      <w:tr w:rsidR="008D4B2E" w:rsidTr="007E18D0">
        <w:trPr>
          <w:divId w:val="1406106886"/>
          <w:trHeight w:val="340"/>
        </w:trPr>
        <w:tc>
          <w:tcPr>
            <w:tcW w:w="1036" w:type="dxa"/>
            <w:shd w:val="clear" w:color="auto" w:fill="D3D3D3"/>
            <w:noWrap/>
            <w:tcMar>
              <w:top w:w="0" w:type="dxa"/>
              <w:left w:w="108" w:type="dxa"/>
              <w:bottom w:w="0" w:type="dxa"/>
              <w:right w:w="108" w:type="dxa"/>
            </w:tcMar>
            <w:vAlign w:val="center"/>
            <w:hideMark/>
          </w:tcPr>
          <w:p w:rsidR="008D4B2E" w:rsidRDefault="008D4B2E">
            <w:pPr>
              <w:pStyle w:val="a3"/>
              <w:spacing w:before="0" w:beforeAutospacing="0" w:after="0" w:afterAutospacing="0"/>
              <w:rPr>
                <w:rFonts w:ascii="Arial" w:hAnsi="Arial" w:cs="Arial"/>
                <w:sz w:val="20"/>
                <w:szCs w:val="20"/>
              </w:rPr>
            </w:pPr>
            <w:r>
              <w:rPr>
                <w:rFonts w:ascii="Arial" w:hAnsi="Arial" w:cs="Arial"/>
                <w:sz w:val="20"/>
                <w:szCs w:val="20"/>
              </w:rPr>
              <w:t>10</w:t>
            </w:r>
          </w:p>
        </w:tc>
        <w:tc>
          <w:tcPr>
            <w:tcW w:w="4846" w:type="dxa"/>
            <w:noWrap/>
            <w:tcMar>
              <w:top w:w="0" w:type="dxa"/>
              <w:left w:w="108" w:type="dxa"/>
              <w:bottom w:w="0" w:type="dxa"/>
              <w:right w:w="108" w:type="dxa"/>
            </w:tcMar>
            <w:vAlign w:val="center"/>
            <w:hideMark/>
          </w:tcPr>
          <w:p w:rsidR="008D4B2E" w:rsidRPr="00606927" w:rsidRDefault="008D4B2E">
            <w:pPr>
              <w:pStyle w:val="a3"/>
              <w:spacing w:before="0" w:beforeAutospacing="0" w:after="0" w:afterAutospacing="0"/>
              <w:rPr>
                <w:rFonts w:asciiTheme="minorHAnsi" w:eastAsiaTheme="minorEastAsia" w:hAnsiTheme="minorHAnsi" w:cs="Times New Roman"/>
                <w:kern w:val="2"/>
                <w:sz w:val="18"/>
                <w:szCs w:val="18"/>
              </w:rPr>
            </w:pPr>
            <w:r w:rsidRPr="00606927">
              <w:rPr>
                <w:rFonts w:asciiTheme="minorHAnsi" w:eastAsiaTheme="minorEastAsia" w:hAnsiTheme="minorHAnsi" w:cs="Times New Roman" w:hint="eastAsia"/>
                <w:kern w:val="2"/>
                <w:sz w:val="18"/>
                <w:szCs w:val="18"/>
              </w:rPr>
              <w:t>青岛软控海科科技有限公司</w:t>
            </w:r>
          </w:p>
        </w:tc>
        <w:tc>
          <w:tcPr>
            <w:tcW w:w="2902" w:type="dxa"/>
            <w:noWrap/>
            <w:tcMar>
              <w:top w:w="0" w:type="dxa"/>
              <w:left w:w="108" w:type="dxa"/>
              <w:bottom w:w="0" w:type="dxa"/>
              <w:right w:w="108" w:type="dxa"/>
            </w:tcMar>
            <w:vAlign w:val="center"/>
            <w:hideMark/>
          </w:tcPr>
          <w:p w:rsidR="008D4B2E" w:rsidRPr="00606927" w:rsidRDefault="008D4B2E">
            <w:pPr>
              <w:pStyle w:val="a3"/>
              <w:spacing w:before="0" w:beforeAutospacing="0" w:after="0" w:afterAutospacing="0"/>
              <w:rPr>
                <w:rFonts w:asciiTheme="minorHAnsi" w:eastAsiaTheme="minorEastAsia" w:hAnsiTheme="minorHAnsi" w:cs="Times New Roman"/>
                <w:kern w:val="2"/>
                <w:sz w:val="18"/>
                <w:szCs w:val="18"/>
              </w:rPr>
            </w:pPr>
            <w:r w:rsidRPr="00606927">
              <w:rPr>
                <w:rFonts w:asciiTheme="minorHAnsi" w:eastAsiaTheme="minorEastAsia" w:hAnsiTheme="minorHAnsi" w:cs="Times New Roman" w:hint="eastAsia"/>
                <w:kern w:val="2"/>
                <w:sz w:val="18"/>
                <w:szCs w:val="18"/>
              </w:rPr>
              <w:t>海科科技</w:t>
            </w:r>
          </w:p>
        </w:tc>
      </w:tr>
      <w:tr w:rsidR="008D4B2E" w:rsidTr="007E18D0">
        <w:trPr>
          <w:divId w:val="1406106886"/>
          <w:trHeight w:val="340"/>
        </w:trPr>
        <w:tc>
          <w:tcPr>
            <w:tcW w:w="1036" w:type="dxa"/>
            <w:shd w:val="clear" w:color="auto" w:fill="D3D3D3"/>
            <w:noWrap/>
            <w:tcMar>
              <w:top w:w="0" w:type="dxa"/>
              <w:left w:w="108" w:type="dxa"/>
              <w:bottom w:w="0" w:type="dxa"/>
              <w:right w:w="108" w:type="dxa"/>
            </w:tcMar>
            <w:vAlign w:val="center"/>
            <w:hideMark/>
          </w:tcPr>
          <w:p w:rsidR="008D4B2E" w:rsidRDefault="008D4B2E">
            <w:pPr>
              <w:pStyle w:val="a3"/>
              <w:spacing w:before="0" w:beforeAutospacing="0" w:after="0" w:afterAutospacing="0"/>
              <w:rPr>
                <w:rFonts w:ascii="Arial" w:hAnsi="Arial" w:cs="Arial"/>
                <w:sz w:val="20"/>
                <w:szCs w:val="20"/>
              </w:rPr>
            </w:pPr>
            <w:r>
              <w:rPr>
                <w:rFonts w:ascii="Arial" w:hAnsi="Arial" w:cs="Arial"/>
                <w:sz w:val="20"/>
                <w:szCs w:val="20"/>
              </w:rPr>
              <w:t>11</w:t>
            </w:r>
          </w:p>
        </w:tc>
        <w:tc>
          <w:tcPr>
            <w:tcW w:w="4846" w:type="dxa"/>
            <w:noWrap/>
            <w:tcMar>
              <w:top w:w="0" w:type="dxa"/>
              <w:left w:w="108" w:type="dxa"/>
              <w:bottom w:w="0" w:type="dxa"/>
              <w:right w:w="108" w:type="dxa"/>
            </w:tcMar>
            <w:vAlign w:val="center"/>
            <w:hideMark/>
          </w:tcPr>
          <w:p w:rsidR="008D4B2E" w:rsidRPr="00606927" w:rsidRDefault="008D4B2E">
            <w:pPr>
              <w:pStyle w:val="a3"/>
              <w:spacing w:before="0" w:beforeAutospacing="0" w:after="0" w:afterAutospacing="0"/>
              <w:rPr>
                <w:rFonts w:asciiTheme="minorHAnsi" w:eastAsiaTheme="minorEastAsia" w:hAnsiTheme="minorHAnsi" w:cs="Times New Roman"/>
                <w:kern w:val="2"/>
                <w:sz w:val="18"/>
                <w:szCs w:val="18"/>
              </w:rPr>
            </w:pPr>
            <w:proofErr w:type="gramStart"/>
            <w:r w:rsidRPr="00606927">
              <w:rPr>
                <w:rFonts w:asciiTheme="minorHAnsi" w:eastAsiaTheme="minorEastAsia" w:hAnsiTheme="minorHAnsi" w:cs="Times New Roman" w:hint="eastAsia"/>
                <w:kern w:val="2"/>
                <w:sz w:val="18"/>
                <w:szCs w:val="18"/>
              </w:rPr>
              <w:t>软控联合</w:t>
            </w:r>
            <w:proofErr w:type="gramEnd"/>
            <w:r w:rsidRPr="00606927">
              <w:rPr>
                <w:rFonts w:asciiTheme="minorHAnsi" w:eastAsiaTheme="minorEastAsia" w:hAnsiTheme="minorHAnsi" w:cs="Times New Roman" w:hint="eastAsia"/>
                <w:kern w:val="2"/>
                <w:sz w:val="18"/>
                <w:szCs w:val="18"/>
              </w:rPr>
              <w:t>科技有限公司</w:t>
            </w:r>
          </w:p>
        </w:tc>
        <w:tc>
          <w:tcPr>
            <w:tcW w:w="2902" w:type="dxa"/>
            <w:noWrap/>
            <w:tcMar>
              <w:top w:w="0" w:type="dxa"/>
              <w:left w:w="108" w:type="dxa"/>
              <w:bottom w:w="0" w:type="dxa"/>
              <w:right w:w="108" w:type="dxa"/>
            </w:tcMar>
            <w:vAlign w:val="center"/>
            <w:hideMark/>
          </w:tcPr>
          <w:p w:rsidR="008D4B2E" w:rsidRPr="00606927" w:rsidRDefault="008D4B2E">
            <w:pPr>
              <w:pStyle w:val="a3"/>
              <w:spacing w:before="0" w:beforeAutospacing="0" w:after="0" w:afterAutospacing="0"/>
              <w:rPr>
                <w:rFonts w:asciiTheme="minorHAnsi" w:eastAsiaTheme="minorEastAsia" w:hAnsiTheme="minorHAnsi" w:cs="Times New Roman"/>
                <w:kern w:val="2"/>
                <w:sz w:val="18"/>
                <w:szCs w:val="18"/>
              </w:rPr>
            </w:pPr>
            <w:r w:rsidRPr="00606927">
              <w:rPr>
                <w:rFonts w:asciiTheme="minorHAnsi" w:eastAsiaTheme="minorEastAsia" w:hAnsiTheme="minorHAnsi" w:cs="Times New Roman" w:hint="eastAsia"/>
                <w:kern w:val="2"/>
                <w:sz w:val="18"/>
                <w:szCs w:val="18"/>
              </w:rPr>
              <w:t>联合科技</w:t>
            </w:r>
          </w:p>
        </w:tc>
      </w:tr>
      <w:tr w:rsidR="008D4B2E" w:rsidTr="007E18D0">
        <w:trPr>
          <w:divId w:val="1406106886"/>
          <w:trHeight w:val="340"/>
        </w:trPr>
        <w:tc>
          <w:tcPr>
            <w:tcW w:w="1036" w:type="dxa"/>
            <w:shd w:val="clear" w:color="auto" w:fill="D3D3D3"/>
            <w:noWrap/>
            <w:tcMar>
              <w:top w:w="0" w:type="dxa"/>
              <w:left w:w="108" w:type="dxa"/>
              <w:bottom w:w="0" w:type="dxa"/>
              <w:right w:w="108" w:type="dxa"/>
            </w:tcMar>
            <w:vAlign w:val="center"/>
            <w:hideMark/>
          </w:tcPr>
          <w:p w:rsidR="008D4B2E" w:rsidRDefault="008D4B2E">
            <w:pPr>
              <w:pStyle w:val="a3"/>
              <w:spacing w:before="0" w:beforeAutospacing="0" w:after="0" w:afterAutospacing="0"/>
              <w:rPr>
                <w:rFonts w:ascii="Arial" w:hAnsi="Arial" w:cs="Arial"/>
                <w:sz w:val="20"/>
                <w:szCs w:val="20"/>
              </w:rPr>
            </w:pPr>
            <w:r>
              <w:rPr>
                <w:rFonts w:ascii="Arial" w:hAnsi="Arial" w:cs="Arial"/>
                <w:sz w:val="20"/>
                <w:szCs w:val="20"/>
              </w:rPr>
              <w:t>12</w:t>
            </w:r>
          </w:p>
        </w:tc>
        <w:tc>
          <w:tcPr>
            <w:tcW w:w="4846" w:type="dxa"/>
            <w:noWrap/>
            <w:tcMar>
              <w:top w:w="0" w:type="dxa"/>
              <w:left w:w="108" w:type="dxa"/>
              <w:bottom w:w="0" w:type="dxa"/>
              <w:right w:w="108" w:type="dxa"/>
            </w:tcMar>
            <w:vAlign w:val="center"/>
            <w:hideMark/>
          </w:tcPr>
          <w:p w:rsidR="008D4B2E" w:rsidRPr="00606927" w:rsidRDefault="008D4B2E">
            <w:pPr>
              <w:pStyle w:val="a3"/>
              <w:spacing w:before="0" w:beforeAutospacing="0" w:after="0" w:afterAutospacing="0"/>
              <w:rPr>
                <w:rFonts w:asciiTheme="minorHAnsi" w:eastAsiaTheme="minorEastAsia" w:hAnsiTheme="minorHAnsi" w:cs="Times New Roman"/>
                <w:kern w:val="2"/>
                <w:sz w:val="18"/>
                <w:szCs w:val="18"/>
              </w:rPr>
            </w:pPr>
            <w:r w:rsidRPr="00606927">
              <w:rPr>
                <w:rFonts w:asciiTheme="minorHAnsi" w:eastAsiaTheme="minorEastAsia" w:hAnsiTheme="minorHAnsi" w:cs="Times New Roman" w:hint="eastAsia"/>
                <w:kern w:val="2"/>
                <w:sz w:val="18"/>
                <w:szCs w:val="18"/>
              </w:rPr>
              <w:t>青岛科捷自动化设备有限公司</w:t>
            </w:r>
          </w:p>
        </w:tc>
        <w:tc>
          <w:tcPr>
            <w:tcW w:w="2902" w:type="dxa"/>
            <w:noWrap/>
            <w:tcMar>
              <w:top w:w="0" w:type="dxa"/>
              <w:left w:w="108" w:type="dxa"/>
              <w:bottom w:w="0" w:type="dxa"/>
              <w:right w:w="108" w:type="dxa"/>
            </w:tcMar>
            <w:vAlign w:val="center"/>
            <w:hideMark/>
          </w:tcPr>
          <w:p w:rsidR="008D4B2E" w:rsidRPr="00606927" w:rsidRDefault="008D4B2E">
            <w:pPr>
              <w:pStyle w:val="a3"/>
              <w:spacing w:before="0" w:beforeAutospacing="0" w:after="0" w:afterAutospacing="0"/>
              <w:rPr>
                <w:rFonts w:asciiTheme="minorHAnsi" w:eastAsiaTheme="minorEastAsia" w:hAnsiTheme="minorHAnsi" w:cs="Times New Roman"/>
                <w:kern w:val="2"/>
                <w:sz w:val="18"/>
                <w:szCs w:val="18"/>
              </w:rPr>
            </w:pPr>
            <w:r w:rsidRPr="00606927">
              <w:rPr>
                <w:rFonts w:asciiTheme="minorHAnsi" w:eastAsiaTheme="minorEastAsia" w:hAnsiTheme="minorHAnsi" w:cs="Times New Roman" w:hint="eastAsia"/>
                <w:kern w:val="2"/>
                <w:sz w:val="18"/>
                <w:szCs w:val="18"/>
              </w:rPr>
              <w:t>科捷自动化</w:t>
            </w:r>
          </w:p>
        </w:tc>
      </w:tr>
      <w:tr w:rsidR="008D4B2E" w:rsidTr="007E18D0">
        <w:trPr>
          <w:divId w:val="1406106886"/>
          <w:trHeight w:val="340"/>
        </w:trPr>
        <w:tc>
          <w:tcPr>
            <w:tcW w:w="1036" w:type="dxa"/>
            <w:shd w:val="clear" w:color="auto" w:fill="D3D3D3"/>
            <w:noWrap/>
            <w:tcMar>
              <w:top w:w="0" w:type="dxa"/>
              <w:left w:w="108" w:type="dxa"/>
              <w:bottom w:w="0" w:type="dxa"/>
              <w:right w:w="108" w:type="dxa"/>
            </w:tcMar>
            <w:vAlign w:val="center"/>
            <w:hideMark/>
          </w:tcPr>
          <w:p w:rsidR="008D4B2E" w:rsidRDefault="008D4B2E">
            <w:pPr>
              <w:pStyle w:val="a3"/>
              <w:spacing w:before="0" w:beforeAutospacing="0" w:after="0" w:afterAutospacing="0"/>
              <w:rPr>
                <w:rFonts w:ascii="Arial" w:hAnsi="Arial" w:cs="Arial"/>
                <w:sz w:val="20"/>
                <w:szCs w:val="20"/>
              </w:rPr>
            </w:pPr>
            <w:r>
              <w:rPr>
                <w:rFonts w:ascii="Arial" w:hAnsi="Arial" w:cs="Arial"/>
                <w:sz w:val="20"/>
                <w:szCs w:val="20"/>
              </w:rPr>
              <w:t>13</w:t>
            </w:r>
          </w:p>
        </w:tc>
        <w:tc>
          <w:tcPr>
            <w:tcW w:w="4846" w:type="dxa"/>
            <w:noWrap/>
            <w:tcMar>
              <w:top w:w="0" w:type="dxa"/>
              <w:left w:w="108" w:type="dxa"/>
              <w:bottom w:w="0" w:type="dxa"/>
              <w:right w:w="108" w:type="dxa"/>
            </w:tcMar>
            <w:vAlign w:val="center"/>
            <w:hideMark/>
          </w:tcPr>
          <w:p w:rsidR="008D4B2E" w:rsidRPr="00606927" w:rsidRDefault="008D4B2E">
            <w:pPr>
              <w:pStyle w:val="a3"/>
              <w:spacing w:before="0" w:beforeAutospacing="0" w:after="0" w:afterAutospacing="0"/>
              <w:rPr>
                <w:rFonts w:asciiTheme="minorHAnsi" w:eastAsiaTheme="minorEastAsia" w:hAnsiTheme="minorHAnsi" w:cs="Times New Roman"/>
                <w:kern w:val="2"/>
                <w:sz w:val="18"/>
                <w:szCs w:val="18"/>
              </w:rPr>
            </w:pPr>
            <w:proofErr w:type="gramStart"/>
            <w:r w:rsidRPr="00606927">
              <w:rPr>
                <w:rFonts w:asciiTheme="minorHAnsi" w:eastAsiaTheme="minorEastAsia" w:hAnsiTheme="minorHAnsi" w:cs="Times New Roman" w:hint="eastAsia"/>
                <w:kern w:val="2"/>
                <w:sz w:val="18"/>
                <w:szCs w:val="18"/>
              </w:rPr>
              <w:t>深圳市众源达</w:t>
            </w:r>
            <w:proofErr w:type="gramEnd"/>
            <w:r w:rsidRPr="00606927">
              <w:rPr>
                <w:rFonts w:asciiTheme="minorHAnsi" w:eastAsiaTheme="minorEastAsia" w:hAnsiTheme="minorHAnsi" w:cs="Times New Roman" w:hint="eastAsia"/>
                <w:kern w:val="2"/>
                <w:sz w:val="18"/>
                <w:szCs w:val="18"/>
              </w:rPr>
              <w:t>智能装备有限公司</w:t>
            </w:r>
          </w:p>
        </w:tc>
        <w:tc>
          <w:tcPr>
            <w:tcW w:w="2902" w:type="dxa"/>
            <w:noWrap/>
            <w:tcMar>
              <w:top w:w="0" w:type="dxa"/>
              <w:left w:w="108" w:type="dxa"/>
              <w:bottom w:w="0" w:type="dxa"/>
              <w:right w:w="108" w:type="dxa"/>
            </w:tcMar>
            <w:vAlign w:val="center"/>
            <w:hideMark/>
          </w:tcPr>
          <w:p w:rsidR="008D4B2E" w:rsidRPr="00606927" w:rsidRDefault="008D4B2E">
            <w:pPr>
              <w:pStyle w:val="a3"/>
              <w:spacing w:before="0" w:beforeAutospacing="0" w:after="0" w:afterAutospacing="0"/>
              <w:rPr>
                <w:rFonts w:asciiTheme="minorHAnsi" w:eastAsiaTheme="minorEastAsia" w:hAnsiTheme="minorHAnsi" w:cs="Times New Roman"/>
                <w:kern w:val="2"/>
                <w:sz w:val="18"/>
                <w:szCs w:val="18"/>
              </w:rPr>
            </w:pPr>
            <w:proofErr w:type="gramStart"/>
            <w:r w:rsidRPr="00606927">
              <w:rPr>
                <w:rFonts w:asciiTheme="minorHAnsi" w:eastAsiaTheme="minorEastAsia" w:hAnsiTheme="minorHAnsi" w:cs="Times New Roman" w:hint="eastAsia"/>
                <w:kern w:val="2"/>
                <w:sz w:val="18"/>
                <w:szCs w:val="18"/>
              </w:rPr>
              <w:t>深圳众源达</w:t>
            </w:r>
            <w:proofErr w:type="gramEnd"/>
          </w:p>
        </w:tc>
      </w:tr>
      <w:tr w:rsidR="008D4B2E" w:rsidTr="007E18D0">
        <w:trPr>
          <w:divId w:val="1406106886"/>
          <w:trHeight w:val="340"/>
        </w:trPr>
        <w:tc>
          <w:tcPr>
            <w:tcW w:w="1036" w:type="dxa"/>
            <w:shd w:val="clear" w:color="auto" w:fill="D3D3D3"/>
            <w:noWrap/>
            <w:tcMar>
              <w:top w:w="0" w:type="dxa"/>
              <w:left w:w="108" w:type="dxa"/>
              <w:bottom w:w="0" w:type="dxa"/>
              <w:right w:w="108" w:type="dxa"/>
            </w:tcMar>
            <w:vAlign w:val="center"/>
            <w:hideMark/>
          </w:tcPr>
          <w:p w:rsidR="008D4B2E" w:rsidRDefault="008D4B2E">
            <w:pPr>
              <w:pStyle w:val="a3"/>
              <w:spacing w:before="0" w:beforeAutospacing="0" w:after="0" w:afterAutospacing="0"/>
              <w:rPr>
                <w:rFonts w:ascii="Arial" w:hAnsi="Arial" w:cs="Arial"/>
                <w:sz w:val="20"/>
                <w:szCs w:val="20"/>
              </w:rPr>
            </w:pPr>
            <w:r>
              <w:rPr>
                <w:rFonts w:ascii="Arial" w:hAnsi="Arial" w:cs="Arial"/>
                <w:sz w:val="20"/>
                <w:szCs w:val="20"/>
              </w:rPr>
              <w:t>14</w:t>
            </w:r>
          </w:p>
        </w:tc>
        <w:tc>
          <w:tcPr>
            <w:tcW w:w="4846" w:type="dxa"/>
            <w:noWrap/>
            <w:tcMar>
              <w:top w:w="0" w:type="dxa"/>
              <w:left w:w="108" w:type="dxa"/>
              <w:bottom w:w="0" w:type="dxa"/>
              <w:right w:w="108" w:type="dxa"/>
            </w:tcMar>
            <w:vAlign w:val="center"/>
            <w:hideMark/>
          </w:tcPr>
          <w:p w:rsidR="008D4B2E" w:rsidRPr="00606927" w:rsidRDefault="008D4B2E">
            <w:pPr>
              <w:pStyle w:val="a3"/>
              <w:spacing w:before="0" w:beforeAutospacing="0" w:after="0" w:afterAutospacing="0"/>
              <w:rPr>
                <w:rFonts w:asciiTheme="minorHAnsi" w:eastAsiaTheme="minorEastAsia" w:hAnsiTheme="minorHAnsi" w:cs="Times New Roman"/>
                <w:kern w:val="2"/>
                <w:sz w:val="18"/>
                <w:szCs w:val="18"/>
              </w:rPr>
            </w:pPr>
            <w:proofErr w:type="gramStart"/>
            <w:r w:rsidRPr="00606927">
              <w:rPr>
                <w:rFonts w:asciiTheme="minorHAnsi" w:eastAsiaTheme="minorEastAsia" w:hAnsiTheme="minorHAnsi" w:cs="Times New Roman" w:hint="eastAsia"/>
                <w:kern w:val="2"/>
                <w:sz w:val="18"/>
                <w:szCs w:val="18"/>
              </w:rPr>
              <w:t>艾优信</w:t>
            </w:r>
            <w:proofErr w:type="gramEnd"/>
            <w:r w:rsidRPr="00606927">
              <w:rPr>
                <w:rFonts w:asciiTheme="minorHAnsi" w:eastAsiaTheme="minorEastAsia" w:hAnsiTheme="minorHAnsi" w:cs="Times New Roman" w:hint="eastAsia"/>
                <w:kern w:val="2"/>
                <w:sz w:val="18"/>
                <w:szCs w:val="18"/>
              </w:rPr>
              <w:t>（山东）计量检测有限公司</w:t>
            </w:r>
          </w:p>
        </w:tc>
        <w:tc>
          <w:tcPr>
            <w:tcW w:w="2902" w:type="dxa"/>
            <w:noWrap/>
            <w:tcMar>
              <w:top w:w="0" w:type="dxa"/>
              <w:left w:w="108" w:type="dxa"/>
              <w:bottom w:w="0" w:type="dxa"/>
              <w:right w:w="108" w:type="dxa"/>
            </w:tcMar>
            <w:vAlign w:val="center"/>
            <w:hideMark/>
          </w:tcPr>
          <w:p w:rsidR="008D4B2E" w:rsidRPr="00606927" w:rsidRDefault="008D4B2E">
            <w:pPr>
              <w:pStyle w:val="a3"/>
              <w:spacing w:before="0" w:beforeAutospacing="0" w:after="0" w:afterAutospacing="0"/>
              <w:rPr>
                <w:rFonts w:asciiTheme="minorHAnsi" w:eastAsiaTheme="minorEastAsia" w:hAnsiTheme="minorHAnsi" w:cs="Times New Roman"/>
                <w:kern w:val="2"/>
                <w:sz w:val="18"/>
                <w:szCs w:val="18"/>
              </w:rPr>
            </w:pPr>
            <w:proofErr w:type="gramStart"/>
            <w:r w:rsidRPr="00606927">
              <w:rPr>
                <w:rFonts w:asciiTheme="minorHAnsi" w:eastAsiaTheme="minorEastAsia" w:hAnsiTheme="minorHAnsi" w:cs="Times New Roman" w:hint="eastAsia"/>
                <w:kern w:val="2"/>
                <w:sz w:val="18"/>
                <w:szCs w:val="18"/>
              </w:rPr>
              <w:t>艾优信</w:t>
            </w:r>
            <w:proofErr w:type="gramEnd"/>
          </w:p>
        </w:tc>
      </w:tr>
      <w:tr w:rsidR="008D4B2E" w:rsidTr="007E18D0">
        <w:trPr>
          <w:divId w:val="1406106886"/>
          <w:trHeight w:val="340"/>
        </w:trPr>
        <w:tc>
          <w:tcPr>
            <w:tcW w:w="1036" w:type="dxa"/>
            <w:shd w:val="clear" w:color="auto" w:fill="D3D3D3"/>
            <w:noWrap/>
            <w:tcMar>
              <w:top w:w="0" w:type="dxa"/>
              <w:left w:w="108" w:type="dxa"/>
              <w:bottom w:w="0" w:type="dxa"/>
              <w:right w:w="108" w:type="dxa"/>
            </w:tcMar>
            <w:vAlign w:val="center"/>
            <w:hideMark/>
          </w:tcPr>
          <w:p w:rsidR="008D4B2E" w:rsidRDefault="008D4B2E">
            <w:pPr>
              <w:pStyle w:val="a3"/>
              <w:spacing w:before="0" w:beforeAutospacing="0" w:after="0" w:afterAutospacing="0"/>
              <w:rPr>
                <w:rFonts w:ascii="Arial" w:hAnsi="Arial" w:cs="Arial"/>
                <w:sz w:val="20"/>
                <w:szCs w:val="20"/>
              </w:rPr>
            </w:pPr>
            <w:r>
              <w:rPr>
                <w:rFonts w:ascii="Arial" w:hAnsi="Arial" w:cs="Arial"/>
                <w:sz w:val="20"/>
                <w:szCs w:val="20"/>
              </w:rPr>
              <w:t>15</w:t>
            </w:r>
          </w:p>
        </w:tc>
        <w:tc>
          <w:tcPr>
            <w:tcW w:w="4846" w:type="dxa"/>
            <w:noWrap/>
            <w:tcMar>
              <w:top w:w="0" w:type="dxa"/>
              <w:left w:w="108" w:type="dxa"/>
              <w:bottom w:w="0" w:type="dxa"/>
              <w:right w:w="108" w:type="dxa"/>
            </w:tcMar>
            <w:vAlign w:val="center"/>
            <w:hideMark/>
          </w:tcPr>
          <w:p w:rsidR="008D4B2E" w:rsidRPr="00606927" w:rsidRDefault="008D4B2E">
            <w:pPr>
              <w:pStyle w:val="a3"/>
              <w:spacing w:before="0" w:beforeAutospacing="0" w:after="0" w:afterAutospacing="0"/>
              <w:rPr>
                <w:rFonts w:asciiTheme="minorHAnsi" w:eastAsiaTheme="minorEastAsia" w:hAnsiTheme="minorHAnsi" w:cs="Times New Roman"/>
                <w:kern w:val="2"/>
                <w:sz w:val="18"/>
                <w:szCs w:val="18"/>
              </w:rPr>
            </w:pPr>
            <w:r w:rsidRPr="00606927">
              <w:rPr>
                <w:rFonts w:asciiTheme="minorHAnsi" w:eastAsiaTheme="minorEastAsia" w:hAnsiTheme="minorHAnsi" w:cs="Times New Roman" w:hint="eastAsia"/>
                <w:kern w:val="2"/>
                <w:sz w:val="18"/>
                <w:szCs w:val="18"/>
              </w:rPr>
              <w:t>青岛华控能源科技有限公司</w:t>
            </w:r>
          </w:p>
        </w:tc>
        <w:tc>
          <w:tcPr>
            <w:tcW w:w="2902" w:type="dxa"/>
            <w:noWrap/>
            <w:tcMar>
              <w:top w:w="0" w:type="dxa"/>
              <w:left w:w="108" w:type="dxa"/>
              <w:bottom w:w="0" w:type="dxa"/>
              <w:right w:w="108" w:type="dxa"/>
            </w:tcMar>
            <w:vAlign w:val="center"/>
            <w:hideMark/>
          </w:tcPr>
          <w:p w:rsidR="008D4B2E" w:rsidRPr="00606927" w:rsidRDefault="008D4B2E">
            <w:pPr>
              <w:pStyle w:val="a3"/>
              <w:spacing w:before="0" w:beforeAutospacing="0" w:after="0" w:afterAutospacing="0"/>
              <w:rPr>
                <w:rFonts w:asciiTheme="minorHAnsi" w:eastAsiaTheme="minorEastAsia" w:hAnsiTheme="minorHAnsi" w:cs="Times New Roman"/>
                <w:kern w:val="2"/>
                <w:sz w:val="18"/>
                <w:szCs w:val="18"/>
              </w:rPr>
            </w:pPr>
            <w:proofErr w:type="gramStart"/>
            <w:r w:rsidRPr="00606927">
              <w:rPr>
                <w:rFonts w:asciiTheme="minorHAnsi" w:eastAsiaTheme="minorEastAsia" w:hAnsiTheme="minorHAnsi" w:cs="Times New Roman" w:hint="eastAsia"/>
                <w:kern w:val="2"/>
                <w:sz w:val="18"/>
                <w:szCs w:val="18"/>
              </w:rPr>
              <w:t>华控能源</w:t>
            </w:r>
            <w:proofErr w:type="gramEnd"/>
          </w:p>
        </w:tc>
      </w:tr>
      <w:tr w:rsidR="008D4B2E" w:rsidTr="007E18D0">
        <w:trPr>
          <w:divId w:val="1406106886"/>
          <w:trHeight w:val="340"/>
        </w:trPr>
        <w:tc>
          <w:tcPr>
            <w:tcW w:w="1036" w:type="dxa"/>
            <w:shd w:val="clear" w:color="auto" w:fill="D3D3D3"/>
            <w:noWrap/>
            <w:tcMar>
              <w:top w:w="0" w:type="dxa"/>
              <w:left w:w="108" w:type="dxa"/>
              <w:bottom w:w="0" w:type="dxa"/>
              <w:right w:w="108" w:type="dxa"/>
            </w:tcMar>
            <w:vAlign w:val="center"/>
            <w:hideMark/>
          </w:tcPr>
          <w:p w:rsidR="008D4B2E" w:rsidRDefault="008D4B2E">
            <w:pPr>
              <w:pStyle w:val="a3"/>
              <w:spacing w:before="0" w:beforeAutospacing="0" w:after="0" w:afterAutospacing="0"/>
              <w:rPr>
                <w:rFonts w:ascii="Arial" w:hAnsi="Arial" w:cs="Arial"/>
                <w:sz w:val="20"/>
                <w:szCs w:val="20"/>
              </w:rPr>
            </w:pPr>
            <w:r>
              <w:rPr>
                <w:rFonts w:ascii="Arial" w:hAnsi="Arial" w:cs="Arial"/>
                <w:sz w:val="20"/>
                <w:szCs w:val="20"/>
              </w:rPr>
              <w:lastRenderedPageBreak/>
              <w:t>16</w:t>
            </w:r>
          </w:p>
        </w:tc>
        <w:tc>
          <w:tcPr>
            <w:tcW w:w="4846" w:type="dxa"/>
            <w:noWrap/>
            <w:tcMar>
              <w:top w:w="0" w:type="dxa"/>
              <w:left w:w="108" w:type="dxa"/>
              <w:bottom w:w="0" w:type="dxa"/>
              <w:right w:w="108" w:type="dxa"/>
            </w:tcMar>
            <w:vAlign w:val="center"/>
            <w:hideMark/>
          </w:tcPr>
          <w:p w:rsidR="008D4B2E" w:rsidRPr="00606927" w:rsidRDefault="008D4B2E">
            <w:pPr>
              <w:pStyle w:val="a3"/>
              <w:spacing w:before="0" w:beforeAutospacing="0" w:after="0" w:afterAutospacing="0"/>
              <w:rPr>
                <w:rFonts w:asciiTheme="minorHAnsi" w:eastAsiaTheme="minorEastAsia" w:hAnsiTheme="minorHAnsi" w:cs="Times New Roman"/>
                <w:kern w:val="2"/>
                <w:sz w:val="18"/>
                <w:szCs w:val="18"/>
              </w:rPr>
            </w:pPr>
            <w:r w:rsidRPr="00606927">
              <w:rPr>
                <w:rFonts w:asciiTheme="minorHAnsi" w:eastAsiaTheme="minorEastAsia" w:hAnsiTheme="minorHAnsi" w:cs="Times New Roman" w:hint="eastAsia"/>
                <w:kern w:val="2"/>
                <w:sz w:val="18"/>
                <w:szCs w:val="18"/>
              </w:rPr>
              <w:t>青岛朗控清洁能源有限公司</w:t>
            </w:r>
          </w:p>
        </w:tc>
        <w:tc>
          <w:tcPr>
            <w:tcW w:w="2902" w:type="dxa"/>
            <w:noWrap/>
            <w:tcMar>
              <w:top w:w="0" w:type="dxa"/>
              <w:left w:w="108" w:type="dxa"/>
              <w:bottom w:w="0" w:type="dxa"/>
              <w:right w:w="108" w:type="dxa"/>
            </w:tcMar>
            <w:vAlign w:val="center"/>
            <w:hideMark/>
          </w:tcPr>
          <w:p w:rsidR="008D4B2E" w:rsidRPr="00606927" w:rsidRDefault="008D4B2E">
            <w:pPr>
              <w:pStyle w:val="a3"/>
              <w:spacing w:before="0" w:beforeAutospacing="0" w:after="0" w:afterAutospacing="0"/>
              <w:rPr>
                <w:rFonts w:asciiTheme="minorHAnsi" w:eastAsiaTheme="minorEastAsia" w:hAnsiTheme="minorHAnsi" w:cs="Times New Roman"/>
                <w:kern w:val="2"/>
                <w:sz w:val="18"/>
                <w:szCs w:val="18"/>
              </w:rPr>
            </w:pPr>
            <w:proofErr w:type="gramStart"/>
            <w:r w:rsidRPr="00606927">
              <w:rPr>
                <w:rFonts w:asciiTheme="minorHAnsi" w:eastAsiaTheme="minorEastAsia" w:hAnsiTheme="minorHAnsi" w:cs="Times New Roman" w:hint="eastAsia"/>
                <w:kern w:val="2"/>
                <w:sz w:val="18"/>
                <w:szCs w:val="18"/>
              </w:rPr>
              <w:t>朗控清洁</w:t>
            </w:r>
            <w:proofErr w:type="gramEnd"/>
          </w:p>
        </w:tc>
      </w:tr>
      <w:tr w:rsidR="008D4B2E" w:rsidTr="007E18D0">
        <w:trPr>
          <w:divId w:val="1406106886"/>
          <w:trHeight w:val="340"/>
        </w:trPr>
        <w:tc>
          <w:tcPr>
            <w:tcW w:w="1036" w:type="dxa"/>
            <w:shd w:val="clear" w:color="auto" w:fill="D3D3D3"/>
            <w:noWrap/>
            <w:tcMar>
              <w:top w:w="0" w:type="dxa"/>
              <w:left w:w="108" w:type="dxa"/>
              <w:bottom w:w="0" w:type="dxa"/>
              <w:right w:w="108" w:type="dxa"/>
            </w:tcMar>
            <w:vAlign w:val="center"/>
            <w:hideMark/>
          </w:tcPr>
          <w:p w:rsidR="008D4B2E" w:rsidRDefault="008D4B2E">
            <w:pPr>
              <w:pStyle w:val="a3"/>
              <w:spacing w:before="0" w:beforeAutospacing="0" w:after="0" w:afterAutospacing="0"/>
              <w:rPr>
                <w:rFonts w:ascii="Arial" w:hAnsi="Arial" w:cs="Arial"/>
                <w:sz w:val="20"/>
                <w:szCs w:val="20"/>
              </w:rPr>
            </w:pPr>
            <w:r>
              <w:rPr>
                <w:rFonts w:ascii="Arial" w:hAnsi="Arial" w:cs="Arial"/>
                <w:sz w:val="20"/>
                <w:szCs w:val="20"/>
              </w:rPr>
              <w:t>17</w:t>
            </w:r>
          </w:p>
        </w:tc>
        <w:tc>
          <w:tcPr>
            <w:tcW w:w="4846" w:type="dxa"/>
            <w:noWrap/>
            <w:tcMar>
              <w:top w:w="0" w:type="dxa"/>
              <w:left w:w="108" w:type="dxa"/>
              <w:bottom w:w="0" w:type="dxa"/>
              <w:right w:w="108" w:type="dxa"/>
            </w:tcMar>
            <w:vAlign w:val="center"/>
            <w:hideMark/>
          </w:tcPr>
          <w:p w:rsidR="008D4B2E" w:rsidRPr="00606927" w:rsidRDefault="008D4B2E">
            <w:pPr>
              <w:pStyle w:val="a3"/>
              <w:spacing w:before="0" w:beforeAutospacing="0" w:after="0" w:afterAutospacing="0"/>
              <w:rPr>
                <w:rFonts w:asciiTheme="minorHAnsi" w:eastAsiaTheme="minorEastAsia" w:hAnsiTheme="minorHAnsi" w:cs="Times New Roman"/>
                <w:kern w:val="2"/>
                <w:sz w:val="18"/>
                <w:szCs w:val="18"/>
              </w:rPr>
            </w:pPr>
            <w:r w:rsidRPr="00606927">
              <w:rPr>
                <w:rFonts w:asciiTheme="minorHAnsi" w:eastAsiaTheme="minorEastAsia" w:hAnsiTheme="minorHAnsi" w:cs="Times New Roman" w:hint="eastAsia"/>
                <w:kern w:val="2"/>
                <w:sz w:val="18"/>
                <w:szCs w:val="18"/>
              </w:rPr>
              <w:t>青岛睿诚新能源有限公司</w:t>
            </w:r>
          </w:p>
        </w:tc>
        <w:tc>
          <w:tcPr>
            <w:tcW w:w="2902" w:type="dxa"/>
            <w:noWrap/>
            <w:tcMar>
              <w:top w:w="0" w:type="dxa"/>
              <w:left w:w="108" w:type="dxa"/>
              <w:bottom w:w="0" w:type="dxa"/>
              <w:right w:w="108" w:type="dxa"/>
            </w:tcMar>
            <w:vAlign w:val="center"/>
            <w:hideMark/>
          </w:tcPr>
          <w:p w:rsidR="008D4B2E" w:rsidRPr="00606927" w:rsidRDefault="008D4B2E">
            <w:pPr>
              <w:pStyle w:val="a3"/>
              <w:spacing w:before="0" w:beforeAutospacing="0" w:after="0" w:afterAutospacing="0"/>
              <w:rPr>
                <w:rFonts w:asciiTheme="minorHAnsi" w:eastAsiaTheme="minorEastAsia" w:hAnsiTheme="minorHAnsi" w:cs="Times New Roman"/>
                <w:kern w:val="2"/>
                <w:sz w:val="18"/>
                <w:szCs w:val="18"/>
              </w:rPr>
            </w:pPr>
            <w:r w:rsidRPr="00606927">
              <w:rPr>
                <w:rFonts w:asciiTheme="minorHAnsi" w:eastAsiaTheme="minorEastAsia" w:hAnsiTheme="minorHAnsi" w:cs="Times New Roman" w:hint="eastAsia"/>
                <w:kern w:val="2"/>
                <w:sz w:val="18"/>
                <w:szCs w:val="18"/>
              </w:rPr>
              <w:t>青岛</w:t>
            </w:r>
            <w:proofErr w:type="gramStart"/>
            <w:r w:rsidRPr="00606927">
              <w:rPr>
                <w:rFonts w:asciiTheme="minorHAnsi" w:eastAsiaTheme="minorEastAsia" w:hAnsiTheme="minorHAnsi" w:cs="Times New Roman" w:hint="eastAsia"/>
                <w:kern w:val="2"/>
                <w:sz w:val="18"/>
                <w:szCs w:val="18"/>
              </w:rPr>
              <w:t>睿</w:t>
            </w:r>
            <w:proofErr w:type="gramEnd"/>
            <w:r w:rsidRPr="00606927">
              <w:rPr>
                <w:rFonts w:asciiTheme="minorHAnsi" w:eastAsiaTheme="minorEastAsia" w:hAnsiTheme="minorHAnsi" w:cs="Times New Roman" w:hint="eastAsia"/>
                <w:kern w:val="2"/>
                <w:sz w:val="18"/>
                <w:szCs w:val="18"/>
              </w:rPr>
              <w:t>诚</w:t>
            </w:r>
          </w:p>
        </w:tc>
      </w:tr>
      <w:tr w:rsidR="008D4B2E" w:rsidTr="007E18D0">
        <w:trPr>
          <w:divId w:val="1406106886"/>
          <w:trHeight w:val="340"/>
        </w:trPr>
        <w:tc>
          <w:tcPr>
            <w:tcW w:w="1036" w:type="dxa"/>
            <w:shd w:val="clear" w:color="auto" w:fill="D3D3D3"/>
            <w:noWrap/>
            <w:tcMar>
              <w:top w:w="0" w:type="dxa"/>
              <w:left w:w="108" w:type="dxa"/>
              <w:bottom w:w="0" w:type="dxa"/>
              <w:right w:w="108" w:type="dxa"/>
            </w:tcMar>
            <w:vAlign w:val="center"/>
            <w:hideMark/>
          </w:tcPr>
          <w:p w:rsidR="008D4B2E" w:rsidRDefault="008D4B2E">
            <w:pPr>
              <w:pStyle w:val="a3"/>
              <w:spacing w:before="0" w:beforeAutospacing="0" w:after="0" w:afterAutospacing="0"/>
              <w:rPr>
                <w:rFonts w:ascii="Arial" w:hAnsi="Arial" w:cs="Arial"/>
                <w:sz w:val="20"/>
                <w:szCs w:val="20"/>
              </w:rPr>
            </w:pPr>
            <w:r>
              <w:rPr>
                <w:rFonts w:ascii="Arial" w:hAnsi="Arial" w:cs="Arial"/>
                <w:sz w:val="20"/>
                <w:szCs w:val="20"/>
              </w:rPr>
              <w:t>18</w:t>
            </w:r>
          </w:p>
        </w:tc>
        <w:tc>
          <w:tcPr>
            <w:tcW w:w="4846" w:type="dxa"/>
            <w:noWrap/>
            <w:tcMar>
              <w:top w:w="0" w:type="dxa"/>
              <w:left w:w="108" w:type="dxa"/>
              <w:bottom w:w="0" w:type="dxa"/>
              <w:right w:w="108" w:type="dxa"/>
            </w:tcMar>
            <w:vAlign w:val="center"/>
            <w:hideMark/>
          </w:tcPr>
          <w:p w:rsidR="008D4B2E" w:rsidRPr="00606927" w:rsidRDefault="008D4B2E">
            <w:pPr>
              <w:pStyle w:val="a3"/>
              <w:spacing w:before="0" w:beforeAutospacing="0" w:after="0" w:afterAutospacing="0"/>
              <w:rPr>
                <w:rFonts w:asciiTheme="minorHAnsi" w:eastAsiaTheme="minorEastAsia" w:hAnsiTheme="minorHAnsi" w:cs="Times New Roman"/>
                <w:kern w:val="2"/>
                <w:sz w:val="18"/>
                <w:szCs w:val="18"/>
              </w:rPr>
            </w:pPr>
            <w:r w:rsidRPr="00606927">
              <w:rPr>
                <w:rFonts w:asciiTheme="minorHAnsi" w:eastAsiaTheme="minorEastAsia" w:hAnsiTheme="minorHAnsi" w:cs="Times New Roman" w:hint="eastAsia"/>
                <w:kern w:val="2"/>
                <w:sz w:val="18"/>
                <w:szCs w:val="18"/>
              </w:rPr>
              <w:t>青岛优尼斯通国际贸易有限公司</w:t>
            </w:r>
          </w:p>
        </w:tc>
        <w:tc>
          <w:tcPr>
            <w:tcW w:w="2902" w:type="dxa"/>
            <w:noWrap/>
            <w:tcMar>
              <w:top w:w="0" w:type="dxa"/>
              <w:left w:w="108" w:type="dxa"/>
              <w:bottom w:w="0" w:type="dxa"/>
              <w:right w:w="108" w:type="dxa"/>
            </w:tcMar>
            <w:vAlign w:val="center"/>
            <w:hideMark/>
          </w:tcPr>
          <w:p w:rsidR="008D4B2E" w:rsidRPr="00606927" w:rsidRDefault="008D4B2E">
            <w:pPr>
              <w:pStyle w:val="a3"/>
              <w:spacing w:before="0" w:beforeAutospacing="0" w:after="0" w:afterAutospacing="0"/>
              <w:rPr>
                <w:rFonts w:asciiTheme="minorHAnsi" w:eastAsiaTheme="minorEastAsia" w:hAnsiTheme="minorHAnsi" w:cs="Times New Roman"/>
                <w:kern w:val="2"/>
                <w:sz w:val="18"/>
                <w:szCs w:val="18"/>
              </w:rPr>
            </w:pPr>
            <w:r w:rsidRPr="00606927">
              <w:rPr>
                <w:rFonts w:asciiTheme="minorHAnsi" w:eastAsiaTheme="minorEastAsia" w:hAnsiTheme="minorHAnsi" w:cs="Times New Roman" w:hint="eastAsia"/>
                <w:kern w:val="2"/>
                <w:sz w:val="18"/>
                <w:szCs w:val="18"/>
              </w:rPr>
              <w:t>优尼斯通</w:t>
            </w:r>
          </w:p>
        </w:tc>
      </w:tr>
      <w:tr w:rsidR="008D4B2E" w:rsidTr="007E18D0">
        <w:trPr>
          <w:divId w:val="1406106886"/>
          <w:trHeight w:val="340"/>
        </w:trPr>
        <w:tc>
          <w:tcPr>
            <w:tcW w:w="1036" w:type="dxa"/>
            <w:shd w:val="clear" w:color="auto" w:fill="D3D3D3"/>
            <w:noWrap/>
            <w:tcMar>
              <w:top w:w="0" w:type="dxa"/>
              <w:left w:w="108" w:type="dxa"/>
              <w:bottom w:w="0" w:type="dxa"/>
              <w:right w:w="108" w:type="dxa"/>
            </w:tcMar>
            <w:vAlign w:val="center"/>
            <w:hideMark/>
          </w:tcPr>
          <w:p w:rsidR="008D4B2E" w:rsidRDefault="008D4B2E">
            <w:pPr>
              <w:pStyle w:val="a3"/>
              <w:spacing w:before="0" w:beforeAutospacing="0" w:after="0" w:afterAutospacing="0"/>
              <w:rPr>
                <w:rFonts w:ascii="Arial" w:hAnsi="Arial" w:cs="Arial"/>
                <w:sz w:val="20"/>
                <w:szCs w:val="20"/>
              </w:rPr>
            </w:pPr>
            <w:r>
              <w:rPr>
                <w:rFonts w:ascii="Arial" w:hAnsi="Arial" w:cs="Arial"/>
                <w:sz w:val="20"/>
                <w:szCs w:val="20"/>
              </w:rPr>
              <w:t>19</w:t>
            </w:r>
          </w:p>
        </w:tc>
        <w:tc>
          <w:tcPr>
            <w:tcW w:w="4846" w:type="dxa"/>
            <w:noWrap/>
            <w:tcMar>
              <w:top w:w="0" w:type="dxa"/>
              <w:left w:w="108" w:type="dxa"/>
              <w:bottom w:w="0" w:type="dxa"/>
              <w:right w:w="108" w:type="dxa"/>
            </w:tcMar>
            <w:vAlign w:val="center"/>
            <w:hideMark/>
          </w:tcPr>
          <w:p w:rsidR="008D4B2E" w:rsidRPr="00606927" w:rsidRDefault="008D4B2E">
            <w:pPr>
              <w:pStyle w:val="a3"/>
              <w:spacing w:before="0" w:beforeAutospacing="0" w:after="0" w:afterAutospacing="0"/>
              <w:rPr>
                <w:rFonts w:asciiTheme="minorHAnsi" w:eastAsiaTheme="minorEastAsia" w:hAnsiTheme="minorHAnsi" w:cs="Times New Roman"/>
                <w:kern w:val="2"/>
                <w:sz w:val="18"/>
                <w:szCs w:val="18"/>
              </w:rPr>
            </w:pPr>
            <w:r w:rsidRPr="00606927">
              <w:rPr>
                <w:rFonts w:asciiTheme="minorHAnsi" w:eastAsiaTheme="minorEastAsia" w:hAnsiTheme="minorHAnsi" w:cs="Times New Roman" w:hint="eastAsia"/>
                <w:kern w:val="2"/>
                <w:sz w:val="18"/>
                <w:szCs w:val="18"/>
              </w:rPr>
              <w:t>青岛智控零碳科技有限公司</w:t>
            </w:r>
          </w:p>
        </w:tc>
        <w:tc>
          <w:tcPr>
            <w:tcW w:w="2902" w:type="dxa"/>
            <w:noWrap/>
            <w:tcMar>
              <w:top w:w="0" w:type="dxa"/>
              <w:left w:w="108" w:type="dxa"/>
              <w:bottom w:w="0" w:type="dxa"/>
              <w:right w:w="108" w:type="dxa"/>
            </w:tcMar>
            <w:vAlign w:val="center"/>
            <w:hideMark/>
          </w:tcPr>
          <w:p w:rsidR="008D4B2E" w:rsidRPr="00606927" w:rsidRDefault="008D4B2E">
            <w:pPr>
              <w:pStyle w:val="a3"/>
              <w:spacing w:before="0" w:beforeAutospacing="0" w:after="0" w:afterAutospacing="0"/>
              <w:rPr>
                <w:rFonts w:asciiTheme="minorHAnsi" w:eastAsiaTheme="minorEastAsia" w:hAnsiTheme="minorHAnsi" w:cs="Times New Roman"/>
                <w:kern w:val="2"/>
                <w:sz w:val="18"/>
                <w:szCs w:val="18"/>
              </w:rPr>
            </w:pPr>
            <w:proofErr w:type="gramStart"/>
            <w:r w:rsidRPr="00606927">
              <w:rPr>
                <w:rFonts w:asciiTheme="minorHAnsi" w:eastAsiaTheme="minorEastAsia" w:hAnsiTheme="minorHAnsi" w:cs="Times New Roman" w:hint="eastAsia"/>
                <w:kern w:val="2"/>
                <w:sz w:val="18"/>
                <w:szCs w:val="18"/>
              </w:rPr>
              <w:t>智控零碳</w:t>
            </w:r>
            <w:proofErr w:type="gramEnd"/>
          </w:p>
        </w:tc>
      </w:tr>
      <w:tr w:rsidR="008D4B2E" w:rsidTr="007E18D0">
        <w:trPr>
          <w:divId w:val="1406106886"/>
          <w:trHeight w:val="340"/>
        </w:trPr>
        <w:tc>
          <w:tcPr>
            <w:tcW w:w="1036" w:type="dxa"/>
            <w:shd w:val="clear" w:color="auto" w:fill="D3D3D3"/>
            <w:noWrap/>
            <w:tcMar>
              <w:top w:w="0" w:type="dxa"/>
              <w:left w:w="108" w:type="dxa"/>
              <w:bottom w:w="0" w:type="dxa"/>
              <w:right w:w="108" w:type="dxa"/>
            </w:tcMar>
            <w:vAlign w:val="center"/>
            <w:hideMark/>
          </w:tcPr>
          <w:p w:rsidR="008D4B2E" w:rsidRDefault="008D4B2E">
            <w:pPr>
              <w:pStyle w:val="a3"/>
              <w:spacing w:before="0" w:beforeAutospacing="0" w:after="0" w:afterAutospacing="0"/>
              <w:rPr>
                <w:rFonts w:ascii="Arial" w:hAnsi="Arial" w:cs="Arial"/>
                <w:sz w:val="20"/>
                <w:szCs w:val="20"/>
              </w:rPr>
            </w:pPr>
            <w:r>
              <w:rPr>
                <w:rFonts w:ascii="Arial" w:hAnsi="Arial" w:cs="Arial"/>
                <w:sz w:val="20"/>
                <w:szCs w:val="20"/>
              </w:rPr>
              <w:t>20</w:t>
            </w:r>
          </w:p>
        </w:tc>
        <w:tc>
          <w:tcPr>
            <w:tcW w:w="4846" w:type="dxa"/>
            <w:noWrap/>
            <w:tcMar>
              <w:top w:w="0" w:type="dxa"/>
              <w:left w:w="108" w:type="dxa"/>
              <w:bottom w:w="0" w:type="dxa"/>
              <w:right w:w="108" w:type="dxa"/>
            </w:tcMar>
            <w:vAlign w:val="center"/>
            <w:hideMark/>
          </w:tcPr>
          <w:p w:rsidR="008D4B2E" w:rsidRPr="00606927" w:rsidRDefault="008D4B2E">
            <w:pPr>
              <w:pStyle w:val="a3"/>
              <w:spacing w:before="0" w:beforeAutospacing="0" w:after="0" w:afterAutospacing="0"/>
              <w:rPr>
                <w:rFonts w:asciiTheme="minorHAnsi" w:eastAsiaTheme="minorEastAsia" w:hAnsiTheme="minorHAnsi" w:cs="Times New Roman"/>
                <w:kern w:val="2"/>
                <w:sz w:val="18"/>
                <w:szCs w:val="18"/>
              </w:rPr>
            </w:pPr>
            <w:proofErr w:type="gramStart"/>
            <w:r w:rsidRPr="00606927">
              <w:rPr>
                <w:rFonts w:asciiTheme="minorHAnsi" w:eastAsiaTheme="minorEastAsia" w:hAnsiTheme="minorHAnsi" w:cs="Times New Roman" w:hint="eastAsia"/>
                <w:kern w:val="2"/>
                <w:sz w:val="18"/>
                <w:szCs w:val="18"/>
              </w:rPr>
              <w:t>菏泽智控能源</w:t>
            </w:r>
            <w:proofErr w:type="gramEnd"/>
            <w:r w:rsidRPr="00606927">
              <w:rPr>
                <w:rFonts w:asciiTheme="minorHAnsi" w:eastAsiaTheme="minorEastAsia" w:hAnsiTheme="minorHAnsi" w:cs="Times New Roman" w:hint="eastAsia"/>
                <w:kern w:val="2"/>
                <w:sz w:val="18"/>
                <w:szCs w:val="18"/>
              </w:rPr>
              <w:t>发展有限公司</w:t>
            </w:r>
          </w:p>
        </w:tc>
        <w:tc>
          <w:tcPr>
            <w:tcW w:w="2902" w:type="dxa"/>
            <w:noWrap/>
            <w:tcMar>
              <w:top w:w="0" w:type="dxa"/>
              <w:left w:w="108" w:type="dxa"/>
              <w:bottom w:w="0" w:type="dxa"/>
              <w:right w:w="108" w:type="dxa"/>
            </w:tcMar>
            <w:vAlign w:val="center"/>
            <w:hideMark/>
          </w:tcPr>
          <w:p w:rsidR="008D4B2E" w:rsidRPr="00606927" w:rsidRDefault="008D4B2E">
            <w:pPr>
              <w:pStyle w:val="a3"/>
              <w:spacing w:before="0" w:beforeAutospacing="0" w:after="0" w:afterAutospacing="0"/>
              <w:rPr>
                <w:rFonts w:asciiTheme="minorHAnsi" w:eastAsiaTheme="minorEastAsia" w:hAnsiTheme="minorHAnsi" w:cs="Times New Roman"/>
                <w:kern w:val="2"/>
                <w:sz w:val="18"/>
                <w:szCs w:val="18"/>
              </w:rPr>
            </w:pPr>
            <w:proofErr w:type="gramStart"/>
            <w:r w:rsidRPr="00606927">
              <w:rPr>
                <w:rFonts w:asciiTheme="minorHAnsi" w:eastAsiaTheme="minorEastAsia" w:hAnsiTheme="minorHAnsi" w:cs="Times New Roman" w:hint="eastAsia"/>
                <w:kern w:val="2"/>
                <w:sz w:val="18"/>
                <w:szCs w:val="18"/>
              </w:rPr>
              <w:t>菏泽智控</w:t>
            </w:r>
            <w:proofErr w:type="gramEnd"/>
          </w:p>
        </w:tc>
      </w:tr>
      <w:tr w:rsidR="008D4B2E" w:rsidTr="007E18D0">
        <w:trPr>
          <w:divId w:val="1406106886"/>
          <w:trHeight w:val="340"/>
        </w:trPr>
        <w:tc>
          <w:tcPr>
            <w:tcW w:w="1036" w:type="dxa"/>
            <w:shd w:val="clear" w:color="auto" w:fill="D3D3D3"/>
            <w:noWrap/>
            <w:tcMar>
              <w:top w:w="0" w:type="dxa"/>
              <w:left w:w="108" w:type="dxa"/>
              <w:bottom w:w="0" w:type="dxa"/>
              <w:right w:w="108" w:type="dxa"/>
            </w:tcMar>
            <w:vAlign w:val="center"/>
            <w:hideMark/>
          </w:tcPr>
          <w:p w:rsidR="008D4B2E" w:rsidRDefault="008D4B2E">
            <w:pPr>
              <w:pStyle w:val="a3"/>
              <w:spacing w:before="0" w:beforeAutospacing="0" w:after="0" w:afterAutospacing="0"/>
              <w:rPr>
                <w:rFonts w:ascii="Arial" w:hAnsi="Arial" w:cs="Arial"/>
                <w:sz w:val="20"/>
                <w:szCs w:val="20"/>
              </w:rPr>
            </w:pPr>
            <w:r>
              <w:rPr>
                <w:rFonts w:ascii="Arial" w:hAnsi="Arial" w:cs="Arial"/>
                <w:sz w:val="20"/>
                <w:szCs w:val="20"/>
              </w:rPr>
              <w:t>21</w:t>
            </w:r>
          </w:p>
        </w:tc>
        <w:tc>
          <w:tcPr>
            <w:tcW w:w="4846" w:type="dxa"/>
            <w:noWrap/>
            <w:tcMar>
              <w:top w:w="0" w:type="dxa"/>
              <w:left w:w="108" w:type="dxa"/>
              <w:bottom w:w="0" w:type="dxa"/>
              <w:right w:w="108" w:type="dxa"/>
            </w:tcMar>
            <w:vAlign w:val="center"/>
            <w:hideMark/>
          </w:tcPr>
          <w:p w:rsidR="008D4B2E" w:rsidRPr="00606927" w:rsidRDefault="008D4B2E">
            <w:pPr>
              <w:pStyle w:val="a3"/>
              <w:spacing w:before="0" w:beforeAutospacing="0" w:after="0" w:afterAutospacing="0"/>
              <w:rPr>
                <w:rFonts w:asciiTheme="minorHAnsi" w:eastAsiaTheme="minorEastAsia" w:hAnsiTheme="minorHAnsi" w:cs="Times New Roman"/>
                <w:kern w:val="2"/>
                <w:sz w:val="18"/>
                <w:szCs w:val="18"/>
              </w:rPr>
            </w:pPr>
            <w:bookmarkStart w:id="161" w:name="_Hlk131853367"/>
            <w:bookmarkEnd w:id="161"/>
            <w:r w:rsidRPr="00606927">
              <w:rPr>
                <w:rFonts w:asciiTheme="minorHAnsi" w:eastAsiaTheme="minorEastAsia" w:hAnsiTheme="minorHAnsi" w:cs="Times New Roman" w:hint="eastAsia"/>
                <w:kern w:val="2"/>
                <w:sz w:val="18"/>
                <w:szCs w:val="18"/>
              </w:rPr>
              <w:t>青岛华控赛联新能源科技有限公司</w:t>
            </w:r>
          </w:p>
        </w:tc>
        <w:tc>
          <w:tcPr>
            <w:tcW w:w="2902" w:type="dxa"/>
            <w:noWrap/>
            <w:tcMar>
              <w:top w:w="0" w:type="dxa"/>
              <w:left w:w="108" w:type="dxa"/>
              <w:bottom w:w="0" w:type="dxa"/>
              <w:right w:w="108" w:type="dxa"/>
            </w:tcMar>
            <w:vAlign w:val="center"/>
            <w:hideMark/>
          </w:tcPr>
          <w:p w:rsidR="008D4B2E" w:rsidRPr="00606927" w:rsidRDefault="008D4B2E">
            <w:pPr>
              <w:pStyle w:val="a3"/>
              <w:spacing w:before="0" w:beforeAutospacing="0" w:after="0" w:afterAutospacing="0"/>
              <w:rPr>
                <w:rFonts w:asciiTheme="minorHAnsi" w:eastAsiaTheme="minorEastAsia" w:hAnsiTheme="minorHAnsi" w:cs="Times New Roman"/>
                <w:kern w:val="2"/>
                <w:sz w:val="18"/>
                <w:szCs w:val="18"/>
              </w:rPr>
            </w:pPr>
            <w:proofErr w:type="gramStart"/>
            <w:r w:rsidRPr="00606927">
              <w:rPr>
                <w:rFonts w:asciiTheme="minorHAnsi" w:eastAsiaTheme="minorEastAsia" w:hAnsiTheme="minorHAnsi" w:cs="Times New Roman" w:hint="eastAsia"/>
                <w:kern w:val="2"/>
                <w:sz w:val="18"/>
                <w:szCs w:val="18"/>
              </w:rPr>
              <w:t>华控赛</w:t>
            </w:r>
            <w:proofErr w:type="gramEnd"/>
            <w:r w:rsidRPr="00606927">
              <w:rPr>
                <w:rFonts w:asciiTheme="minorHAnsi" w:eastAsiaTheme="minorEastAsia" w:hAnsiTheme="minorHAnsi" w:cs="Times New Roman" w:hint="eastAsia"/>
                <w:kern w:val="2"/>
                <w:sz w:val="18"/>
                <w:szCs w:val="18"/>
              </w:rPr>
              <w:t>联</w:t>
            </w:r>
          </w:p>
        </w:tc>
      </w:tr>
      <w:tr w:rsidR="008D4B2E" w:rsidTr="007E18D0">
        <w:trPr>
          <w:divId w:val="1406106886"/>
          <w:trHeight w:val="340"/>
        </w:trPr>
        <w:tc>
          <w:tcPr>
            <w:tcW w:w="1036" w:type="dxa"/>
            <w:shd w:val="clear" w:color="auto" w:fill="D3D3D3"/>
            <w:noWrap/>
            <w:tcMar>
              <w:top w:w="0" w:type="dxa"/>
              <w:left w:w="108" w:type="dxa"/>
              <w:bottom w:w="0" w:type="dxa"/>
              <w:right w:w="108" w:type="dxa"/>
            </w:tcMar>
            <w:vAlign w:val="center"/>
            <w:hideMark/>
          </w:tcPr>
          <w:p w:rsidR="008D4B2E" w:rsidRDefault="008D4B2E">
            <w:pPr>
              <w:pStyle w:val="a3"/>
              <w:spacing w:before="0" w:beforeAutospacing="0" w:after="0" w:afterAutospacing="0"/>
              <w:rPr>
                <w:rFonts w:ascii="Arial" w:hAnsi="Arial" w:cs="Arial"/>
                <w:sz w:val="20"/>
                <w:szCs w:val="20"/>
              </w:rPr>
            </w:pPr>
            <w:r>
              <w:rPr>
                <w:rFonts w:ascii="Arial" w:hAnsi="Arial" w:cs="Arial"/>
                <w:sz w:val="20"/>
                <w:szCs w:val="20"/>
              </w:rPr>
              <w:t>22</w:t>
            </w:r>
          </w:p>
        </w:tc>
        <w:tc>
          <w:tcPr>
            <w:tcW w:w="4846" w:type="dxa"/>
            <w:noWrap/>
            <w:tcMar>
              <w:top w:w="0" w:type="dxa"/>
              <w:left w:w="108" w:type="dxa"/>
              <w:bottom w:w="0" w:type="dxa"/>
              <w:right w:w="108" w:type="dxa"/>
            </w:tcMar>
            <w:vAlign w:val="center"/>
            <w:hideMark/>
          </w:tcPr>
          <w:p w:rsidR="008D4B2E" w:rsidRPr="00606927" w:rsidRDefault="00614C8D">
            <w:pPr>
              <w:pStyle w:val="a3"/>
              <w:spacing w:before="0" w:beforeAutospacing="0" w:after="0" w:afterAutospacing="0"/>
              <w:rPr>
                <w:rFonts w:asciiTheme="minorHAnsi" w:eastAsiaTheme="minorEastAsia" w:hAnsiTheme="minorHAnsi" w:cs="Times New Roman"/>
                <w:kern w:val="2"/>
                <w:sz w:val="18"/>
                <w:szCs w:val="18"/>
              </w:rPr>
            </w:pPr>
            <w:r w:rsidRPr="00614C8D">
              <w:rPr>
                <w:rFonts w:asciiTheme="minorHAnsi" w:eastAsiaTheme="minorEastAsia" w:hAnsiTheme="minorHAnsi" w:cs="Times New Roman"/>
                <w:kern w:val="2"/>
                <w:sz w:val="18"/>
                <w:szCs w:val="18"/>
              </w:rPr>
              <w:t>HKZQ ENERGY AND TECHNOLOGY CO., LTD.</w:t>
            </w:r>
          </w:p>
        </w:tc>
        <w:tc>
          <w:tcPr>
            <w:tcW w:w="2902" w:type="dxa"/>
            <w:noWrap/>
            <w:tcMar>
              <w:top w:w="0" w:type="dxa"/>
              <w:left w:w="108" w:type="dxa"/>
              <w:bottom w:w="0" w:type="dxa"/>
              <w:right w:w="108" w:type="dxa"/>
            </w:tcMar>
            <w:vAlign w:val="center"/>
            <w:hideMark/>
          </w:tcPr>
          <w:p w:rsidR="008D4B2E" w:rsidRPr="00606927" w:rsidRDefault="008D4B2E">
            <w:pPr>
              <w:pStyle w:val="a3"/>
              <w:spacing w:before="0" w:beforeAutospacing="0" w:after="0" w:afterAutospacing="0"/>
              <w:rPr>
                <w:rFonts w:asciiTheme="minorHAnsi" w:eastAsiaTheme="minorEastAsia" w:hAnsiTheme="minorHAnsi" w:cs="Times New Roman"/>
                <w:kern w:val="2"/>
                <w:sz w:val="18"/>
                <w:szCs w:val="18"/>
              </w:rPr>
            </w:pPr>
            <w:r w:rsidRPr="00606927">
              <w:rPr>
                <w:rFonts w:asciiTheme="minorHAnsi" w:eastAsiaTheme="minorEastAsia" w:hAnsiTheme="minorHAnsi" w:cs="Times New Roman" w:hint="eastAsia"/>
                <w:kern w:val="2"/>
                <w:sz w:val="18"/>
                <w:szCs w:val="18"/>
              </w:rPr>
              <w:t>华中能源</w:t>
            </w:r>
          </w:p>
        </w:tc>
      </w:tr>
      <w:tr w:rsidR="008D4B2E" w:rsidTr="007E18D0">
        <w:trPr>
          <w:divId w:val="1406106886"/>
          <w:trHeight w:val="340"/>
        </w:trPr>
        <w:tc>
          <w:tcPr>
            <w:tcW w:w="1036" w:type="dxa"/>
            <w:shd w:val="clear" w:color="auto" w:fill="D3D3D3"/>
            <w:noWrap/>
            <w:tcMar>
              <w:top w:w="0" w:type="dxa"/>
              <w:left w:w="108" w:type="dxa"/>
              <w:bottom w:w="0" w:type="dxa"/>
              <w:right w:w="108" w:type="dxa"/>
            </w:tcMar>
            <w:vAlign w:val="center"/>
            <w:hideMark/>
          </w:tcPr>
          <w:p w:rsidR="008D4B2E" w:rsidRDefault="008D4B2E">
            <w:pPr>
              <w:pStyle w:val="a3"/>
              <w:spacing w:before="0" w:beforeAutospacing="0" w:after="0" w:afterAutospacing="0"/>
              <w:rPr>
                <w:rFonts w:ascii="Arial" w:hAnsi="Arial" w:cs="Arial"/>
                <w:sz w:val="20"/>
                <w:szCs w:val="20"/>
              </w:rPr>
            </w:pPr>
            <w:r>
              <w:rPr>
                <w:rFonts w:ascii="Arial" w:hAnsi="Arial" w:cs="Arial"/>
                <w:sz w:val="20"/>
                <w:szCs w:val="20"/>
              </w:rPr>
              <w:t>23</w:t>
            </w:r>
          </w:p>
        </w:tc>
        <w:tc>
          <w:tcPr>
            <w:tcW w:w="4846" w:type="dxa"/>
            <w:noWrap/>
            <w:tcMar>
              <w:top w:w="0" w:type="dxa"/>
              <w:left w:w="108" w:type="dxa"/>
              <w:bottom w:w="0" w:type="dxa"/>
              <w:right w:w="108" w:type="dxa"/>
            </w:tcMar>
            <w:vAlign w:val="center"/>
            <w:hideMark/>
          </w:tcPr>
          <w:p w:rsidR="008D4B2E" w:rsidRPr="00606927" w:rsidRDefault="008D4B2E">
            <w:pPr>
              <w:pStyle w:val="a3"/>
              <w:spacing w:before="0" w:beforeAutospacing="0" w:after="0" w:afterAutospacing="0"/>
              <w:rPr>
                <w:rFonts w:asciiTheme="minorHAnsi" w:eastAsiaTheme="minorEastAsia" w:hAnsiTheme="minorHAnsi" w:cs="Times New Roman"/>
                <w:kern w:val="2"/>
                <w:sz w:val="18"/>
                <w:szCs w:val="18"/>
              </w:rPr>
            </w:pPr>
            <w:proofErr w:type="gramStart"/>
            <w:r w:rsidRPr="00606927">
              <w:rPr>
                <w:rFonts w:asciiTheme="minorHAnsi" w:eastAsiaTheme="minorEastAsia" w:hAnsiTheme="minorHAnsi" w:cs="Times New Roman" w:hint="eastAsia"/>
                <w:kern w:val="2"/>
                <w:sz w:val="18"/>
                <w:szCs w:val="18"/>
              </w:rPr>
              <w:t>德州智控新能源</w:t>
            </w:r>
            <w:proofErr w:type="gramEnd"/>
            <w:r w:rsidRPr="00606927">
              <w:rPr>
                <w:rFonts w:asciiTheme="minorHAnsi" w:eastAsiaTheme="minorEastAsia" w:hAnsiTheme="minorHAnsi" w:cs="Times New Roman" w:hint="eastAsia"/>
                <w:kern w:val="2"/>
                <w:sz w:val="18"/>
                <w:szCs w:val="18"/>
              </w:rPr>
              <w:t>发展有限公司</w:t>
            </w:r>
          </w:p>
        </w:tc>
        <w:tc>
          <w:tcPr>
            <w:tcW w:w="2902" w:type="dxa"/>
            <w:noWrap/>
            <w:tcMar>
              <w:top w:w="0" w:type="dxa"/>
              <w:left w:w="108" w:type="dxa"/>
              <w:bottom w:w="0" w:type="dxa"/>
              <w:right w:w="108" w:type="dxa"/>
            </w:tcMar>
            <w:vAlign w:val="center"/>
            <w:hideMark/>
          </w:tcPr>
          <w:p w:rsidR="008D4B2E" w:rsidRPr="00606927" w:rsidRDefault="008D4B2E">
            <w:pPr>
              <w:pStyle w:val="a3"/>
              <w:spacing w:before="0" w:beforeAutospacing="0" w:after="0" w:afterAutospacing="0"/>
              <w:rPr>
                <w:rFonts w:asciiTheme="minorHAnsi" w:eastAsiaTheme="minorEastAsia" w:hAnsiTheme="minorHAnsi" w:cs="Times New Roman"/>
                <w:kern w:val="2"/>
                <w:sz w:val="18"/>
                <w:szCs w:val="18"/>
              </w:rPr>
            </w:pPr>
            <w:proofErr w:type="gramStart"/>
            <w:r w:rsidRPr="00606927">
              <w:rPr>
                <w:rFonts w:asciiTheme="minorHAnsi" w:eastAsiaTheme="minorEastAsia" w:hAnsiTheme="minorHAnsi" w:cs="Times New Roman" w:hint="eastAsia"/>
                <w:kern w:val="2"/>
                <w:sz w:val="18"/>
                <w:szCs w:val="18"/>
              </w:rPr>
              <w:t>德州智控</w:t>
            </w:r>
            <w:proofErr w:type="gramEnd"/>
          </w:p>
        </w:tc>
      </w:tr>
      <w:tr w:rsidR="008D4B2E" w:rsidTr="007E18D0">
        <w:trPr>
          <w:divId w:val="1406106886"/>
          <w:trHeight w:val="340"/>
        </w:trPr>
        <w:tc>
          <w:tcPr>
            <w:tcW w:w="1036" w:type="dxa"/>
            <w:shd w:val="clear" w:color="auto" w:fill="D3D3D3"/>
            <w:noWrap/>
            <w:tcMar>
              <w:top w:w="0" w:type="dxa"/>
              <w:left w:w="108" w:type="dxa"/>
              <w:bottom w:w="0" w:type="dxa"/>
              <w:right w:w="108" w:type="dxa"/>
            </w:tcMar>
            <w:vAlign w:val="center"/>
            <w:hideMark/>
          </w:tcPr>
          <w:p w:rsidR="008D4B2E" w:rsidRDefault="008D4B2E">
            <w:pPr>
              <w:pStyle w:val="a3"/>
              <w:spacing w:before="0" w:beforeAutospacing="0" w:after="0" w:afterAutospacing="0"/>
              <w:rPr>
                <w:rFonts w:ascii="Arial" w:hAnsi="Arial" w:cs="Arial"/>
                <w:sz w:val="20"/>
                <w:szCs w:val="20"/>
              </w:rPr>
            </w:pPr>
            <w:r>
              <w:rPr>
                <w:rFonts w:ascii="Arial" w:hAnsi="Arial" w:cs="Arial"/>
                <w:sz w:val="20"/>
                <w:szCs w:val="20"/>
              </w:rPr>
              <w:t>24</w:t>
            </w:r>
          </w:p>
        </w:tc>
        <w:tc>
          <w:tcPr>
            <w:tcW w:w="4846" w:type="dxa"/>
            <w:noWrap/>
            <w:tcMar>
              <w:top w:w="0" w:type="dxa"/>
              <w:left w:w="108" w:type="dxa"/>
              <w:bottom w:w="0" w:type="dxa"/>
              <w:right w:w="108" w:type="dxa"/>
            </w:tcMar>
            <w:vAlign w:val="center"/>
            <w:hideMark/>
          </w:tcPr>
          <w:p w:rsidR="008D4B2E" w:rsidRPr="00606927" w:rsidRDefault="008D4B2E">
            <w:pPr>
              <w:pStyle w:val="a3"/>
              <w:spacing w:before="0" w:beforeAutospacing="0" w:after="0" w:afterAutospacing="0"/>
              <w:rPr>
                <w:rFonts w:asciiTheme="minorHAnsi" w:eastAsiaTheme="minorEastAsia" w:hAnsiTheme="minorHAnsi" w:cs="Times New Roman"/>
                <w:kern w:val="2"/>
                <w:sz w:val="18"/>
                <w:szCs w:val="18"/>
              </w:rPr>
            </w:pPr>
            <w:r w:rsidRPr="00606927">
              <w:rPr>
                <w:rFonts w:asciiTheme="minorHAnsi" w:eastAsiaTheme="minorEastAsia" w:hAnsiTheme="minorHAnsi" w:cs="Times New Roman" w:hint="eastAsia"/>
                <w:kern w:val="2"/>
                <w:sz w:val="18"/>
                <w:szCs w:val="18"/>
              </w:rPr>
              <w:t>抚顺伊科思新材料有限公司</w:t>
            </w:r>
          </w:p>
        </w:tc>
        <w:tc>
          <w:tcPr>
            <w:tcW w:w="2902" w:type="dxa"/>
            <w:noWrap/>
            <w:tcMar>
              <w:top w:w="0" w:type="dxa"/>
              <w:left w:w="108" w:type="dxa"/>
              <w:bottom w:w="0" w:type="dxa"/>
              <w:right w:w="108" w:type="dxa"/>
            </w:tcMar>
            <w:vAlign w:val="center"/>
            <w:hideMark/>
          </w:tcPr>
          <w:p w:rsidR="008D4B2E" w:rsidRPr="00606927" w:rsidRDefault="008D4B2E">
            <w:pPr>
              <w:pStyle w:val="a3"/>
              <w:spacing w:before="0" w:beforeAutospacing="0" w:after="0" w:afterAutospacing="0"/>
              <w:rPr>
                <w:rFonts w:asciiTheme="minorHAnsi" w:eastAsiaTheme="minorEastAsia" w:hAnsiTheme="minorHAnsi" w:cs="Times New Roman"/>
                <w:kern w:val="2"/>
                <w:sz w:val="18"/>
                <w:szCs w:val="18"/>
              </w:rPr>
            </w:pPr>
            <w:r w:rsidRPr="00606927">
              <w:rPr>
                <w:rFonts w:asciiTheme="minorHAnsi" w:eastAsiaTheme="minorEastAsia" w:hAnsiTheme="minorHAnsi" w:cs="Times New Roman" w:hint="eastAsia"/>
                <w:kern w:val="2"/>
                <w:sz w:val="18"/>
                <w:szCs w:val="18"/>
              </w:rPr>
              <w:t>抚顺伊科思</w:t>
            </w:r>
          </w:p>
        </w:tc>
      </w:tr>
      <w:tr w:rsidR="008D4B2E" w:rsidTr="007E18D0">
        <w:trPr>
          <w:divId w:val="1406106886"/>
          <w:trHeight w:val="340"/>
        </w:trPr>
        <w:tc>
          <w:tcPr>
            <w:tcW w:w="1036" w:type="dxa"/>
            <w:shd w:val="clear" w:color="auto" w:fill="D3D3D3"/>
            <w:noWrap/>
            <w:tcMar>
              <w:top w:w="0" w:type="dxa"/>
              <w:left w:w="108" w:type="dxa"/>
              <w:bottom w:w="0" w:type="dxa"/>
              <w:right w:w="108" w:type="dxa"/>
            </w:tcMar>
            <w:vAlign w:val="center"/>
            <w:hideMark/>
          </w:tcPr>
          <w:p w:rsidR="008D4B2E" w:rsidRDefault="008D4B2E">
            <w:pPr>
              <w:pStyle w:val="a3"/>
              <w:spacing w:before="0" w:beforeAutospacing="0" w:after="0" w:afterAutospacing="0"/>
              <w:rPr>
                <w:rFonts w:ascii="Arial" w:hAnsi="Arial" w:cs="Arial"/>
                <w:sz w:val="20"/>
                <w:szCs w:val="20"/>
              </w:rPr>
            </w:pPr>
            <w:r>
              <w:rPr>
                <w:rFonts w:ascii="Arial" w:hAnsi="Arial" w:cs="Arial"/>
                <w:sz w:val="20"/>
                <w:szCs w:val="20"/>
              </w:rPr>
              <w:t>25</w:t>
            </w:r>
          </w:p>
        </w:tc>
        <w:tc>
          <w:tcPr>
            <w:tcW w:w="4846" w:type="dxa"/>
            <w:noWrap/>
            <w:tcMar>
              <w:top w:w="0" w:type="dxa"/>
              <w:left w:w="108" w:type="dxa"/>
              <w:bottom w:w="0" w:type="dxa"/>
              <w:right w:w="108" w:type="dxa"/>
            </w:tcMar>
            <w:vAlign w:val="center"/>
            <w:hideMark/>
          </w:tcPr>
          <w:p w:rsidR="008D4B2E" w:rsidRPr="00606927" w:rsidRDefault="008D4B2E">
            <w:pPr>
              <w:pStyle w:val="a3"/>
              <w:spacing w:before="0" w:beforeAutospacing="0" w:after="0" w:afterAutospacing="0"/>
              <w:rPr>
                <w:rFonts w:asciiTheme="minorHAnsi" w:eastAsiaTheme="minorEastAsia" w:hAnsiTheme="minorHAnsi" w:cs="Times New Roman"/>
                <w:kern w:val="2"/>
                <w:sz w:val="18"/>
                <w:szCs w:val="18"/>
              </w:rPr>
            </w:pPr>
            <w:r w:rsidRPr="00606927">
              <w:rPr>
                <w:rFonts w:asciiTheme="minorHAnsi" w:eastAsiaTheme="minorEastAsia" w:hAnsiTheme="minorHAnsi" w:cs="Times New Roman" w:hint="eastAsia"/>
                <w:kern w:val="2"/>
                <w:sz w:val="18"/>
                <w:szCs w:val="18"/>
              </w:rPr>
              <w:t>盘锦伊科思新材料有限公司</w:t>
            </w:r>
          </w:p>
        </w:tc>
        <w:tc>
          <w:tcPr>
            <w:tcW w:w="2902" w:type="dxa"/>
            <w:noWrap/>
            <w:tcMar>
              <w:top w:w="0" w:type="dxa"/>
              <w:left w:w="108" w:type="dxa"/>
              <w:bottom w:w="0" w:type="dxa"/>
              <w:right w:w="108" w:type="dxa"/>
            </w:tcMar>
            <w:vAlign w:val="center"/>
            <w:hideMark/>
          </w:tcPr>
          <w:p w:rsidR="008D4B2E" w:rsidRPr="00606927" w:rsidRDefault="008D4B2E">
            <w:pPr>
              <w:pStyle w:val="a3"/>
              <w:spacing w:before="0" w:beforeAutospacing="0" w:after="0" w:afterAutospacing="0"/>
              <w:rPr>
                <w:rFonts w:asciiTheme="minorHAnsi" w:eastAsiaTheme="minorEastAsia" w:hAnsiTheme="minorHAnsi" w:cs="Times New Roman"/>
                <w:kern w:val="2"/>
                <w:sz w:val="18"/>
                <w:szCs w:val="18"/>
              </w:rPr>
            </w:pPr>
            <w:r w:rsidRPr="00606927">
              <w:rPr>
                <w:rFonts w:asciiTheme="minorHAnsi" w:eastAsiaTheme="minorEastAsia" w:hAnsiTheme="minorHAnsi" w:cs="Times New Roman" w:hint="eastAsia"/>
                <w:kern w:val="2"/>
                <w:sz w:val="18"/>
                <w:szCs w:val="18"/>
              </w:rPr>
              <w:t>盘锦伊科思</w:t>
            </w:r>
          </w:p>
        </w:tc>
      </w:tr>
      <w:tr w:rsidR="008D4B2E" w:rsidTr="007E18D0">
        <w:trPr>
          <w:divId w:val="1406106886"/>
          <w:trHeight w:val="340"/>
        </w:trPr>
        <w:tc>
          <w:tcPr>
            <w:tcW w:w="1036" w:type="dxa"/>
            <w:shd w:val="clear" w:color="auto" w:fill="D3D3D3"/>
            <w:noWrap/>
            <w:tcMar>
              <w:top w:w="0" w:type="dxa"/>
              <w:left w:w="108" w:type="dxa"/>
              <w:bottom w:w="0" w:type="dxa"/>
              <w:right w:w="108" w:type="dxa"/>
            </w:tcMar>
            <w:vAlign w:val="center"/>
            <w:hideMark/>
          </w:tcPr>
          <w:p w:rsidR="008D4B2E" w:rsidRDefault="008D4B2E">
            <w:pPr>
              <w:pStyle w:val="a3"/>
              <w:spacing w:before="0" w:beforeAutospacing="0" w:after="0" w:afterAutospacing="0"/>
              <w:rPr>
                <w:rFonts w:ascii="Arial" w:hAnsi="Arial" w:cs="Arial"/>
                <w:sz w:val="20"/>
                <w:szCs w:val="20"/>
              </w:rPr>
            </w:pPr>
            <w:r>
              <w:rPr>
                <w:rFonts w:ascii="Arial" w:hAnsi="Arial" w:cs="Arial"/>
                <w:sz w:val="20"/>
                <w:szCs w:val="20"/>
              </w:rPr>
              <w:t>26</w:t>
            </w:r>
          </w:p>
        </w:tc>
        <w:tc>
          <w:tcPr>
            <w:tcW w:w="4846" w:type="dxa"/>
            <w:noWrap/>
            <w:tcMar>
              <w:top w:w="0" w:type="dxa"/>
              <w:left w:w="108" w:type="dxa"/>
              <w:bottom w:w="0" w:type="dxa"/>
              <w:right w:w="108" w:type="dxa"/>
            </w:tcMar>
            <w:vAlign w:val="center"/>
            <w:hideMark/>
          </w:tcPr>
          <w:p w:rsidR="008D4B2E" w:rsidRPr="00606927" w:rsidRDefault="008D4B2E">
            <w:pPr>
              <w:pStyle w:val="a3"/>
              <w:spacing w:before="0" w:beforeAutospacing="0" w:after="0" w:afterAutospacing="0"/>
              <w:rPr>
                <w:rFonts w:asciiTheme="minorHAnsi" w:eastAsiaTheme="minorEastAsia" w:hAnsiTheme="minorHAnsi" w:cs="Times New Roman"/>
                <w:kern w:val="2"/>
                <w:sz w:val="18"/>
                <w:szCs w:val="18"/>
              </w:rPr>
            </w:pPr>
            <w:r w:rsidRPr="00606927">
              <w:rPr>
                <w:rFonts w:asciiTheme="minorHAnsi" w:eastAsiaTheme="minorEastAsia" w:hAnsiTheme="minorHAnsi" w:cs="Times New Roman" w:hint="eastAsia"/>
                <w:kern w:val="2"/>
                <w:sz w:val="18"/>
                <w:szCs w:val="18"/>
              </w:rPr>
              <w:t>益</w:t>
            </w:r>
            <w:proofErr w:type="gramStart"/>
            <w:r w:rsidRPr="00606927">
              <w:rPr>
                <w:rFonts w:asciiTheme="minorHAnsi" w:eastAsiaTheme="minorEastAsia" w:hAnsiTheme="minorHAnsi" w:cs="Times New Roman" w:hint="eastAsia"/>
                <w:kern w:val="2"/>
                <w:sz w:val="18"/>
                <w:szCs w:val="18"/>
              </w:rPr>
              <w:t>凯</w:t>
            </w:r>
            <w:proofErr w:type="gramEnd"/>
            <w:r w:rsidRPr="00606927">
              <w:rPr>
                <w:rFonts w:asciiTheme="minorHAnsi" w:eastAsiaTheme="minorEastAsia" w:hAnsiTheme="minorHAnsi" w:cs="Times New Roman" w:hint="eastAsia"/>
                <w:kern w:val="2"/>
                <w:sz w:val="18"/>
                <w:szCs w:val="18"/>
              </w:rPr>
              <w:t>新材料有限公司</w:t>
            </w:r>
          </w:p>
        </w:tc>
        <w:tc>
          <w:tcPr>
            <w:tcW w:w="2902" w:type="dxa"/>
            <w:noWrap/>
            <w:tcMar>
              <w:top w:w="0" w:type="dxa"/>
              <w:left w:w="108" w:type="dxa"/>
              <w:bottom w:w="0" w:type="dxa"/>
              <w:right w:w="108" w:type="dxa"/>
            </w:tcMar>
            <w:vAlign w:val="center"/>
            <w:hideMark/>
          </w:tcPr>
          <w:p w:rsidR="008D4B2E" w:rsidRPr="00606927" w:rsidRDefault="008D4B2E">
            <w:pPr>
              <w:pStyle w:val="a3"/>
              <w:spacing w:before="0" w:beforeAutospacing="0" w:after="0" w:afterAutospacing="0"/>
              <w:rPr>
                <w:rFonts w:asciiTheme="minorHAnsi" w:eastAsiaTheme="minorEastAsia" w:hAnsiTheme="minorHAnsi" w:cs="Times New Roman"/>
                <w:kern w:val="2"/>
                <w:sz w:val="18"/>
                <w:szCs w:val="18"/>
              </w:rPr>
            </w:pPr>
            <w:r w:rsidRPr="00606927">
              <w:rPr>
                <w:rFonts w:asciiTheme="minorHAnsi" w:eastAsiaTheme="minorEastAsia" w:hAnsiTheme="minorHAnsi" w:cs="Times New Roman" w:hint="eastAsia"/>
                <w:kern w:val="2"/>
                <w:sz w:val="18"/>
                <w:szCs w:val="18"/>
              </w:rPr>
              <w:t>益</w:t>
            </w:r>
            <w:proofErr w:type="gramStart"/>
            <w:r w:rsidRPr="00606927">
              <w:rPr>
                <w:rFonts w:asciiTheme="minorHAnsi" w:eastAsiaTheme="minorEastAsia" w:hAnsiTheme="minorHAnsi" w:cs="Times New Roman" w:hint="eastAsia"/>
                <w:kern w:val="2"/>
                <w:sz w:val="18"/>
                <w:szCs w:val="18"/>
              </w:rPr>
              <w:t>凯</w:t>
            </w:r>
            <w:proofErr w:type="gramEnd"/>
            <w:r w:rsidRPr="00606927">
              <w:rPr>
                <w:rFonts w:asciiTheme="minorHAnsi" w:eastAsiaTheme="minorEastAsia" w:hAnsiTheme="minorHAnsi" w:cs="Times New Roman" w:hint="eastAsia"/>
                <w:kern w:val="2"/>
                <w:sz w:val="18"/>
                <w:szCs w:val="18"/>
              </w:rPr>
              <w:t>新材料</w:t>
            </w:r>
          </w:p>
        </w:tc>
      </w:tr>
      <w:tr w:rsidR="008D4B2E" w:rsidTr="007E18D0">
        <w:trPr>
          <w:divId w:val="1406106886"/>
          <w:trHeight w:val="340"/>
        </w:trPr>
        <w:tc>
          <w:tcPr>
            <w:tcW w:w="1036" w:type="dxa"/>
            <w:shd w:val="clear" w:color="auto" w:fill="D3D3D3"/>
            <w:noWrap/>
            <w:tcMar>
              <w:top w:w="0" w:type="dxa"/>
              <w:left w:w="108" w:type="dxa"/>
              <w:bottom w:w="0" w:type="dxa"/>
              <w:right w:w="108" w:type="dxa"/>
            </w:tcMar>
            <w:vAlign w:val="center"/>
            <w:hideMark/>
          </w:tcPr>
          <w:p w:rsidR="008D4B2E" w:rsidRDefault="008D4B2E">
            <w:pPr>
              <w:pStyle w:val="a3"/>
              <w:spacing w:before="0" w:beforeAutospacing="0" w:after="0" w:afterAutospacing="0"/>
              <w:rPr>
                <w:rFonts w:ascii="Arial" w:hAnsi="Arial" w:cs="Arial"/>
                <w:sz w:val="20"/>
                <w:szCs w:val="20"/>
              </w:rPr>
            </w:pPr>
            <w:r>
              <w:rPr>
                <w:rFonts w:ascii="Arial" w:hAnsi="Arial" w:cs="Arial"/>
                <w:sz w:val="20"/>
                <w:szCs w:val="20"/>
              </w:rPr>
              <w:t>27</w:t>
            </w:r>
          </w:p>
        </w:tc>
        <w:tc>
          <w:tcPr>
            <w:tcW w:w="4846" w:type="dxa"/>
            <w:noWrap/>
            <w:tcMar>
              <w:top w:w="0" w:type="dxa"/>
              <w:left w:w="108" w:type="dxa"/>
              <w:bottom w:w="0" w:type="dxa"/>
              <w:right w:w="108" w:type="dxa"/>
            </w:tcMar>
            <w:vAlign w:val="center"/>
            <w:hideMark/>
          </w:tcPr>
          <w:p w:rsidR="008D4B2E" w:rsidRPr="00606927" w:rsidRDefault="008D4B2E">
            <w:pPr>
              <w:pStyle w:val="a3"/>
              <w:spacing w:before="0" w:beforeAutospacing="0" w:after="0" w:afterAutospacing="0"/>
              <w:rPr>
                <w:rFonts w:asciiTheme="minorHAnsi" w:eastAsiaTheme="minorEastAsia" w:hAnsiTheme="minorHAnsi" w:cs="Times New Roman"/>
                <w:kern w:val="2"/>
                <w:sz w:val="18"/>
                <w:szCs w:val="18"/>
              </w:rPr>
            </w:pPr>
            <w:r w:rsidRPr="00606927">
              <w:rPr>
                <w:rFonts w:asciiTheme="minorHAnsi" w:eastAsiaTheme="minorEastAsia" w:hAnsiTheme="minorHAnsi" w:cs="Times New Roman" w:hint="eastAsia"/>
                <w:kern w:val="2"/>
                <w:sz w:val="18"/>
                <w:szCs w:val="18"/>
              </w:rPr>
              <w:t>软控（诸暨）智能装备有限公司</w:t>
            </w:r>
          </w:p>
        </w:tc>
        <w:tc>
          <w:tcPr>
            <w:tcW w:w="2902" w:type="dxa"/>
            <w:noWrap/>
            <w:tcMar>
              <w:top w:w="0" w:type="dxa"/>
              <w:left w:w="108" w:type="dxa"/>
              <w:bottom w:w="0" w:type="dxa"/>
              <w:right w:w="108" w:type="dxa"/>
            </w:tcMar>
            <w:vAlign w:val="center"/>
            <w:hideMark/>
          </w:tcPr>
          <w:p w:rsidR="008D4B2E" w:rsidRPr="00606927" w:rsidRDefault="008D4B2E">
            <w:pPr>
              <w:pStyle w:val="a3"/>
              <w:spacing w:before="0" w:beforeAutospacing="0" w:after="0" w:afterAutospacing="0"/>
              <w:rPr>
                <w:rFonts w:asciiTheme="minorHAnsi" w:eastAsiaTheme="minorEastAsia" w:hAnsiTheme="minorHAnsi" w:cs="Times New Roman"/>
                <w:kern w:val="2"/>
                <w:sz w:val="18"/>
                <w:szCs w:val="18"/>
              </w:rPr>
            </w:pPr>
            <w:proofErr w:type="gramStart"/>
            <w:r w:rsidRPr="00606927">
              <w:rPr>
                <w:rFonts w:asciiTheme="minorHAnsi" w:eastAsiaTheme="minorEastAsia" w:hAnsiTheme="minorHAnsi" w:cs="Times New Roman" w:hint="eastAsia"/>
                <w:kern w:val="2"/>
                <w:sz w:val="18"/>
                <w:szCs w:val="18"/>
              </w:rPr>
              <w:t>软控诸暨</w:t>
            </w:r>
            <w:proofErr w:type="gramEnd"/>
          </w:p>
        </w:tc>
      </w:tr>
      <w:tr w:rsidR="008D4B2E" w:rsidTr="007E18D0">
        <w:trPr>
          <w:divId w:val="1406106886"/>
          <w:trHeight w:val="340"/>
        </w:trPr>
        <w:tc>
          <w:tcPr>
            <w:tcW w:w="1036" w:type="dxa"/>
            <w:shd w:val="clear" w:color="auto" w:fill="D3D3D3"/>
            <w:noWrap/>
            <w:tcMar>
              <w:top w:w="0" w:type="dxa"/>
              <w:left w:w="108" w:type="dxa"/>
              <w:bottom w:w="0" w:type="dxa"/>
              <w:right w:w="108" w:type="dxa"/>
            </w:tcMar>
            <w:vAlign w:val="center"/>
            <w:hideMark/>
          </w:tcPr>
          <w:p w:rsidR="008D4B2E" w:rsidRDefault="008D4B2E">
            <w:pPr>
              <w:pStyle w:val="a3"/>
              <w:spacing w:before="0" w:beforeAutospacing="0" w:after="0" w:afterAutospacing="0"/>
              <w:rPr>
                <w:rFonts w:ascii="Arial" w:hAnsi="Arial" w:cs="Arial"/>
                <w:sz w:val="20"/>
                <w:szCs w:val="20"/>
              </w:rPr>
            </w:pPr>
            <w:r>
              <w:rPr>
                <w:rFonts w:ascii="Arial" w:hAnsi="Arial" w:cs="Arial"/>
                <w:sz w:val="20"/>
                <w:szCs w:val="20"/>
              </w:rPr>
              <w:t>28</w:t>
            </w:r>
          </w:p>
        </w:tc>
        <w:tc>
          <w:tcPr>
            <w:tcW w:w="4846" w:type="dxa"/>
            <w:noWrap/>
            <w:tcMar>
              <w:top w:w="0" w:type="dxa"/>
              <w:left w:w="108" w:type="dxa"/>
              <w:bottom w:w="0" w:type="dxa"/>
              <w:right w:w="108" w:type="dxa"/>
            </w:tcMar>
            <w:vAlign w:val="center"/>
            <w:hideMark/>
          </w:tcPr>
          <w:p w:rsidR="008D4B2E" w:rsidRPr="00606927" w:rsidRDefault="008D4B2E">
            <w:pPr>
              <w:pStyle w:val="a3"/>
              <w:spacing w:before="0" w:beforeAutospacing="0" w:after="0" w:afterAutospacing="0"/>
              <w:rPr>
                <w:rFonts w:asciiTheme="minorHAnsi" w:eastAsiaTheme="minorEastAsia" w:hAnsiTheme="minorHAnsi" w:cs="Times New Roman"/>
                <w:kern w:val="2"/>
                <w:sz w:val="18"/>
                <w:szCs w:val="18"/>
              </w:rPr>
            </w:pPr>
            <w:r w:rsidRPr="00606927">
              <w:rPr>
                <w:rFonts w:asciiTheme="minorHAnsi" w:eastAsiaTheme="minorEastAsia" w:hAnsiTheme="minorHAnsi" w:cs="Times New Roman" w:hint="eastAsia"/>
                <w:kern w:val="2"/>
                <w:sz w:val="18"/>
                <w:szCs w:val="18"/>
              </w:rPr>
              <w:t>浙江软控智能科技股份有限公司</w:t>
            </w:r>
          </w:p>
        </w:tc>
        <w:tc>
          <w:tcPr>
            <w:tcW w:w="2902" w:type="dxa"/>
            <w:noWrap/>
            <w:tcMar>
              <w:top w:w="0" w:type="dxa"/>
              <w:left w:w="108" w:type="dxa"/>
              <w:bottom w:w="0" w:type="dxa"/>
              <w:right w:w="108" w:type="dxa"/>
            </w:tcMar>
            <w:vAlign w:val="center"/>
            <w:hideMark/>
          </w:tcPr>
          <w:p w:rsidR="008D4B2E" w:rsidRPr="00606927" w:rsidRDefault="008D4B2E">
            <w:pPr>
              <w:pStyle w:val="a3"/>
              <w:spacing w:before="0" w:beforeAutospacing="0" w:after="0" w:afterAutospacing="0"/>
              <w:rPr>
                <w:rFonts w:asciiTheme="minorHAnsi" w:eastAsiaTheme="minorEastAsia" w:hAnsiTheme="minorHAnsi" w:cs="Times New Roman"/>
                <w:kern w:val="2"/>
                <w:sz w:val="18"/>
                <w:szCs w:val="18"/>
              </w:rPr>
            </w:pPr>
            <w:proofErr w:type="gramStart"/>
            <w:r w:rsidRPr="00606927">
              <w:rPr>
                <w:rFonts w:asciiTheme="minorHAnsi" w:eastAsiaTheme="minorEastAsia" w:hAnsiTheme="minorHAnsi" w:cs="Times New Roman" w:hint="eastAsia"/>
                <w:kern w:val="2"/>
                <w:sz w:val="18"/>
                <w:szCs w:val="18"/>
              </w:rPr>
              <w:t>软控科技</w:t>
            </w:r>
            <w:proofErr w:type="gramEnd"/>
          </w:p>
        </w:tc>
      </w:tr>
      <w:tr w:rsidR="008D4B2E" w:rsidTr="007E18D0">
        <w:trPr>
          <w:divId w:val="1406106886"/>
          <w:trHeight w:val="340"/>
        </w:trPr>
        <w:tc>
          <w:tcPr>
            <w:tcW w:w="1036" w:type="dxa"/>
            <w:shd w:val="clear" w:color="auto" w:fill="D3D3D3"/>
            <w:noWrap/>
            <w:tcMar>
              <w:top w:w="0" w:type="dxa"/>
              <w:left w:w="108" w:type="dxa"/>
              <w:bottom w:w="0" w:type="dxa"/>
              <w:right w:w="108" w:type="dxa"/>
            </w:tcMar>
            <w:vAlign w:val="center"/>
            <w:hideMark/>
          </w:tcPr>
          <w:p w:rsidR="008D4B2E" w:rsidRDefault="008D4B2E">
            <w:pPr>
              <w:pStyle w:val="a3"/>
              <w:spacing w:before="0" w:beforeAutospacing="0" w:after="0" w:afterAutospacing="0"/>
              <w:rPr>
                <w:rFonts w:ascii="Arial" w:hAnsi="Arial" w:cs="Arial"/>
                <w:sz w:val="20"/>
                <w:szCs w:val="20"/>
              </w:rPr>
            </w:pPr>
            <w:r>
              <w:rPr>
                <w:rFonts w:ascii="Arial" w:hAnsi="Arial" w:cs="Arial"/>
                <w:sz w:val="20"/>
                <w:szCs w:val="20"/>
              </w:rPr>
              <w:t>29</w:t>
            </w:r>
          </w:p>
        </w:tc>
        <w:tc>
          <w:tcPr>
            <w:tcW w:w="4846" w:type="dxa"/>
            <w:noWrap/>
            <w:tcMar>
              <w:top w:w="0" w:type="dxa"/>
              <w:left w:w="108" w:type="dxa"/>
              <w:bottom w:w="0" w:type="dxa"/>
              <w:right w:w="108" w:type="dxa"/>
            </w:tcMar>
            <w:vAlign w:val="center"/>
            <w:hideMark/>
          </w:tcPr>
          <w:p w:rsidR="008D4B2E" w:rsidRPr="00606927" w:rsidRDefault="008D4B2E">
            <w:pPr>
              <w:pStyle w:val="a3"/>
              <w:spacing w:before="0" w:beforeAutospacing="0" w:after="0" w:afterAutospacing="0"/>
              <w:rPr>
                <w:rFonts w:asciiTheme="minorHAnsi" w:eastAsiaTheme="minorEastAsia" w:hAnsiTheme="minorHAnsi" w:cs="Times New Roman"/>
                <w:kern w:val="2"/>
                <w:sz w:val="18"/>
                <w:szCs w:val="18"/>
              </w:rPr>
            </w:pPr>
            <w:r w:rsidRPr="00606927">
              <w:rPr>
                <w:rFonts w:asciiTheme="minorHAnsi" w:eastAsiaTheme="minorEastAsia" w:hAnsiTheme="minorHAnsi" w:cs="Times New Roman" w:hint="eastAsia"/>
                <w:kern w:val="2"/>
                <w:sz w:val="18"/>
                <w:szCs w:val="18"/>
              </w:rPr>
              <w:t>青岛云纵智能科技有限公司</w:t>
            </w:r>
          </w:p>
        </w:tc>
        <w:tc>
          <w:tcPr>
            <w:tcW w:w="2902" w:type="dxa"/>
            <w:noWrap/>
            <w:tcMar>
              <w:top w:w="0" w:type="dxa"/>
              <w:left w:w="108" w:type="dxa"/>
              <w:bottom w:w="0" w:type="dxa"/>
              <w:right w:w="108" w:type="dxa"/>
            </w:tcMar>
            <w:vAlign w:val="center"/>
            <w:hideMark/>
          </w:tcPr>
          <w:p w:rsidR="008D4B2E" w:rsidRPr="00606927" w:rsidRDefault="008D4B2E">
            <w:pPr>
              <w:pStyle w:val="a3"/>
              <w:spacing w:before="0" w:beforeAutospacing="0" w:after="0" w:afterAutospacing="0"/>
              <w:rPr>
                <w:rFonts w:asciiTheme="minorHAnsi" w:eastAsiaTheme="minorEastAsia" w:hAnsiTheme="minorHAnsi" w:cs="Times New Roman"/>
                <w:kern w:val="2"/>
                <w:sz w:val="18"/>
                <w:szCs w:val="18"/>
              </w:rPr>
            </w:pPr>
            <w:proofErr w:type="gramStart"/>
            <w:r w:rsidRPr="00606927">
              <w:rPr>
                <w:rFonts w:asciiTheme="minorHAnsi" w:eastAsiaTheme="minorEastAsia" w:hAnsiTheme="minorHAnsi" w:cs="Times New Roman" w:hint="eastAsia"/>
                <w:kern w:val="2"/>
                <w:sz w:val="18"/>
                <w:szCs w:val="18"/>
              </w:rPr>
              <w:t>青岛云纵</w:t>
            </w:r>
            <w:proofErr w:type="gramEnd"/>
          </w:p>
        </w:tc>
      </w:tr>
      <w:tr w:rsidR="008D4B2E" w:rsidTr="007E18D0">
        <w:trPr>
          <w:divId w:val="1406106886"/>
          <w:trHeight w:val="340"/>
        </w:trPr>
        <w:tc>
          <w:tcPr>
            <w:tcW w:w="1036" w:type="dxa"/>
            <w:shd w:val="clear" w:color="auto" w:fill="D3D3D3"/>
            <w:noWrap/>
            <w:tcMar>
              <w:top w:w="0" w:type="dxa"/>
              <w:left w:w="108" w:type="dxa"/>
              <w:bottom w:w="0" w:type="dxa"/>
              <w:right w:w="108" w:type="dxa"/>
            </w:tcMar>
            <w:vAlign w:val="center"/>
            <w:hideMark/>
          </w:tcPr>
          <w:p w:rsidR="008D4B2E" w:rsidRDefault="008D4B2E">
            <w:pPr>
              <w:pStyle w:val="a3"/>
              <w:spacing w:before="0" w:beforeAutospacing="0" w:after="0" w:afterAutospacing="0"/>
              <w:rPr>
                <w:rFonts w:ascii="Arial" w:hAnsi="Arial" w:cs="Arial"/>
                <w:sz w:val="20"/>
                <w:szCs w:val="20"/>
              </w:rPr>
            </w:pPr>
            <w:r>
              <w:rPr>
                <w:rFonts w:ascii="Arial" w:hAnsi="Arial" w:cs="Arial"/>
                <w:sz w:val="20"/>
                <w:szCs w:val="20"/>
              </w:rPr>
              <w:t>30</w:t>
            </w:r>
          </w:p>
        </w:tc>
        <w:tc>
          <w:tcPr>
            <w:tcW w:w="4846" w:type="dxa"/>
            <w:noWrap/>
            <w:tcMar>
              <w:top w:w="0" w:type="dxa"/>
              <w:left w:w="108" w:type="dxa"/>
              <w:bottom w:w="0" w:type="dxa"/>
              <w:right w:w="108" w:type="dxa"/>
            </w:tcMar>
            <w:vAlign w:val="center"/>
            <w:hideMark/>
          </w:tcPr>
          <w:p w:rsidR="008D4B2E" w:rsidRPr="00606927" w:rsidRDefault="008D4B2E">
            <w:pPr>
              <w:pStyle w:val="a3"/>
              <w:spacing w:before="0" w:beforeAutospacing="0" w:after="0" w:afterAutospacing="0"/>
              <w:rPr>
                <w:rFonts w:asciiTheme="minorHAnsi" w:eastAsiaTheme="minorEastAsia" w:hAnsiTheme="minorHAnsi" w:cs="Times New Roman"/>
                <w:kern w:val="2"/>
                <w:sz w:val="18"/>
                <w:szCs w:val="18"/>
              </w:rPr>
            </w:pPr>
            <w:r w:rsidRPr="00606927">
              <w:rPr>
                <w:rFonts w:asciiTheme="minorHAnsi" w:eastAsiaTheme="minorEastAsia" w:hAnsiTheme="minorHAnsi" w:cs="Times New Roman" w:hint="eastAsia"/>
                <w:kern w:val="2"/>
                <w:sz w:val="18"/>
                <w:szCs w:val="18"/>
              </w:rPr>
              <w:t>浙江叁晟信息科技有限公司</w:t>
            </w:r>
          </w:p>
        </w:tc>
        <w:tc>
          <w:tcPr>
            <w:tcW w:w="2902" w:type="dxa"/>
            <w:noWrap/>
            <w:tcMar>
              <w:top w:w="0" w:type="dxa"/>
              <w:left w:w="108" w:type="dxa"/>
              <w:bottom w:w="0" w:type="dxa"/>
              <w:right w:w="108" w:type="dxa"/>
            </w:tcMar>
            <w:vAlign w:val="center"/>
            <w:hideMark/>
          </w:tcPr>
          <w:p w:rsidR="008D4B2E" w:rsidRPr="00606927" w:rsidRDefault="008D4B2E">
            <w:pPr>
              <w:pStyle w:val="a3"/>
              <w:spacing w:before="0" w:beforeAutospacing="0" w:after="0" w:afterAutospacing="0"/>
              <w:rPr>
                <w:rFonts w:asciiTheme="minorHAnsi" w:eastAsiaTheme="minorEastAsia" w:hAnsiTheme="minorHAnsi" w:cs="Times New Roman"/>
                <w:kern w:val="2"/>
                <w:sz w:val="18"/>
                <w:szCs w:val="18"/>
              </w:rPr>
            </w:pPr>
            <w:r w:rsidRPr="00606927">
              <w:rPr>
                <w:rFonts w:asciiTheme="minorHAnsi" w:eastAsiaTheme="minorEastAsia" w:hAnsiTheme="minorHAnsi" w:cs="Times New Roman" w:hint="eastAsia"/>
                <w:kern w:val="2"/>
                <w:sz w:val="18"/>
                <w:szCs w:val="18"/>
              </w:rPr>
              <w:t>浙江叁</w:t>
            </w:r>
            <w:proofErr w:type="gramStart"/>
            <w:r w:rsidRPr="00606927">
              <w:rPr>
                <w:rFonts w:asciiTheme="minorHAnsi" w:eastAsiaTheme="minorEastAsia" w:hAnsiTheme="minorHAnsi" w:cs="Times New Roman" w:hint="eastAsia"/>
                <w:kern w:val="2"/>
                <w:sz w:val="18"/>
                <w:szCs w:val="18"/>
              </w:rPr>
              <w:t>晟</w:t>
            </w:r>
            <w:proofErr w:type="gramEnd"/>
          </w:p>
        </w:tc>
      </w:tr>
      <w:tr w:rsidR="008D4B2E" w:rsidTr="007E18D0">
        <w:trPr>
          <w:divId w:val="1406106886"/>
          <w:trHeight w:val="340"/>
        </w:trPr>
        <w:tc>
          <w:tcPr>
            <w:tcW w:w="1036" w:type="dxa"/>
            <w:shd w:val="clear" w:color="auto" w:fill="D3D3D3"/>
            <w:noWrap/>
            <w:tcMar>
              <w:top w:w="0" w:type="dxa"/>
              <w:left w:w="108" w:type="dxa"/>
              <w:bottom w:w="0" w:type="dxa"/>
              <w:right w:w="108" w:type="dxa"/>
            </w:tcMar>
            <w:vAlign w:val="center"/>
            <w:hideMark/>
          </w:tcPr>
          <w:p w:rsidR="008D4B2E" w:rsidRDefault="008D4B2E">
            <w:pPr>
              <w:pStyle w:val="a3"/>
              <w:spacing w:before="0" w:beforeAutospacing="0" w:after="0" w:afterAutospacing="0"/>
              <w:rPr>
                <w:rFonts w:ascii="Arial" w:hAnsi="Arial" w:cs="Arial"/>
                <w:sz w:val="20"/>
                <w:szCs w:val="20"/>
              </w:rPr>
            </w:pPr>
            <w:r>
              <w:rPr>
                <w:rFonts w:ascii="Arial" w:hAnsi="Arial" w:cs="Arial"/>
                <w:sz w:val="20"/>
                <w:szCs w:val="20"/>
              </w:rPr>
              <w:t>31</w:t>
            </w:r>
          </w:p>
        </w:tc>
        <w:tc>
          <w:tcPr>
            <w:tcW w:w="4846" w:type="dxa"/>
            <w:noWrap/>
            <w:tcMar>
              <w:top w:w="0" w:type="dxa"/>
              <w:left w:w="108" w:type="dxa"/>
              <w:bottom w:w="0" w:type="dxa"/>
              <w:right w:w="108" w:type="dxa"/>
            </w:tcMar>
            <w:vAlign w:val="center"/>
            <w:hideMark/>
          </w:tcPr>
          <w:p w:rsidR="008D4B2E" w:rsidRPr="00606927" w:rsidRDefault="008D4B2E">
            <w:pPr>
              <w:pStyle w:val="a3"/>
              <w:spacing w:before="0" w:beforeAutospacing="0" w:after="0" w:afterAutospacing="0"/>
              <w:rPr>
                <w:rFonts w:asciiTheme="minorHAnsi" w:eastAsiaTheme="minorEastAsia" w:hAnsiTheme="minorHAnsi" w:cs="Times New Roman"/>
                <w:kern w:val="2"/>
                <w:sz w:val="18"/>
                <w:szCs w:val="18"/>
              </w:rPr>
            </w:pPr>
            <w:proofErr w:type="gramStart"/>
            <w:r w:rsidRPr="00606927">
              <w:rPr>
                <w:rFonts w:asciiTheme="minorHAnsi" w:eastAsiaTheme="minorEastAsia" w:hAnsiTheme="minorHAnsi" w:cs="Times New Roman" w:hint="eastAsia"/>
                <w:kern w:val="2"/>
                <w:sz w:val="18"/>
                <w:szCs w:val="18"/>
              </w:rPr>
              <w:t>软控欧洲</w:t>
            </w:r>
            <w:proofErr w:type="gramEnd"/>
            <w:r w:rsidRPr="00606927">
              <w:rPr>
                <w:rFonts w:asciiTheme="minorHAnsi" w:eastAsiaTheme="minorEastAsia" w:hAnsiTheme="minorHAnsi" w:cs="Times New Roman" w:hint="eastAsia"/>
                <w:kern w:val="2"/>
                <w:sz w:val="18"/>
                <w:szCs w:val="18"/>
              </w:rPr>
              <w:t>研发和技术中心有限责任公司</w:t>
            </w:r>
          </w:p>
        </w:tc>
        <w:tc>
          <w:tcPr>
            <w:tcW w:w="2902" w:type="dxa"/>
            <w:noWrap/>
            <w:tcMar>
              <w:top w:w="0" w:type="dxa"/>
              <w:left w:w="108" w:type="dxa"/>
              <w:bottom w:w="0" w:type="dxa"/>
              <w:right w:w="108" w:type="dxa"/>
            </w:tcMar>
            <w:vAlign w:val="center"/>
            <w:hideMark/>
          </w:tcPr>
          <w:p w:rsidR="008D4B2E" w:rsidRPr="00606927" w:rsidRDefault="008D4B2E">
            <w:pPr>
              <w:pStyle w:val="a3"/>
              <w:spacing w:before="0" w:beforeAutospacing="0" w:after="0" w:afterAutospacing="0"/>
              <w:rPr>
                <w:rFonts w:asciiTheme="minorHAnsi" w:eastAsiaTheme="minorEastAsia" w:hAnsiTheme="minorHAnsi" w:cs="Times New Roman"/>
                <w:kern w:val="2"/>
                <w:sz w:val="18"/>
                <w:szCs w:val="18"/>
              </w:rPr>
            </w:pPr>
            <w:proofErr w:type="gramStart"/>
            <w:r w:rsidRPr="00606927">
              <w:rPr>
                <w:rFonts w:asciiTheme="minorHAnsi" w:eastAsiaTheme="minorEastAsia" w:hAnsiTheme="minorHAnsi" w:cs="Times New Roman" w:hint="eastAsia"/>
                <w:kern w:val="2"/>
                <w:sz w:val="18"/>
                <w:szCs w:val="18"/>
              </w:rPr>
              <w:t>软控欧研</w:t>
            </w:r>
            <w:proofErr w:type="gramEnd"/>
          </w:p>
        </w:tc>
      </w:tr>
      <w:tr w:rsidR="008D4B2E" w:rsidTr="007E18D0">
        <w:trPr>
          <w:divId w:val="1406106886"/>
          <w:trHeight w:val="340"/>
        </w:trPr>
        <w:tc>
          <w:tcPr>
            <w:tcW w:w="1036" w:type="dxa"/>
            <w:shd w:val="clear" w:color="auto" w:fill="D3D3D3"/>
            <w:noWrap/>
            <w:tcMar>
              <w:top w:w="0" w:type="dxa"/>
              <w:left w:w="108" w:type="dxa"/>
              <w:bottom w:w="0" w:type="dxa"/>
              <w:right w:w="108" w:type="dxa"/>
            </w:tcMar>
            <w:vAlign w:val="center"/>
            <w:hideMark/>
          </w:tcPr>
          <w:p w:rsidR="008D4B2E" w:rsidRDefault="008D4B2E">
            <w:pPr>
              <w:pStyle w:val="a3"/>
              <w:spacing w:before="0" w:beforeAutospacing="0" w:after="0" w:afterAutospacing="0"/>
              <w:rPr>
                <w:rFonts w:ascii="Arial" w:hAnsi="Arial" w:cs="Arial"/>
                <w:sz w:val="20"/>
                <w:szCs w:val="20"/>
              </w:rPr>
            </w:pPr>
            <w:r>
              <w:rPr>
                <w:rFonts w:ascii="Arial" w:hAnsi="Arial" w:cs="Arial"/>
                <w:sz w:val="20"/>
                <w:szCs w:val="20"/>
              </w:rPr>
              <w:t>32</w:t>
            </w:r>
          </w:p>
        </w:tc>
        <w:tc>
          <w:tcPr>
            <w:tcW w:w="4846" w:type="dxa"/>
            <w:noWrap/>
            <w:tcMar>
              <w:top w:w="0" w:type="dxa"/>
              <w:left w:w="108" w:type="dxa"/>
              <w:bottom w:w="0" w:type="dxa"/>
              <w:right w:w="108" w:type="dxa"/>
            </w:tcMar>
            <w:vAlign w:val="center"/>
            <w:hideMark/>
          </w:tcPr>
          <w:p w:rsidR="008D4B2E" w:rsidRPr="00606927" w:rsidRDefault="008D4B2E">
            <w:pPr>
              <w:pStyle w:val="a3"/>
              <w:spacing w:before="0" w:beforeAutospacing="0" w:after="0" w:afterAutospacing="0"/>
              <w:rPr>
                <w:rFonts w:asciiTheme="minorHAnsi" w:eastAsiaTheme="minorEastAsia" w:hAnsiTheme="minorHAnsi" w:cs="Times New Roman"/>
                <w:kern w:val="2"/>
                <w:sz w:val="18"/>
                <w:szCs w:val="18"/>
              </w:rPr>
            </w:pPr>
            <w:r w:rsidRPr="00606927">
              <w:rPr>
                <w:rFonts w:asciiTheme="minorHAnsi" w:eastAsiaTheme="minorEastAsia" w:hAnsiTheme="minorHAnsi" w:cs="Times New Roman" w:hint="eastAsia"/>
                <w:kern w:val="2"/>
                <w:sz w:val="18"/>
                <w:szCs w:val="18"/>
              </w:rPr>
              <w:t>软控（美洲）有限公司</w:t>
            </w:r>
          </w:p>
        </w:tc>
        <w:tc>
          <w:tcPr>
            <w:tcW w:w="2902" w:type="dxa"/>
            <w:noWrap/>
            <w:tcMar>
              <w:top w:w="0" w:type="dxa"/>
              <w:left w:w="108" w:type="dxa"/>
              <w:bottom w:w="0" w:type="dxa"/>
              <w:right w:w="108" w:type="dxa"/>
            </w:tcMar>
            <w:vAlign w:val="center"/>
            <w:hideMark/>
          </w:tcPr>
          <w:p w:rsidR="008D4B2E" w:rsidRPr="00606927" w:rsidRDefault="008D4B2E">
            <w:pPr>
              <w:pStyle w:val="a3"/>
              <w:spacing w:before="0" w:beforeAutospacing="0" w:after="0" w:afterAutospacing="0"/>
              <w:rPr>
                <w:rFonts w:asciiTheme="minorHAnsi" w:eastAsiaTheme="minorEastAsia" w:hAnsiTheme="minorHAnsi" w:cs="Times New Roman"/>
                <w:kern w:val="2"/>
                <w:sz w:val="18"/>
                <w:szCs w:val="18"/>
              </w:rPr>
            </w:pPr>
            <w:r w:rsidRPr="00606927">
              <w:rPr>
                <w:rFonts w:asciiTheme="minorHAnsi" w:eastAsiaTheme="minorEastAsia" w:hAnsiTheme="minorHAnsi" w:cs="Times New Roman" w:hint="eastAsia"/>
                <w:kern w:val="2"/>
                <w:sz w:val="18"/>
                <w:szCs w:val="18"/>
              </w:rPr>
              <w:t>软控（美洲）</w:t>
            </w:r>
          </w:p>
        </w:tc>
      </w:tr>
      <w:tr w:rsidR="008D4B2E" w:rsidTr="007E18D0">
        <w:trPr>
          <w:divId w:val="1406106886"/>
          <w:trHeight w:val="340"/>
        </w:trPr>
        <w:tc>
          <w:tcPr>
            <w:tcW w:w="1036" w:type="dxa"/>
            <w:shd w:val="clear" w:color="auto" w:fill="D3D3D3"/>
            <w:noWrap/>
            <w:tcMar>
              <w:top w:w="0" w:type="dxa"/>
              <w:left w:w="108" w:type="dxa"/>
              <w:bottom w:w="0" w:type="dxa"/>
              <w:right w:w="108" w:type="dxa"/>
            </w:tcMar>
            <w:vAlign w:val="center"/>
            <w:hideMark/>
          </w:tcPr>
          <w:p w:rsidR="008D4B2E" w:rsidRDefault="008D4B2E">
            <w:pPr>
              <w:pStyle w:val="a3"/>
              <w:spacing w:before="0" w:beforeAutospacing="0" w:after="0" w:afterAutospacing="0"/>
              <w:rPr>
                <w:rFonts w:ascii="Arial" w:hAnsi="Arial" w:cs="Arial"/>
                <w:sz w:val="20"/>
                <w:szCs w:val="20"/>
              </w:rPr>
            </w:pPr>
            <w:r>
              <w:rPr>
                <w:rFonts w:ascii="Arial" w:hAnsi="Arial" w:cs="Arial"/>
                <w:sz w:val="20"/>
                <w:szCs w:val="20"/>
              </w:rPr>
              <w:t>33</w:t>
            </w:r>
          </w:p>
        </w:tc>
        <w:tc>
          <w:tcPr>
            <w:tcW w:w="4846" w:type="dxa"/>
            <w:noWrap/>
            <w:tcMar>
              <w:top w:w="0" w:type="dxa"/>
              <w:left w:w="108" w:type="dxa"/>
              <w:bottom w:w="0" w:type="dxa"/>
              <w:right w:w="108" w:type="dxa"/>
            </w:tcMar>
            <w:vAlign w:val="center"/>
            <w:hideMark/>
          </w:tcPr>
          <w:p w:rsidR="008D4B2E" w:rsidRPr="00606927" w:rsidRDefault="008D4B2E">
            <w:pPr>
              <w:pStyle w:val="a3"/>
              <w:spacing w:before="0" w:beforeAutospacing="0" w:after="0" w:afterAutospacing="0"/>
              <w:rPr>
                <w:rFonts w:asciiTheme="minorHAnsi" w:eastAsiaTheme="minorEastAsia" w:hAnsiTheme="minorHAnsi" w:cs="Times New Roman"/>
                <w:kern w:val="2"/>
                <w:sz w:val="18"/>
                <w:szCs w:val="18"/>
              </w:rPr>
            </w:pPr>
            <w:r w:rsidRPr="00606927">
              <w:rPr>
                <w:rFonts w:asciiTheme="minorHAnsi" w:eastAsiaTheme="minorEastAsia" w:hAnsiTheme="minorHAnsi" w:cs="Times New Roman"/>
                <w:kern w:val="2"/>
                <w:sz w:val="18"/>
                <w:szCs w:val="18"/>
              </w:rPr>
              <w:t>WYKO TireTechnology(UK) Ltd.</w:t>
            </w:r>
          </w:p>
        </w:tc>
        <w:tc>
          <w:tcPr>
            <w:tcW w:w="2902" w:type="dxa"/>
            <w:noWrap/>
            <w:tcMar>
              <w:top w:w="0" w:type="dxa"/>
              <w:left w:w="108" w:type="dxa"/>
              <w:bottom w:w="0" w:type="dxa"/>
              <w:right w:w="108" w:type="dxa"/>
            </w:tcMar>
            <w:vAlign w:val="center"/>
            <w:hideMark/>
          </w:tcPr>
          <w:p w:rsidR="008D4B2E" w:rsidRPr="00606927" w:rsidRDefault="008D4B2E">
            <w:pPr>
              <w:pStyle w:val="a3"/>
              <w:spacing w:before="0" w:beforeAutospacing="0" w:after="0" w:afterAutospacing="0"/>
              <w:rPr>
                <w:rFonts w:asciiTheme="minorHAnsi" w:eastAsiaTheme="minorEastAsia" w:hAnsiTheme="minorHAnsi" w:cs="Times New Roman"/>
                <w:kern w:val="2"/>
                <w:sz w:val="18"/>
                <w:szCs w:val="18"/>
              </w:rPr>
            </w:pPr>
            <w:r w:rsidRPr="00606927">
              <w:rPr>
                <w:rFonts w:asciiTheme="minorHAnsi" w:eastAsiaTheme="minorEastAsia" w:hAnsiTheme="minorHAnsi" w:cs="Times New Roman"/>
                <w:kern w:val="2"/>
                <w:sz w:val="18"/>
                <w:szCs w:val="18"/>
              </w:rPr>
              <w:t>WYKO</w:t>
            </w:r>
          </w:p>
        </w:tc>
      </w:tr>
      <w:tr w:rsidR="008D4B2E" w:rsidTr="007E18D0">
        <w:trPr>
          <w:divId w:val="1406106886"/>
          <w:trHeight w:val="340"/>
        </w:trPr>
        <w:tc>
          <w:tcPr>
            <w:tcW w:w="1036" w:type="dxa"/>
            <w:shd w:val="clear" w:color="auto" w:fill="D3D3D3"/>
            <w:noWrap/>
            <w:tcMar>
              <w:top w:w="0" w:type="dxa"/>
              <w:left w:w="108" w:type="dxa"/>
              <w:bottom w:w="0" w:type="dxa"/>
              <w:right w:w="108" w:type="dxa"/>
            </w:tcMar>
            <w:vAlign w:val="center"/>
            <w:hideMark/>
          </w:tcPr>
          <w:p w:rsidR="008D4B2E" w:rsidRDefault="008D4B2E">
            <w:pPr>
              <w:pStyle w:val="a3"/>
              <w:spacing w:before="0" w:beforeAutospacing="0" w:after="0" w:afterAutospacing="0"/>
              <w:rPr>
                <w:rFonts w:ascii="Arial" w:hAnsi="Arial" w:cs="Arial"/>
                <w:sz w:val="20"/>
                <w:szCs w:val="20"/>
              </w:rPr>
            </w:pPr>
            <w:r>
              <w:rPr>
                <w:rFonts w:ascii="Arial" w:hAnsi="Arial" w:cs="Arial"/>
                <w:sz w:val="20"/>
                <w:szCs w:val="20"/>
              </w:rPr>
              <w:t>34</w:t>
            </w:r>
          </w:p>
        </w:tc>
        <w:tc>
          <w:tcPr>
            <w:tcW w:w="4846" w:type="dxa"/>
            <w:noWrap/>
            <w:tcMar>
              <w:top w:w="0" w:type="dxa"/>
              <w:left w:w="108" w:type="dxa"/>
              <w:bottom w:w="0" w:type="dxa"/>
              <w:right w:w="108" w:type="dxa"/>
            </w:tcMar>
            <w:vAlign w:val="center"/>
            <w:hideMark/>
          </w:tcPr>
          <w:p w:rsidR="008D4B2E" w:rsidRPr="00606927" w:rsidRDefault="008D4B2E">
            <w:pPr>
              <w:pStyle w:val="a3"/>
              <w:spacing w:before="0" w:beforeAutospacing="0" w:after="0" w:afterAutospacing="0"/>
              <w:rPr>
                <w:rFonts w:asciiTheme="minorHAnsi" w:eastAsiaTheme="minorEastAsia" w:hAnsiTheme="minorHAnsi" w:cs="Times New Roman"/>
                <w:kern w:val="2"/>
                <w:sz w:val="18"/>
                <w:szCs w:val="18"/>
              </w:rPr>
            </w:pPr>
            <w:r w:rsidRPr="00606927">
              <w:rPr>
                <w:rFonts w:asciiTheme="minorHAnsi" w:eastAsiaTheme="minorEastAsia" w:hAnsiTheme="minorHAnsi" w:cs="Times New Roman"/>
                <w:kern w:val="2"/>
                <w:sz w:val="18"/>
                <w:szCs w:val="18"/>
              </w:rPr>
              <w:t>DavianEnterprises LLC</w:t>
            </w:r>
          </w:p>
        </w:tc>
        <w:tc>
          <w:tcPr>
            <w:tcW w:w="2902" w:type="dxa"/>
            <w:noWrap/>
            <w:tcMar>
              <w:top w:w="0" w:type="dxa"/>
              <w:left w:w="108" w:type="dxa"/>
              <w:bottom w:w="0" w:type="dxa"/>
              <w:right w:w="108" w:type="dxa"/>
            </w:tcMar>
            <w:vAlign w:val="center"/>
            <w:hideMark/>
          </w:tcPr>
          <w:p w:rsidR="008D4B2E" w:rsidRPr="00606927" w:rsidRDefault="008D4B2E">
            <w:pPr>
              <w:pStyle w:val="a3"/>
              <w:spacing w:before="0" w:beforeAutospacing="0" w:after="0" w:afterAutospacing="0"/>
              <w:rPr>
                <w:rFonts w:asciiTheme="minorHAnsi" w:eastAsiaTheme="minorEastAsia" w:hAnsiTheme="minorHAnsi" w:cs="Times New Roman"/>
                <w:kern w:val="2"/>
                <w:sz w:val="18"/>
                <w:szCs w:val="18"/>
              </w:rPr>
            </w:pPr>
            <w:r w:rsidRPr="00606927">
              <w:rPr>
                <w:rFonts w:asciiTheme="minorHAnsi" w:eastAsiaTheme="minorEastAsia" w:hAnsiTheme="minorHAnsi" w:cs="Times New Roman"/>
                <w:kern w:val="2"/>
                <w:sz w:val="18"/>
                <w:szCs w:val="18"/>
              </w:rPr>
              <w:t>Davian</w:t>
            </w:r>
          </w:p>
        </w:tc>
      </w:tr>
    </w:tbl>
    <w:p w:rsidR="008D4B2E" w:rsidRDefault="008D4B2E">
      <w:pPr>
        <w:pStyle w:val="a3"/>
        <w:spacing w:before="0" w:beforeAutospacing="0" w:after="0" w:afterAutospacing="0" w:line="400" w:lineRule="atLeast"/>
        <w:ind w:firstLine="400"/>
        <w:jc w:val="both"/>
        <w:divId w:val="1406106886"/>
        <w:rPr>
          <w:rFonts w:ascii="Arial" w:hAnsi="Arial" w:cs="Arial"/>
          <w:sz w:val="18"/>
          <w:szCs w:val="18"/>
        </w:rPr>
      </w:pPr>
      <w:r>
        <w:rPr>
          <w:rFonts w:cs="Arial" w:hint="eastAsia"/>
          <w:sz w:val="18"/>
          <w:szCs w:val="18"/>
        </w:rPr>
        <w:t>本期合并财务报表范围及其变化情况详见本附注</w:t>
      </w:r>
      <w:r>
        <w:rPr>
          <w:rFonts w:ascii="Arial" w:hAnsi="Arial" w:cs="Arial"/>
          <w:sz w:val="18"/>
          <w:szCs w:val="18"/>
        </w:rPr>
        <w:t>“</w:t>
      </w:r>
      <w:r>
        <w:rPr>
          <w:rFonts w:cs="Arial" w:hint="eastAsia"/>
          <w:sz w:val="18"/>
          <w:szCs w:val="18"/>
        </w:rPr>
        <w:t>合并范围的变更</w:t>
      </w:r>
      <w:r>
        <w:rPr>
          <w:rFonts w:ascii="Arial" w:hAnsi="Arial" w:cs="Arial"/>
          <w:sz w:val="18"/>
          <w:szCs w:val="18"/>
        </w:rPr>
        <w:t>”</w:t>
      </w:r>
      <w:r>
        <w:rPr>
          <w:rFonts w:cs="Arial" w:hint="eastAsia"/>
          <w:sz w:val="18"/>
          <w:szCs w:val="18"/>
        </w:rPr>
        <w:t>和</w:t>
      </w:r>
      <w:r>
        <w:rPr>
          <w:rFonts w:ascii="Arial" w:hAnsi="Arial" w:cs="Arial"/>
          <w:sz w:val="18"/>
          <w:szCs w:val="18"/>
        </w:rPr>
        <w:t>“</w:t>
      </w:r>
      <w:r>
        <w:rPr>
          <w:rFonts w:cs="Arial" w:hint="eastAsia"/>
          <w:sz w:val="18"/>
          <w:szCs w:val="18"/>
        </w:rPr>
        <w:t>在其他主体中的权益</w:t>
      </w:r>
      <w:r>
        <w:rPr>
          <w:rFonts w:ascii="Arial" w:hAnsi="Arial" w:cs="Arial"/>
          <w:sz w:val="18"/>
          <w:szCs w:val="18"/>
        </w:rPr>
        <w:t>”</w:t>
      </w:r>
      <w:r>
        <w:rPr>
          <w:rFonts w:cs="Arial" w:hint="eastAsia"/>
          <w:sz w:val="18"/>
          <w:szCs w:val="18"/>
        </w:rPr>
        <w:t>。</w:t>
      </w:r>
    </w:p>
    <w:p w:rsidR="00BA0365" w:rsidRDefault="008D4B2E" w:rsidP="00B818D2">
      <w:pPr>
        <w:pStyle w:val="2"/>
        <w:spacing w:before="300" w:after="300"/>
        <w:rPr>
          <w:rFonts w:ascii="宋体" w:eastAsia="宋体" w:hAnsi="宋体" w:cs="宋体"/>
          <w:b/>
          <w:bCs/>
          <w:sz w:val="24"/>
          <w:szCs w:val="24"/>
        </w:rPr>
      </w:pPr>
      <w:bookmarkStart w:id="162" w:name="_Toc989050"/>
      <w:r>
        <w:rPr>
          <w:rFonts w:ascii="宋体" w:eastAsia="宋体" w:hAnsi="宋体" w:cs="宋体"/>
          <w:b/>
          <w:bCs/>
          <w:sz w:val="24"/>
          <w:szCs w:val="24"/>
        </w:rPr>
        <w:t>四、财务报表的编制基础</w:t>
      </w:r>
      <w:bookmarkEnd w:id="162"/>
    </w:p>
    <w:p w:rsidR="00BA0365" w:rsidRDefault="008D4B2E" w:rsidP="00B818D2">
      <w:pPr>
        <w:pStyle w:val="3"/>
        <w:spacing w:line="240" w:lineRule="auto"/>
        <w:jc w:val="left"/>
        <w:rPr>
          <w:rFonts w:ascii="宋体" w:hAnsi="宋体" w:cs="宋体"/>
          <w:b/>
          <w:bCs/>
        </w:rPr>
      </w:pPr>
      <w:bookmarkStart w:id="163" w:name="_Toc989051"/>
      <w:r>
        <w:rPr>
          <w:rFonts w:ascii="宋体" w:hAnsi="宋体" w:cs="宋体"/>
          <w:b/>
          <w:bCs/>
        </w:rPr>
        <w:t>1、编制基础</w:t>
      </w:r>
      <w:bookmarkEnd w:id="163"/>
    </w:p>
    <w:p w:rsidR="008D4B2E" w:rsidRPr="00606927" w:rsidRDefault="008D4B2E" w:rsidP="00B818D2">
      <w:pPr>
        <w:pStyle w:val="a3"/>
        <w:spacing w:before="0" w:beforeAutospacing="0" w:after="0" w:afterAutospacing="0"/>
        <w:ind w:firstLineChars="200" w:firstLine="360"/>
        <w:jc w:val="both"/>
        <w:divId w:val="2042970184"/>
        <w:rPr>
          <w:sz w:val="18"/>
          <w:szCs w:val="18"/>
        </w:rPr>
      </w:pPr>
      <w:r w:rsidRPr="00606927">
        <w:rPr>
          <w:rFonts w:hint="eastAsia"/>
          <w:sz w:val="18"/>
          <w:szCs w:val="18"/>
        </w:rPr>
        <w:t>本公司财务报表以持续经营假设为基础，根据实际发生的交易和事项，按照财政部发布的《企业会计准则</w:t>
      </w:r>
      <w:r w:rsidRPr="00606927">
        <w:rPr>
          <w:sz w:val="18"/>
          <w:szCs w:val="18"/>
        </w:rPr>
        <w:t>——</w:t>
      </w:r>
      <w:r w:rsidRPr="00606927">
        <w:rPr>
          <w:rFonts w:hint="eastAsia"/>
          <w:sz w:val="18"/>
          <w:szCs w:val="18"/>
        </w:rPr>
        <w:t>基本准则》（财政部令第</w:t>
      </w:r>
      <w:r w:rsidRPr="00606927">
        <w:rPr>
          <w:sz w:val="18"/>
          <w:szCs w:val="18"/>
        </w:rPr>
        <w:t>33</w:t>
      </w:r>
      <w:r w:rsidRPr="00606927">
        <w:rPr>
          <w:rFonts w:hint="eastAsia"/>
          <w:sz w:val="18"/>
          <w:szCs w:val="18"/>
        </w:rPr>
        <w:t>号发布、财政部令第</w:t>
      </w:r>
      <w:r w:rsidRPr="00606927">
        <w:rPr>
          <w:sz w:val="18"/>
          <w:szCs w:val="18"/>
        </w:rPr>
        <w:t>76</w:t>
      </w:r>
      <w:r w:rsidRPr="00606927">
        <w:rPr>
          <w:rFonts w:hint="eastAsia"/>
          <w:sz w:val="18"/>
          <w:szCs w:val="18"/>
        </w:rPr>
        <w:t>号修订）、于</w:t>
      </w:r>
      <w:r w:rsidRPr="00606927">
        <w:rPr>
          <w:sz w:val="18"/>
          <w:szCs w:val="18"/>
        </w:rPr>
        <w:t>2006</w:t>
      </w:r>
      <w:r w:rsidRPr="00606927">
        <w:rPr>
          <w:rFonts w:hint="eastAsia"/>
          <w:sz w:val="18"/>
          <w:szCs w:val="18"/>
        </w:rPr>
        <w:t>年</w:t>
      </w:r>
      <w:r w:rsidRPr="00606927">
        <w:rPr>
          <w:sz w:val="18"/>
          <w:szCs w:val="18"/>
        </w:rPr>
        <w:t>2</w:t>
      </w:r>
      <w:r w:rsidRPr="00606927">
        <w:rPr>
          <w:rFonts w:hint="eastAsia"/>
          <w:sz w:val="18"/>
          <w:szCs w:val="18"/>
        </w:rPr>
        <w:t>月</w:t>
      </w:r>
      <w:r w:rsidRPr="00606927">
        <w:rPr>
          <w:sz w:val="18"/>
          <w:szCs w:val="18"/>
        </w:rPr>
        <w:t>15</w:t>
      </w:r>
      <w:r w:rsidRPr="00606927">
        <w:rPr>
          <w:rFonts w:hint="eastAsia"/>
          <w:sz w:val="18"/>
          <w:szCs w:val="18"/>
        </w:rPr>
        <w:t>日及其后颁布和修订的</w:t>
      </w:r>
      <w:r w:rsidRPr="00606927">
        <w:rPr>
          <w:sz w:val="18"/>
          <w:szCs w:val="18"/>
        </w:rPr>
        <w:t>42</w:t>
      </w:r>
      <w:r w:rsidRPr="00606927">
        <w:rPr>
          <w:rFonts w:hint="eastAsia"/>
          <w:sz w:val="18"/>
          <w:szCs w:val="18"/>
        </w:rPr>
        <w:t>项具体会计准则、企业会计准则应用指南、企业会计准则解释及其他相关规定（以下合称</w:t>
      </w:r>
      <w:r w:rsidRPr="00606927">
        <w:rPr>
          <w:sz w:val="18"/>
          <w:szCs w:val="18"/>
        </w:rPr>
        <w:t>“</w:t>
      </w:r>
      <w:r w:rsidRPr="00606927">
        <w:rPr>
          <w:rFonts w:hint="eastAsia"/>
          <w:sz w:val="18"/>
          <w:szCs w:val="18"/>
        </w:rPr>
        <w:t>企业会计准则</w:t>
      </w:r>
      <w:r w:rsidRPr="00606927">
        <w:rPr>
          <w:sz w:val="18"/>
          <w:szCs w:val="18"/>
        </w:rPr>
        <w:t>”</w:t>
      </w:r>
      <w:r w:rsidRPr="00606927">
        <w:rPr>
          <w:rFonts w:hint="eastAsia"/>
          <w:sz w:val="18"/>
          <w:szCs w:val="18"/>
        </w:rPr>
        <w:t>），以及中国证券监督管理委员会《公开发行证券的公司信息披露编报规则第</w:t>
      </w:r>
      <w:r w:rsidRPr="00606927">
        <w:rPr>
          <w:sz w:val="18"/>
          <w:szCs w:val="18"/>
        </w:rPr>
        <w:t>15</w:t>
      </w:r>
      <w:r w:rsidRPr="00606927">
        <w:rPr>
          <w:rFonts w:hint="eastAsia"/>
          <w:sz w:val="18"/>
          <w:szCs w:val="18"/>
        </w:rPr>
        <w:t>号</w:t>
      </w:r>
      <w:r w:rsidRPr="00606927">
        <w:rPr>
          <w:sz w:val="18"/>
          <w:szCs w:val="18"/>
        </w:rPr>
        <w:t>——</w:t>
      </w:r>
      <w:r w:rsidRPr="00606927">
        <w:rPr>
          <w:rFonts w:hint="eastAsia"/>
          <w:sz w:val="18"/>
          <w:szCs w:val="18"/>
        </w:rPr>
        <w:t>财务报告的一般规定》（</w:t>
      </w:r>
      <w:r w:rsidRPr="00606927">
        <w:rPr>
          <w:sz w:val="18"/>
          <w:szCs w:val="18"/>
        </w:rPr>
        <w:t>2023</w:t>
      </w:r>
      <w:r w:rsidRPr="00606927">
        <w:rPr>
          <w:rFonts w:hint="eastAsia"/>
          <w:sz w:val="18"/>
          <w:szCs w:val="18"/>
        </w:rPr>
        <w:t>年修订）的披露规定编制。</w:t>
      </w:r>
    </w:p>
    <w:p w:rsidR="008D4B2E" w:rsidRPr="00606927" w:rsidRDefault="008D4B2E" w:rsidP="00B818D2">
      <w:pPr>
        <w:pStyle w:val="a3"/>
        <w:spacing w:before="0" w:beforeAutospacing="0" w:after="0" w:afterAutospacing="0"/>
        <w:ind w:firstLineChars="200" w:firstLine="360"/>
        <w:jc w:val="both"/>
        <w:divId w:val="2042970184"/>
        <w:rPr>
          <w:sz w:val="18"/>
          <w:szCs w:val="18"/>
        </w:rPr>
      </w:pPr>
      <w:r w:rsidRPr="00606927">
        <w:rPr>
          <w:rFonts w:hint="eastAsia"/>
          <w:sz w:val="18"/>
          <w:szCs w:val="18"/>
        </w:rPr>
        <w:t>根据企业会计准则的相关规定，本公司会计核算以权责发生制为基础。除某些金融工具外，本财务报表均以历史成本为计量基础。持有待售的非流动资产，按公允价值减去预计费用后的金额，以及符合持有待售条件时的原账面价值，取两者孰低计价。资产如果发生减值，则按照相关规定计提相应的减值准备。</w:t>
      </w:r>
    </w:p>
    <w:p w:rsidR="00BA0365" w:rsidRDefault="008D4B2E" w:rsidP="00B818D2">
      <w:pPr>
        <w:pStyle w:val="3"/>
        <w:spacing w:line="240" w:lineRule="auto"/>
        <w:jc w:val="left"/>
        <w:rPr>
          <w:rFonts w:ascii="宋体" w:hAnsi="宋体" w:cs="宋体"/>
          <w:b/>
          <w:bCs/>
        </w:rPr>
      </w:pPr>
      <w:bookmarkStart w:id="164" w:name="_Toc989052"/>
      <w:r>
        <w:rPr>
          <w:rFonts w:ascii="宋体" w:hAnsi="宋体" w:cs="宋体"/>
          <w:b/>
          <w:bCs/>
        </w:rPr>
        <w:t>2、持续经营</w:t>
      </w:r>
      <w:bookmarkEnd w:id="164"/>
    </w:p>
    <w:p w:rsidR="008D4B2E" w:rsidRPr="00606927" w:rsidRDefault="008D4B2E" w:rsidP="00B818D2">
      <w:pPr>
        <w:pStyle w:val="a3"/>
        <w:spacing w:before="0" w:beforeAutospacing="0" w:after="0" w:afterAutospacing="0"/>
        <w:ind w:firstLineChars="200" w:firstLine="360"/>
        <w:jc w:val="both"/>
        <w:divId w:val="340401752"/>
        <w:rPr>
          <w:sz w:val="18"/>
          <w:szCs w:val="18"/>
        </w:rPr>
      </w:pPr>
      <w:r w:rsidRPr="00606927">
        <w:rPr>
          <w:rFonts w:hint="eastAsia"/>
          <w:sz w:val="18"/>
          <w:szCs w:val="18"/>
        </w:rPr>
        <w:t>本财务报表以持续经营为基础列报，本公司</w:t>
      </w:r>
      <w:proofErr w:type="gramStart"/>
      <w:r w:rsidRPr="00606927">
        <w:rPr>
          <w:rFonts w:hint="eastAsia"/>
          <w:sz w:val="18"/>
          <w:szCs w:val="18"/>
        </w:rPr>
        <w:t>自报告期末起</w:t>
      </w:r>
      <w:proofErr w:type="gramEnd"/>
      <w:r w:rsidRPr="00606927">
        <w:rPr>
          <w:rFonts w:hint="eastAsia"/>
          <w:sz w:val="18"/>
          <w:szCs w:val="18"/>
        </w:rPr>
        <w:t>至少</w:t>
      </w:r>
      <w:r w:rsidRPr="00606927">
        <w:rPr>
          <w:sz w:val="18"/>
          <w:szCs w:val="18"/>
        </w:rPr>
        <w:t>12</w:t>
      </w:r>
      <w:r w:rsidRPr="00606927">
        <w:rPr>
          <w:rFonts w:hint="eastAsia"/>
          <w:sz w:val="18"/>
          <w:szCs w:val="18"/>
        </w:rPr>
        <w:t>个月具有持续经营能力。</w:t>
      </w:r>
    </w:p>
    <w:p w:rsidR="00BA0365" w:rsidRDefault="008D4B2E" w:rsidP="00B818D2">
      <w:pPr>
        <w:pStyle w:val="2"/>
        <w:spacing w:before="300" w:after="300"/>
        <w:rPr>
          <w:rFonts w:ascii="宋体" w:eastAsia="宋体" w:hAnsi="宋体" w:cs="宋体"/>
          <w:b/>
          <w:bCs/>
          <w:sz w:val="24"/>
          <w:szCs w:val="24"/>
        </w:rPr>
      </w:pPr>
      <w:bookmarkStart w:id="165" w:name="_Toc989053"/>
      <w:r>
        <w:rPr>
          <w:rFonts w:ascii="宋体" w:eastAsia="宋体" w:hAnsi="宋体" w:cs="宋体"/>
          <w:b/>
          <w:bCs/>
          <w:sz w:val="24"/>
          <w:szCs w:val="24"/>
        </w:rPr>
        <w:t>五、重要会计政策及会计估计</w:t>
      </w:r>
      <w:bookmarkEnd w:id="165"/>
    </w:p>
    <w:p w:rsidR="00BA0365" w:rsidRDefault="008D4B2E" w:rsidP="00B818D2">
      <w:pPr>
        <w:pStyle w:val="a3"/>
        <w:spacing w:before="0" w:beforeAutospacing="0" w:after="0" w:afterAutospacing="0"/>
        <w:ind w:firstLineChars="200" w:firstLine="360"/>
        <w:jc w:val="both"/>
        <w:rPr>
          <w:sz w:val="18"/>
          <w:szCs w:val="18"/>
        </w:rPr>
      </w:pPr>
      <w:r>
        <w:rPr>
          <w:sz w:val="18"/>
          <w:szCs w:val="18"/>
        </w:rPr>
        <w:t>具体会计政策和会计估计提示：</w:t>
      </w:r>
    </w:p>
    <w:p w:rsidR="008D4B2E" w:rsidRPr="00606927" w:rsidRDefault="008D4B2E" w:rsidP="00B818D2">
      <w:pPr>
        <w:pStyle w:val="a3"/>
        <w:spacing w:before="0" w:beforeAutospacing="0" w:after="0" w:afterAutospacing="0"/>
        <w:ind w:firstLineChars="200" w:firstLine="360"/>
        <w:jc w:val="both"/>
        <w:divId w:val="552429326"/>
        <w:rPr>
          <w:sz w:val="18"/>
          <w:szCs w:val="18"/>
        </w:rPr>
      </w:pPr>
      <w:r w:rsidRPr="00606927">
        <w:rPr>
          <w:rFonts w:hint="eastAsia"/>
          <w:sz w:val="18"/>
          <w:szCs w:val="18"/>
        </w:rPr>
        <w:t>本公司及各子公司从事软件、集成电路、智能化产品、橡胶新材料和信息技术服务业。本公司及各子公司根据实际生产经营特点，依据相关企业会计准则的规定，对收入确认、研究开发支出等交易和事项制定了若干项具体会计政策和会计</w:t>
      </w:r>
      <w:r w:rsidRPr="00606927">
        <w:rPr>
          <w:rFonts w:hint="eastAsia"/>
          <w:sz w:val="18"/>
          <w:szCs w:val="18"/>
        </w:rPr>
        <w:lastRenderedPageBreak/>
        <w:t>估计，详见本附注四、</w:t>
      </w:r>
      <w:r w:rsidRPr="00606927">
        <w:rPr>
          <w:sz w:val="18"/>
          <w:szCs w:val="18"/>
        </w:rPr>
        <w:t>“</w:t>
      </w:r>
      <w:r w:rsidRPr="00606927">
        <w:rPr>
          <w:rFonts w:hint="eastAsia"/>
          <w:sz w:val="18"/>
          <w:szCs w:val="18"/>
        </w:rPr>
        <w:t>收入</w:t>
      </w:r>
      <w:r w:rsidRPr="00606927">
        <w:rPr>
          <w:sz w:val="18"/>
          <w:szCs w:val="18"/>
        </w:rPr>
        <w:t>”</w:t>
      </w:r>
      <w:r w:rsidRPr="00606927">
        <w:rPr>
          <w:rFonts w:hint="eastAsia"/>
          <w:sz w:val="18"/>
          <w:szCs w:val="18"/>
        </w:rPr>
        <w:t>、</w:t>
      </w:r>
      <w:r w:rsidRPr="00606927">
        <w:rPr>
          <w:sz w:val="18"/>
          <w:szCs w:val="18"/>
        </w:rPr>
        <w:t>“</w:t>
      </w:r>
      <w:r w:rsidRPr="00606927">
        <w:rPr>
          <w:rFonts w:hint="eastAsia"/>
          <w:sz w:val="18"/>
          <w:szCs w:val="18"/>
        </w:rPr>
        <w:t>无形资产</w:t>
      </w:r>
      <w:r w:rsidRPr="00606927">
        <w:rPr>
          <w:sz w:val="18"/>
          <w:szCs w:val="18"/>
        </w:rPr>
        <w:t>”</w:t>
      </w:r>
      <w:r w:rsidRPr="00606927">
        <w:rPr>
          <w:rFonts w:hint="eastAsia"/>
          <w:sz w:val="18"/>
          <w:szCs w:val="18"/>
        </w:rPr>
        <w:t>各项描述。关于管理层所</w:t>
      </w:r>
      <w:proofErr w:type="gramStart"/>
      <w:r w:rsidRPr="00606927">
        <w:rPr>
          <w:rFonts w:hint="eastAsia"/>
          <w:sz w:val="18"/>
          <w:szCs w:val="18"/>
        </w:rPr>
        <w:t>作出</w:t>
      </w:r>
      <w:proofErr w:type="gramEnd"/>
      <w:r w:rsidRPr="00606927">
        <w:rPr>
          <w:rFonts w:hint="eastAsia"/>
          <w:sz w:val="18"/>
          <w:szCs w:val="18"/>
        </w:rPr>
        <w:t>的重大会计判断和估计的说明，请参阅附注四、</w:t>
      </w:r>
      <w:r w:rsidRPr="00606927">
        <w:rPr>
          <w:sz w:val="18"/>
          <w:szCs w:val="18"/>
        </w:rPr>
        <w:t>“</w:t>
      </w:r>
      <w:r w:rsidRPr="00606927">
        <w:rPr>
          <w:rFonts w:hint="eastAsia"/>
          <w:sz w:val="18"/>
          <w:szCs w:val="18"/>
        </w:rPr>
        <w:t>重大会计判断和估计</w:t>
      </w:r>
      <w:r w:rsidRPr="00606927">
        <w:rPr>
          <w:sz w:val="18"/>
          <w:szCs w:val="18"/>
        </w:rPr>
        <w:t>”</w:t>
      </w:r>
      <w:r w:rsidRPr="00606927">
        <w:rPr>
          <w:rFonts w:hint="eastAsia"/>
          <w:sz w:val="18"/>
          <w:szCs w:val="18"/>
        </w:rPr>
        <w:t>。</w:t>
      </w:r>
    </w:p>
    <w:p w:rsidR="00BA0365" w:rsidRDefault="008D4B2E" w:rsidP="00B818D2">
      <w:pPr>
        <w:pStyle w:val="3"/>
        <w:spacing w:line="240" w:lineRule="auto"/>
        <w:jc w:val="left"/>
        <w:rPr>
          <w:rFonts w:ascii="宋体" w:hAnsi="宋体" w:cs="宋体"/>
          <w:b/>
          <w:bCs/>
        </w:rPr>
      </w:pPr>
      <w:bookmarkStart w:id="166" w:name="_Toc989054"/>
      <w:r>
        <w:rPr>
          <w:rFonts w:ascii="宋体" w:hAnsi="宋体" w:cs="宋体"/>
          <w:b/>
          <w:bCs/>
        </w:rPr>
        <w:t>1、遵循企业会计准则的声明</w:t>
      </w:r>
      <w:bookmarkEnd w:id="166"/>
    </w:p>
    <w:p w:rsidR="008D4B2E" w:rsidRPr="00606927" w:rsidRDefault="008D4B2E" w:rsidP="00B818D2">
      <w:pPr>
        <w:pStyle w:val="a3"/>
        <w:spacing w:before="0" w:beforeAutospacing="0" w:after="0" w:afterAutospacing="0"/>
        <w:ind w:firstLineChars="200" w:firstLine="360"/>
        <w:jc w:val="both"/>
        <w:divId w:val="630593286"/>
        <w:rPr>
          <w:sz w:val="18"/>
          <w:szCs w:val="18"/>
        </w:rPr>
      </w:pPr>
      <w:r w:rsidRPr="00606927">
        <w:rPr>
          <w:rFonts w:hint="eastAsia"/>
          <w:sz w:val="18"/>
          <w:szCs w:val="18"/>
        </w:rPr>
        <w:t>本公司编制的财务报表符合企业会计准则的要求，真实、完整地反映了本公司</w:t>
      </w:r>
      <w:r w:rsidRPr="00606927">
        <w:rPr>
          <w:sz w:val="18"/>
          <w:szCs w:val="18"/>
        </w:rPr>
        <w:t>2023</w:t>
      </w:r>
      <w:r w:rsidRPr="00606927">
        <w:rPr>
          <w:rFonts w:hint="eastAsia"/>
          <w:sz w:val="18"/>
          <w:szCs w:val="18"/>
        </w:rPr>
        <w:t>年</w:t>
      </w:r>
      <w:r w:rsidRPr="00606927">
        <w:rPr>
          <w:sz w:val="18"/>
          <w:szCs w:val="18"/>
        </w:rPr>
        <w:t>12</w:t>
      </w:r>
      <w:r w:rsidRPr="00606927">
        <w:rPr>
          <w:rFonts w:hint="eastAsia"/>
          <w:sz w:val="18"/>
          <w:szCs w:val="18"/>
        </w:rPr>
        <w:t>月</w:t>
      </w:r>
      <w:r w:rsidRPr="00606927">
        <w:rPr>
          <w:sz w:val="18"/>
          <w:szCs w:val="18"/>
        </w:rPr>
        <w:t>31</w:t>
      </w:r>
      <w:r w:rsidRPr="00606927">
        <w:rPr>
          <w:rFonts w:hint="eastAsia"/>
          <w:sz w:val="18"/>
          <w:szCs w:val="18"/>
        </w:rPr>
        <w:t>日的合并及母公司财务状况及</w:t>
      </w:r>
      <w:r w:rsidRPr="00606927">
        <w:rPr>
          <w:sz w:val="18"/>
          <w:szCs w:val="18"/>
        </w:rPr>
        <w:t>2023</w:t>
      </w:r>
      <w:r w:rsidRPr="00606927">
        <w:rPr>
          <w:rFonts w:hint="eastAsia"/>
          <w:sz w:val="18"/>
          <w:szCs w:val="18"/>
        </w:rPr>
        <w:t>年度的合并及母公司经营成果和合并及母公司现金流量等有关信息。此外，本公司的财务报表在所有重大方面符合中国证券监督管理委员会</w:t>
      </w:r>
      <w:r w:rsidRPr="00606927">
        <w:rPr>
          <w:sz w:val="18"/>
          <w:szCs w:val="18"/>
        </w:rPr>
        <w:t>2023</w:t>
      </w:r>
      <w:r w:rsidRPr="00606927">
        <w:rPr>
          <w:rFonts w:hint="eastAsia"/>
          <w:sz w:val="18"/>
          <w:szCs w:val="18"/>
        </w:rPr>
        <w:t>年修订的《公开发行证券的公司信息披露编报规则第</w:t>
      </w:r>
      <w:r w:rsidRPr="00606927">
        <w:rPr>
          <w:sz w:val="18"/>
          <w:szCs w:val="18"/>
        </w:rPr>
        <w:t>15</w:t>
      </w:r>
      <w:r w:rsidRPr="00606927">
        <w:rPr>
          <w:rFonts w:hint="eastAsia"/>
          <w:sz w:val="18"/>
          <w:szCs w:val="18"/>
        </w:rPr>
        <w:t>号－财务报告的一般规定》有关财务报表及其附注的披露要求。</w:t>
      </w:r>
    </w:p>
    <w:p w:rsidR="00BA0365" w:rsidRDefault="008D4B2E" w:rsidP="00B818D2">
      <w:pPr>
        <w:pStyle w:val="3"/>
        <w:spacing w:line="240" w:lineRule="auto"/>
        <w:jc w:val="left"/>
        <w:rPr>
          <w:rFonts w:ascii="宋体" w:hAnsi="宋体" w:cs="宋体"/>
          <w:b/>
          <w:bCs/>
        </w:rPr>
      </w:pPr>
      <w:bookmarkStart w:id="167" w:name="_Toc989055"/>
      <w:r>
        <w:rPr>
          <w:rFonts w:ascii="宋体" w:hAnsi="宋体" w:cs="宋体"/>
          <w:b/>
          <w:bCs/>
        </w:rPr>
        <w:t>2、会计期间</w:t>
      </w:r>
      <w:bookmarkEnd w:id="167"/>
    </w:p>
    <w:p w:rsidR="008D4B2E" w:rsidRPr="00606927" w:rsidRDefault="008D4B2E" w:rsidP="00B818D2">
      <w:pPr>
        <w:pStyle w:val="a3"/>
        <w:spacing w:before="0" w:beforeAutospacing="0" w:after="0" w:afterAutospacing="0"/>
        <w:ind w:firstLineChars="200" w:firstLine="360"/>
        <w:jc w:val="both"/>
        <w:divId w:val="1066755936"/>
        <w:rPr>
          <w:sz w:val="18"/>
          <w:szCs w:val="18"/>
        </w:rPr>
      </w:pPr>
      <w:r w:rsidRPr="00606927">
        <w:rPr>
          <w:rFonts w:hint="eastAsia"/>
          <w:sz w:val="18"/>
          <w:szCs w:val="18"/>
        </w:rPr>
        <w:t>本公司的会计期间分为年度和中期，会计中期指短于一个完整的会计年度的报告期间。本公司会计年度采用公历年度，即每年自</w:t>
      </w:r>
      <w:r w:rsidRPr="00606927">
        <w:rPr>
          <w:sz w:val="18"/>
          <w:szCs w:val="18"/>
        </w:rPr>
        <w:t>1</w:t>
      </w:r>
      <w:r w:rsidRPr="00606927">
        <w:rPr>
          <w:rFonts w:hint="eastAsia"/>
          <w:sz w:val="18"/>
          <w:szCs w:val="18"/>
        </w:rPr>
        <w:t>月</w:t>
      </w:r>
      <w:r w:rsidRPr="00606927">
        <w:rPr>
          <w:sz w:val="18"/>
          <w:szCs w:val="18"/>
        </w:rPr>
        <w:t>1</w:t>
      </w:r>
      <w:r w:rsidRPr="00606927">
        <w:rPr>
          <w:rFonts w:hint="eastAsia"/>
          <w:sz w:val="18"/>
          <w:szCs w:val="18"/>
        </w:rPr>
        <w:t>日起至</w:t>
      </w:r>
      <w:r w:rsidRPr="00606927">
        <w:rPr>
          <w:sz w:val="18"/>
          <w:szCs w:val="18"/>
        </w:rPr>
        <w:t>12</w:t>
      </w:r>
      <w:r w:rsidRPr="00606927">
        <w:rPr>
          <w:rFonts w:hint="eastAsia"/>
          <w:sz w:val="18"/>
          <w:szCs w:val="18"/>
        </w:rPr>
        <w:t>月</w:t>
      </w:r>
      <w:r w:rsidRPr="00606927">
        <w:rPr>
          <w:sz w:val="18"/>
          <w:szCs w:val="18"/>
        </w:rPr>
        <w:t>31</w:t>
      </w:r>
      <w:r w:rsidRPr="00606927">
        <w:rPr>
          <w:rFonts w:hint="eastAsia"/>
          <w:sz w:val="18"/>
          <w:szCs w:val="18"/>
        </w:rPr>
        <w:t>日止。</w:t>
      </w:r>
    </w:p>
    <w:p w:rsidR="00BA0365" w:rsidRDefault="008D4B2E" w:rsidP="00B818D2">
      <w:pPr>
        <w:pStyle w:val="3"/>
        <w:spacing w:line="240" w:lineRule="auto"/>
        <w:jc w:val="left"/>
        <w:rPr>
          <w:rFonts w:ascii="宋体" w:hAnsi="宋体" w:cs="宋体"/>
          <w:b/>
          <w:bCs/>
        </w:rPr>
      </w:pPr>
      <w:bookmarkStart w:id="168" w:name="_Toc989056"/>
      <w:r>
        <w:rPr>
          <w:rFonts w:ascii="宋体" w:hAnsi="宋体" w:cs="宋体"/>
          <w:b/>
          <w:bCs/>
        </w:rPr>
        <w:t>3、营业周期</w:t>
      </w:r>
      <w:bookmarkEnd w:id="168"/>
    </w:p>
    <w:p w:rsidR="008D4B2E" w:rsidRPr="00606927" w:rsidRDefault="008D4B2E" w:rsidP="00B818D2">
      <w:pPr>
        <w:pStyle w:val="a3"/>
        <w:spacing w:before="0" w:beforeAutospacing="0" w:after="0" w:afterAutospacing="0"/>
        <w:ind w:firstLineChars="200" w:firstLine="360"/>
        <w:jc w:val="both"/>
        <w:divId w:val="1669552451"/>
        <w:rPr>
          <w:rFonts w:cs="Times New Roman"/>
          <w:sz w:val="18"/>
          <w:szCs w:val="18"/>
        </w:rPr>
      </w:pPr>
      <w:r w:rsidRPr="00606927">
        <w:rPr>
          <w:rFonts w:cs="Times New Roman" w:hint="eastAsia"/>
          <w:sz w:val="18"/>
          <w:szCs w:val="18"/>
        </w:rPr>
        <w:t>正常营业周期是指本公司从购买用于加工的资产起</w:t>
      </w:r>
      <w:proofErr w:type="gramStart"/>
      <w:r w:rsidRPr="00606927">
        <w:rPr>
          <w:rFonts w:cs="Times New Roman" w:hint="eastAsia"/>
          <w:sz w:val="18"/>
          <w:szCs w:val="18"/>
        </w:rPr>
        <w:t>至实现</w:t>
      </w:r>
      <w:proofErr w:type="gramEnd"/>
      <w:r w:rsidRPr="00606927">
        <w:rPr>
          <w:rFonts w:cs="Times New Roman" w:hint="eastAsia"/>
          <w:sz w:val="18"/>
          <w:szCs w:val="18"/>
        </w:rPr>
        <w:t>现金或现金等价物的期间。本公司以</w:t>
      </w:r>
      <w:r w:rsidRPr="00606927">
        <w:rPr>
          <w:rFonts w:cs="Times New Roman"/>
          <w:sz w:val="18"/>
          <w:szCs w:val="18"/>
        </w:rPr>
        <w:t>12</w:t>
      </w:r>
      <w:r w:rsidRPr="00606927">
        <w:rPr>
          <w:rFonts w:cs="Times New Roman" w:hint="eastAsia"/>
          <w:sz w:val="18"/>
          <w:szCs w:val="18"/>
        </w:rPr>
        <w:t>个月作为一个营业周期，并以其作为资产和负债的流动性划分标准。</w:t>
      </w:r>
    </w:p>
    <w:p w:rsidR="00BA0365" w:rsidRDefault="008D4B2E" w:rsidP="00B818D2">
      <w:pPr>
        <w:pStyle w:val="3"/>
        <w:spacing w:line="240" w:lineRule="auto"/>
        <w:jc w:val="left"/>
        <w:rPr>
          <w:rFonts w:ascii="宋体" w:hAnsi="宋体" w:cs="宋体"/>
          <w:b/>
          <w:bCs/>
        </w:rPr>
      </w:pPr>
      <w:bookmarkStart w:id="169" w:name="_Toc989057"/>
      <w:r>
        <w:rPr>
          <w:rFonts w:ascii="宋体" w:hAnsi="宋体" w:cs="宋体"/>
          <w:b/>
          <w:bCs/>
        </w:rPr>
        <w:t>4、记账本位币</w:t>
      </w:r>
      <w:bookmarkEnd w:id="169"/>
    </w:p>
    <w:p w:rsidR="008D4B2E" w:rsidRPr="00606927" w:rsidRDefault="008D4B2E" w:rsidP="00B818D2">
      <w:pPr>
        <w:pStyle w:val="a3"/>
        <w:spacing w:before="0" w:beforeAutospacing="0" w:after="0" w:afterAutospacing="0"/>
        <w:ind w:firstLine="399"/>
        <w:jc w:val="both"/>
        <w:divId w:val="324015214"/>
        <w:rPr>
          <w:rFonts w:cs="Times New Roman"/>
          <w:sz w:val="18"/>
          <w:szCs w:val="18"/>
        </w:rPr>
      </w:pPr>
      <w:r w:rsidRPr="00606927">
        <w:rPr>
          <w:rFonts w:cs="Times New Roman" w:hint="eastAsia"/>
          <w:sz w:val="18"/>
          <w:szCs w:val="18"/>
        </w:rPr>
        <w:t>人民币为本公司及境内子公司经营所处的主要经济环境中的货币，本公司及境内子公司以人民币为记账本位币。本公司之境外子公司根据其经营所处的主要经济环境中的货币确定美元、欧元为其记账本位币。本公司编制本财务报表时所采用的货币为人民币。</w:t>
      </w:r>
    </w:p>
    <w:p w:rsidR="00BA0365" w:rsidRDefault="008D4B2E" w:rsidP="00B818D2">
      <w:pPr>
        <w:pStyle w:val="3"/>
        <w:spacing w:line="240" w:lineRule="auto"/>
        <w:jc w:val="left"/>
        <w:rPr>
          <w:rFonts w:ascii="宋体" w:hAnsi="宋体" w:cs="宋体"/>
          <w:b/>
          <w:bCs/>
        </w:rPr>
      </w:pPr>
      <w:bookmarkStart w:id="170" w:name="_Toc989058"/>
      <w:r>
        <w:rPr>
          <w:rFonts w:ascii="宋体" w:hAnsi="宋体" w:cs="宋体"/>
          <w:b/>
          <w:bCs/>
        </w:rPr>
        <w:t>5、重要性标准确定方法和选择依据</w:t>
      </w:r>
      <w:bookmarkEnd w:id="170"/>
    </w:p>
    <w:p w:rsidR="00BA0365" w:rsidRDefault="008D4B2E" w:rsidP="00B818D2">
      <w:pPr>
        <w:spacing w:before="100" w:after="100"/>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639" w:type="dxa"/>
        <w:tblLayout w:type="fixed"/>
        <w:tblLook w:val="04A0" w:firstRow="1" w:lastRow="0" w:firstColumn="1" w:lastColumn="0" w:noHBand="0" w:noVBand="1"/>
      </w:tblPr>
      <w:tblGrid>
        <w:gridCol w:w="2407"/>
        <w:gridCol w:w="7232"/>
      </w:tblGrid>
      <w:tr w:rsidR="00157EA0" w:rsidTr="00B818D2">
        <w:trPr>
          <w:trHeight w:val="240"/>
        </w:trPr>
        <w:tc>
          <w:tcPr>
            <w:tcW w:w="240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rsidP="00B818D2">
            <w:pPr>
              <w:spacing w:before="40" w:after="40"/>
              <w:jc w:val="center"/>
              <w:rPr>
                <w:rFonts w:ascii="宋体" w:eastAsia="宋体" w:hAnsi="宋体" w:cs="宋体"/>
                <w:sz w:val="18"/>
                <w:szCs w:val="18"/>
              </w:rPr>
            </w:pPr>
            <w:r>
              <w:rPr>
                <w:rFonts w:ascii="宋体" w:eastAsia="宋体" w:hAnsi="宋体" w:cs="宋体"/>
                <w:sz w:val="18"/>
                <w:szCs w:val="18"/>
              </w:rPr>
              <w:t>项目</w:t>
            </w:r>
          </w:p>
        </w:tc>
        <w:tc>
          <w:tcPr>
            <w:tcW w:w="723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rsidP="00B818D2">
            <w:pPr>
              <w:spacing w:before="40" w:after="40"/>
              <w:jc w:val="center"/>
              <w:rPr>
                <w:rFonts w:ascii="宋体" w:eastAsia="宋体" w:hAnsi="宋体" w:cs="宋体"/>
                <w:sz w:val="18"/>
                <w:szCs w:val="18"/>
              </w:rPr>
            </w:pPr>
            <w:r>
              <w:rPr>
                <w:rFonts w:ascii="宋体" w:eastAsia="宋体" w:hAnsi="宋体" w:cs="宋体"/>
                <w:sz w:val="18"/>
                <w:szCs w:val="18"/>
              </w:rPr>
              <w:t>重要性标准</w:t>
            </w:r>
          </w:p>
        </w:tc>
      </w:tr>
      <w:tr w:rsidR="00157EA0" w:rsidTr="007E18D0">
        <w:trPr>
          <w:trHeight w:val="240"/>
        </w:trPr>
        <w:tc>
          <w:tcPr>
            <w:tcW w:w="240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Pr="00606927" w:rsidRDefault="008D4B2E" w:rsidP="00B818D2">
            <w:pPr>
              <w:pStyle w:val="a3"/>
              <w:spacing w:before="0" w:beforeAutospacing="0" w:after="0" w:afterAutospacing="0"/>
              <w:jc w:val="both"/>
              <w:rPr>
                <w:rFonts w:cs="Times New Roman"/>
                <w:sz w:val="18"/>
                <w:szCs w:val="18"/>
              </w:rPr>
            </w:pPr>
            <w:r w:rsidRPr="00606927">
              <w:rPr>
                <w:rFonts w:cs="Times New Roman"/>
                <w:sz w:val="18"/>
                <w:szCs w:val="18"/>
              </w:rPr>
              <w:t>重要的单项计提坏账准备的应收款项</w:t>
            </w:r>
          </w:p>
        </w:tc>
        <w:tc>
          <w:tcPr>
            <w:tcW w:w="7232" w:type="dxa"/>
            <w:tcBorders>
              <w:top w:val="single" w:sz="2" w:space="0" w:color="auto"/>
              <w:left w:val="single" w:sz="2" w:space="0" w:color="auto"/>
              <w:bottom w:val="single" w:sz="2" w:space="0" w:color="auto"/>
              <w:right w:val="single" w:sz="2" w:space="0" w:color="auto"/>
            </w:tcBorders>
            <w:vAlign w:val="center"/>
          </w:tcPr>
          <w:p w:rsidR="00BA0365" w:rsidRPr="00606927" w:rsidRDefault="00DF1985" w:rsidP="00B818D2">
            <w:pPr>
              <w:pStyle w:val="a3"/>
              <w:spacing w:before="0" w:beforeAutospacing="0" w:after="0" w:afterAutospacing="0"/>
              <w:jc w:val="both"/>
              <w:rPr>
                <w:rFonts w:cs="Times New Roman"/>
                <w:sz w:val="18"/>
                <w:szCs w:val="18"/>
              </w:rPr>
            </w:pPr>
            <w:r w:rsidRPr="00DF1985">
              <w:rPr>
                <w:rFonts w:cs="Times New Roman" w:hint="eastAsia"/>
                <w:sz w:val="18"/>
                <w:szCs w:val="18"/>
              </w:rPr>
              <w:t>公司将单项计提坏账准备的应收账款金额超过资产总额0.5%的认定为重要的单项计提坏账准备的应收账款。</w:t>
            </w:r>
          </w:p>
        </w:tc>
      </w:tr>
      <w:tr w:rsidR="00157EA0" w:rsidTr="007E18D0">
        <w:trPr>
          <w:trHeight w:val="240"/>
        </w:trPr>
        <w:tc>
          <w:tcPr>
            <w:tcW w:w="240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Pr="00606927" w:rsidRDefault="008D4B2E" w:rsidP="00B818D2">
            <w:pPr>
              <w:pStyle w:val="a3"/>
              <w:spacing w:before="0" w:beforeAutospacing="0" w:after="0" w:afterAutospacing="0"/>
              <w:jc w:val="both"/>
              <w:rPr>
                <w:rFonts w:cs="Times New Roman"/>
                <w:sz w:val="18"/>
                <w:szCs w:val="18"/>
              </w:rPr>
            </w:pPr>
            <w:r w:rsidRPr="00606927">
              <w:rPr>
                <w:rFonts w:cs="Times New Roman"/>
                <w:sz w:val="18"/>
                <w:szCs w:val="18"/>
              </w:rPr>
              <w:t>重要的应收账款坏账准备收回或转回</w:t>
            </w:r>
          </w:p>
        </w:tc>
        <w:tc>
          <w:tcPr>
            <w:tcW w:w="7232" w:type="dxa"/>
            <w:tcBorders>
              <w:top w:val="single" w:sz="2" w:space="0" w:color="auto"/>
              <w:left w:val="single" w:sz="2" w:space="0" w:color="auto"/>
              <w:bottom w:val="single" w:sz="2" w:space="0" w:color="auto"/>
              <w:right w:val="single" w:sz="2" w:space="0" w:color="auto"/>
            </w:tcBorders>
            <w:vAlign w:val="center"/>
          </w:tcPr>
          <w:p w:rsidR="00BA0365" w:rsidRPr="00606927" w:rsidRDefault="008D4B2E" w:rsidP="00B818D2">
            <w:pPr>
              <w:pStyle w:val="a3"/>
              <w:spacing w:before="0" w:beforeAutospacing="0" w:after="0" w:afterAutospacing="0"/>
              <w:jc w:val="both"/>
              <w:rPr>
                <w:rFonts w:cs="Times New Roman"/>
                <w:sz w:val="18"/>
                <w:szCs w:val="18"/>
              </w:rPr>
            </w:pPr>
            <w:r w:rsidRPr="00606927">
              <w:rPr>
                <w:rFonts w:cs="Times New Roman"/>
                <w:sz w:val="18"/>
                <w:szCs w:val="18"/>
              </w:rPr>
              <w:t>公司将单项应收账款坏账准备收回或转回金额超过资产总额0.5%的应收账款认定为重要的应收账款坏账准备收回或转回。</w:t>
            </w:r>
          </w:p>
        </w:tc>
      </w:tr>
      <w:tr w:rsidR="00157EA0" w:rsidTr="007E18D0">
        <w:trPr>
          <w:trHeight w:val="240"/>
        </w:trPr>
        <w:tc>
          <w:tcPr>
            <w:tcW w:w="240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Pr="00606927" w:rsidRDefault="008D4B2E" w:rsidP="00B818D2">
            <w:pPr>
              <w:pStyle w:val="a3"/>
              <w:spacing w:before="0" w:beforeAutospacing="0" w:after="0" w:afterAutospacing="0"/>
              <w:jc w:val="both"/>
              <w:rPr>
                <w:rFonts w:cs="Times New Roman"/>
                <w:sz w:val="18"/>
                <w:szCs w:val="18"/>
              </w:rPr>
            </w:pPr>
            <w:r w:rsidRPr="00606927">
              <w:rPr>
                <w:rFonts w:cs="Times New Roman"/>
                <w:sz w:val="18"/>
                <w:szCs w:val="18"/>
              </w:rPr>
              <w:t>重要的核销应收账款</w:t>
            </w:r>
          </w:p>
        </w:tc>
        <w:tc>
          <w:tcPr>
            <w:tcW w:w="7232" w:type="dxa"/>
            <w:tcBorders>
              <w:top w:val="single" w:sz="2" w:space="0" w:color="auto"/>
              <w:left w:val="single" w:sz="2" w:space="0" w:color="auto"/>
              <w:bottom w:val="single" w:sz="2" w:space="0" w:color="auto"/>
              <w:right w:val="single" w:sz="2" w:space="0" w:color="auto"/>
            </w:tcBorders>
            <w:vAlign w:val="center"/>
          </w:tcPr>
          <w:p w:rsidR="00BA0365" w:rsidRPr="00606927" w:rsidRDefault="008D4B2E" w:rsidP="00B818D2">
            <w:pPr>
              <w:pStyle w:val="a3"/>
              <w:spacing w:before="0" w:beforeAutospacing="0" w:after="0" w:afterAutospacing="0"/>
              <w:jc w:val="both"/>
              <w:rPr>
                <w:rFonts w:cs="Times New Roman"/>
                <w:sz w:val="18"/>
                <w:szCs w:val="18"/>
              </w:rPr>
            </w:pPr>
            <w:r w:rsidRPr="00606927">
              <w:rPr>
                <w:rFonts w:cs="Times New Roman"/>
                <w:sz w:val="18"/>
                <w:szCs w:val="18"/>
              </w:rPr>
              <w:t>公司将单项应收账款核销金额超过资产总额0.5%的应收账款认定为重要的核销应收账款。</w:t>
            </w:r>
          </w:p>
        </w:tc>
      </w:tr>
      <w:tr w:rsidR="00157EA0" w:rsidTr="007E18D0">
        <w:trPr>
          <w:trHeight w:val="240"/>
        </w:trPr>
        <w:tc>
          <w:tcPr>
            <w:tcW w:w="240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Pr="00606927" w:rsidRDefault="008D4B2E" w:rsidP="00B818D2">
            <w:pPr>
              <w:pStyle w:val="a3"/>
              <w:spacing w:before="0" w:beforeAutospacing="0" w:after="0" w:afterAutospacing="0"/>
              <w:jc w:val="both"/>
              <w:rPr>
                <w:rFonts w:cs="Times New Roman"/>
                <w:sz w:val="18"/>
                <w:szCs w:val="18"/>
              </w:rPr>
            </w:pPr>
            <w:r w:rsidRPr="00606927">
              <w:rPr>
                <w:rFonts w:cs="Times New Roman"/>
                <w:sz w:val="18"/>
                <w:szCs w:val="18"/>
              </w:rPr>
              <w:t>重要的在建工程项目</w:t>
            </w:r>
          </w:p>
        </w:tc>
        <w:tc>
          <w:tcPr>
            <w:tcW w:w="7232" w:type="dxa"/>
            <w:tcBorders>
              <w:top w:val="single" w:sz="2" w:space="0" w:color="auto"/>
              <w:left w:val="single" w:sz="2" w:space="0" w:color="auto"/>
              <w:bottom w:val="single" w:sz="2" w:space="0" w:color="auto"/>
              <w:right w:val="single" w:sz="2" w:space="0" w:color="auto"/>
            </w:tcBorders>
            <w:vAlign w:val="center"/>
          </w:tcPr>
          <w:p w:rsidR="00BA0365" w:rsidRPr="00606927" w:rsidRDefault="008D4B2E" w:rsidP="00B818D2">
            <w:pPr>
              <w:pStyle w:val="a3"/>
              <w:spacing w:before="0" w:beforeAutospacing="0" w:after="0" w:afterAutospacing="0"/>
              <w:jc w:val="both"/>
              <w:rPr>
                <w:rFonts w:cs="Times New Roman"/>
                <w:sz w:val="18"/>
                <w:szCs w:val="18"/>
              </w:rPr>
            </w:pPr>
            <w:r w:rsidRPr="00606927">
              <w:rPr>
                <w:rFonts w:cs="Times New Roman"/>
                <w:sz w:val="18"/>
                <w:szCs w:val="18"/>
              </w:rPr>
              <w:t>公司将单项在建工程预算超过1亿元的在建工程认定为重要在建工程。</w:t>
            </w:r>
          </w:p>
        </w:tc>
      </w:tr>
      <w:tr w:rsidR="00157EA0" w:rsidTr="007E18D0">
        <w:trPr>
          <w:trHeight w:val="240"/>
        </w:trPr>
        <w:tc>
          <w:tcPr>
            <w:tcW w:w="240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Pr="00606927" w:rsidRDefault="008D4B2E" w:rsidP="00B818D2">
            <w:pPr>
              <w:pStyle w:val="a3"/>
              <w:spacing w:before="0" w:beforeAutospacing="0" w:after="0" w:afterAutospacing="0"/>
              <w:jc w:val="both"/>
              <w:rPr>
                <w:rFonts w:cs="Times New Roman"/>
                <w:sz w:val="18"/>
                <w:szCs w:val="18"/>
              </w:rPr>
            </w:pPr>
            <w:r w:rsidRPr="00606927">
              <w:rPr>
                <w:rFonts w:cs="Times New Roman"/>
                <w:sz w:val="18"/>
                <w:szCs w:val="18"/>
              </w:rPr>
              <w:t>重要的非全资子公司</w:t>
            </w:r>
          </w:p>
        </w:tc>
        <w:tc>
          <w:tcPr>
            <w:tcW w:w="7232" w:type="dxa"/>
            <w:tcBorders>
              <w:top w:val="single" w:sz="2" w:space="0" w:color="auto"/>
              <w:left w:val="single" w:sz="2" w:space="0" w:color="auto"/>
              <w:bottom w:val="single" w:sz="2" w:space="0" w:color="auto"/>
              <w:right w:val="single" w:sz="2" w:space="0" w:color="auto"/>
            </w:tcBorders>
            <w:vAlign w:val="center"/>
          </w:tcPr>
          <w:p w:rsidR="00BA0365" w:rsidRPr="00606927" w:rsidRDefault="008D4B2E" w:rsidP="00B818D2">
            <w:pPr>
              <w:pStyle w:val="a3"/>
              <w:spacing w:before="0" w:beforeAutospacing="0" w:after="0" w:afterAutospacing="0"/>
              <w:jc w:val="both"/>
              <w:rPr>
                <w:rFonts w:cs="Times New Roman"/>
                <w:sz w:val="18"/>
                <w:szCs w:val="18"/>
              </w:rPr>
            </w:pPr>
            <w:r w:rsidRPr="00606927">
              <w:rPr>
                <w:rFonts w:cs="Times New Roman"/>
                <w:sz w:val="18"/>
                <w:szCs w:val="18"/>
              </w:rPr>
              <w:t>子公司净利润占集团净利润10%或营业收入占集团营业收入10%以上的认定为重要的非全资子公司。</w:t>
            </w:r>
          </w:p>
        </w:tc>
      </w:tr>
      <w:tr w:rsidR="00157EA0" w:rsidTr="007E18D0">
        <w:trPr>
          <w:trHeight w:val="240"/>
        </w:trPr>
        <w:tc>
          <w:tcPr>
            <w:tcW w:w="240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Pr="00606927" w:rsidRDefault="008D4B2E" w:rsidP="00B818D2">
            <w:pPr>
              <w:pStyle w:val="a3"/>
              <w:spacing w:before="0" w:beforeAutospacing="0" w:after="0" w:afterAutospacing="0"/>
              <w:jc w:val="both"/>
              <w:rPr>
                <w:rFonts w:cs="Times New Roman"/>
                <w:sz w:val="18"/>
                <w:szCs w:val="18"/>
              </w:rPr>
            </w:pPr>
            <w:r w:rsidRPr="00606927">
              <w:rPr>
                <w:rFonts w:cs="Times New Roman"/>
                <w:sz w:val="18"/>
                <w:szCs w:val="18"/>
              </w:rPr>
              <w:t>重要的合营企业或联营企业</w:t>
            </w:r>
          </w:p>
        </w:tc>
        <w:tc>
          <w:tcPr>
            <w:tcW w:w="7232" w:type="dxa"/>
            <w:tcBorders>
              <w:top w:val="single" w:sz="2" w:space="0" w:color="auto"/>
              <w:left w:val="single" w:sz="2" w:space="0" w:color="auto"/>
              <w:bottom w:val="single" w:sz="2" w:space="0" w:color="auto"/>
              <w:right w:val="single" w:sz="2" w:space="0" w:color="auto"/>
            </w:tcBorders>
            <w:vAlign w:val="center"/>
          </w:tcPr>
          <w:p w:rsidR="00BA0365" w:rsidRPr="00606927" w:rsidRDefault="00DF1985" w:rsidP="00B818D2">
            <w:pPr>
              <w:pStyle w:val="a3"/>
              <w:spacing w:before="0" w:beforeAutospacing="0" w:after="0" w:afterAutospacing="0"/>
              <w:jc w:val="both"/>
              <w:rPr>
                <w:rFonts w:cs="Times New Roman"/>
                <w:sz w:val="18"/>
                <w:szCs w:val="18"/>
              </w:rPr>
            </w:pPr>
            <w:r w:rsidRPr="00DF1985">
              <w:rPr>
                <w:rFonts w:cs="Times New Roman" w:hint="eastAsia"/>
                <w:sz w:val="18"/>
                <w:szCs w:val="18"/>
              </w:rPr>
              <w:t>对单个被投资单位的长期股权投资账面价值超过资产总额0.5%或账面价值高于5000万元的认定为重要的合营企业或联营企业</w:t>
            </w:r>
          </w:p>
        </w:tc>
      </w:tr>
    </w:tbl>
    <w:p w:rsidR="00BA0365" w:rsidRDefault="008D4B2E" w:rsidP="00B818D2">
      <w:pPr>
        <w:pStyle w:val="3"/>
        <w:spacing w:line="240" w:lineRule="auto"/>
        <w:jc w:val="left"/>
        <w:rPr>
          <w:rFonts w:ascii="宋体" w:hAnsi="宋体" w:cs="宋体"/>
          <w:b/>
          <w:bCs/>
        </w:rPr>
      </w:pPr>
      <w:bookmarkStart w:id="171" w:name="_Toc989059"/>
      <w:r>
        <w:rPr>
          <w:rFonts w:ascii="宋体" w:hAnsi="宋体" w:cs="宋体"/>
          <w:b/>
          <w:bCs/>
        </w:rPr>
        <w:t>6、同</w:t>
      </w:r>
      <w:proofErr w:type="gramStart"/>
      <w:r>
        <w:rPr>
          <w:rFonts w:ascii="宋体" w:hAnsi="宋体" w:cs="宋体"/>
          <w:b/>
          <w:bCs/>
        </w:rPr>
        <w:t>一控制</w:t>
      </w:r>
      <w:proofErr w:type="gramEnd"/>
      <w:r>
        <w:rPr>
          <w:rFonts w:ascii="宋体" w:hAnsi="宋体" w:cs="宋体"/>
          <w:b/>
          <w:bCs/>
        </w:rPr>
        <w:t>下和非同</w:t>
      </w:r>
      <w:proofErr w:type="gramStart"/>
      <w:r>
        <w:rPr>
          <w:rFonts w:ascii="宋体" w:hAnsi="宋体" w:cs="宋体"/>
          <w:b/>
          <w:bCs/>
        </w:rPr>
        <w:t>一控制</w:t>
      </w:r>
      <w:proofErr w:type="gramEnd"/>
      <w:r>
        <w:rPr>
          <w:rFonts w:ascii="宋体" w:hAnsi="宋体" w:cs="宋体"/>
          <w:b/>
          <w:bCs/>
        </w:rPr>
        <w:t>下企业合并的会计处理方法</w:t>
      </w:r>
      <w:bookmarkEnd w:id="171"/>
    </w:p>
    <w:p w:rsidR="008D4B2E" w:rsidRPr="002B59B9" w:rsidRDefault="008D4B2E" w:rsidP="00B818D2">
      <w:pPr>
        <w:pStyle w:val="a3"/>
        <w:spacing w:before="0" w:beforeAutospacing="0" w:after="0" w:afterAutospacing="0"/>
        <w:ind w:left="3" w:firstLine="400"/>
        <w:jc w:val="both"/>
        <w:divId w:val="1561407256"/>
        <w:rPr>
          <w:rFonts w:cs="Times New Roman"/>
          <w:sz w:val="18"/>
          <w:szCs w:val="18"/>
        </w:rPr>
      </w:pPr>
      <w:r w:rsidRPr="002B59B9">
        <w:rPr>
          <w:rFonts w:cs="Times New Roman" w:hint="eastAsia"/>
          <w:sz w:val="18"/>
          <w:szCs w:val="18"/>
        </w:rPr>
        <w:t>企业合并，是指将两个或两个以上单独的企业合并形成一个报告主体的交易或事项。企业合并分为同</w:t>
      </w:r>
      <w:proofErr w:type="gramStart"/>
      <w:r w:rsidRPr="002B59B9">
        <w:rPr>
          <w:rFonts w:cs="Times New Roman" w:hint="eastAsia"/>
          <w:sz w:val="18"/>
          <w:szCs w:val="18"/>
        </w:rPr>
        <w:t>一控制</w:t>
      </w:r>
      <w:proofErr w:type="gramEnd"/>
      <w:r w:rsidRPr="002B59B9">
        <w:rPr>
          <w:rFonts w:cs="Times New Roman" w:hint="eastAsia"/>
          <w:sz w:val="18"/>
          <w:szCs w:val="18"/>
        </w:rPr>
        <w:t>下企业合并和非同</w:t>
      </w:r>
      <w:proofErr w:type="gramStart"/>
      <w:r w:rsidRPr="002B59B9">
        <w:rPr>
          <w:rFonts w:cs="Times New Roman" w:hint="eastAsia"/>
          <w:sz w:val="18"/>
          <w:szCs w:val="18"/>
        </w:rPr>
        <w:t>一控制</w:t>
      </w:r>
      <w:proofErr w:type="gramEnd"/>
      <w:r w:rsidRPr="002B59B9">
        <w:rPr>
          <w:rFonts w:cs="Times New Roman" w:hint="eastAsia"/>
          <w:sz w:val="18"/>
          <w:szCs w:val="18"/>
        </w:rPr>
        <w:t>下企业合并。</w:t>
      </w:r>
    </w:p>
    <w:p w:rsidR="008D4B2E" w:rsidRPr="002B59B9" w:rsidRDefault="008D4B2E" w:rsidP="00B818D2">
      <w:pPr>
        <w:pStyle w:val="a3"/>
        <w:spacing w:before="0" w:beforeAutospacing="0" w:after="0" w:afterAutospacing="0"/>
        <w:ind w:firstLine="400"/>
        <w:jc w:val="both"/>
        <w:divId w:val="1561407256"/>
        <w:rPr>
          <w:rFonts w:cs="Times New Roman"/>
          <w:sz w:val="18"/>
          <w:szCs w:val="18"/>
        </w:rPr>
      </w:pPr>
      <w:r w:rsidRPr="002B59B9">
        <w:rPr>
          <w:rFonts w:cs="Times New Roman" w:hint="eastAsia"/>
          <w:sz w:val="18"/>
          <w:szCs w:val="18"/>
        </w:rPr>
        <w:t>（</w:t>
      </w:r>
      <w:r w:rsidRPr="002B59B9">
        <w:rPr>
          <w:rFonts w:cs="Times New Roman"/>
          <w:sz w:val="18"/>
          <w:szCs w:val="18"/>
        </w:rPr>
        <w:t>1</w:t>
      </w:r>
      <w:r w:rsidRPr="002B59B9">
        <w:rPr>
          <w:rFonts w:cs="Times New Roman" w:hint="eastAsia"/>
          <w:sz w:val="18"/>
          <w:szCs w:val="18"/>
        </w:rPr>
        <w:t>）同</w:t>
      </w:r>
      <w:proofErr w:type="gramStart"/>
      <w:r w:rsidRPr="002B59B9">
        <w:rPr>
          <w:rFonts w:cs="Times New Roman" w:hint="eastAsia"/>
          <w:sz w:val="18"/>
          <w:szCs w:val="18"/>
        </w:rPr>
        <w:t>一控制</w:t>
      </w:r>
      <w:proofErr w:type="gramEnd"/>
      <w:r w:rsidRPr="002B59B9">
        <w:rPr>
          <w:rFonts w:cs="Times New Roman" w:hint="eastAsia"/>
          <w:sz w:val="18"/>
          <w:szCs w:val="18"/>
        </w:rPr>
        <w:t>下企业合并</w:t>
      </w:r>
    </w:p>
    <w:p w:rsidR="008D4B2E" w:rsidRPr="002B59B9" w:rsidRDefault="008D4B2E" w:rsidP="00B818D2">
      <w:pPr>
        <w:pStyle w:val="a3"/>
        <w:spacing w:before="0" w:beforeAutospacing="0" w:after="0" w:afterAutospacing="0"/>
        <w:ind w:firstLine="400"/>
        <w:jc w:val="both"/>
        <w:divId w:val="1561407256"/>
        <w:rPr>
          <w:rFonts w:cs="Times New Roman"/>
          <w:sz w:val="18"/>
          <w:szCs w:val="18"/>
        </w:rPr>
      </w:pPr>
      <w:r w:rsidRPr="002B59B9">
        <w:rPr>
          <w:rFonts w:cs="Times New Roman" w:hint="eastAsia"/>
          <w:sz w:val="18"/>
          <w:szCs w:val="18"/>
        </w:rPr>
        <w:lastRenderedPageBreak/>
        <w:t>参与合并的企业在合并前后均受同一方或相同的多方最终控制，且</w:t>
      </w:r>
      <w:proofErr w:type="gramStart"/>
      <w:r w:rsidRPr="002B59B9">
        <w:rPr>
          <w:rFonts w:cs="Times New Roman" w:hint="eastAsia"/>
          <w:sz w:val="18"/>
          <w:szCs w:val="18"/>
        </w:rPr>
        <w:t>该控制</w:t>
      </w:r>
      <w:proofErr w:type="gramEnd"/>
      <w:r w:rsidRPr="002B59B9">
        <w:rPr>
          <w:rFonts w:cs="Times New Roman" w:hint="eastAsia"/>
          <w:sz w:val="18"/>
          <w:szCs w:val="18"/>
        </w:rPr>
        <w:t>并非暂时性的，为同</w:t>
      </w:r>
      <w:proofErr w:type="gramStart"/>
      <w:r w:rsidRPr="002B59B9">
        <w:rPr>
          <w:rFonts w:cs="Times New Roman" w:hint="eastAsia"/>
          <w:sz w:val="18"/>
          <w:szCs w:val="18"/>
        </w:rPr>
        <w:t>一控制</w:t>
      </w:r>
      <w:proofErr w:type="gramEnd"/>
      <w:r w:rsidRPr="002B59B9">
        <w:rPr>
          <w:rFonts w:cs="Times New Roman" w:hint="eastAsia"/>
          <w:sz w:val="18"/>
          <w:szCs w:val="18"/>
        </w:rPr>
        <w:t>下的企业合并。同</w:t>
      </w:r>
      <w:proofErr w:type="gramStart"/>
      <w:r w:rsidRPr="002B59B9">
        <w:rPr>
          <w:rFonts w:cs="Times New Roman" w:hint="eastAsia"/>
          <w:sz w:val="18"/>
          <w:szCs w:val="18"/>
        </w:rPr>
        <w:t>一控制</w:t>
      </w:r>
      <w:proofErr w:type="gramEnd"/>
      <w:r w:rsidRPr="002B59B9">
        <w:rPr>
          <w:rFonts w:cs="Times New Roman" w:hint="eastAsia"/>
          <w:sz w:val="18"/>
          <w:szCs w:val="18"/>
        </w:rPr>
        <w:t>下的企业合并，在</w:t>
      </w:r>
      <w:proofErr w:type="gramStart"/>
      <w:r w:rsidRPr="002B59B9">
        <w:rPr>
          <w:rFonts w:cs="Times New Roman" w:hint="eastAsia"/>
          <w:sz w:val="18"/>
          <w:szCs w:val="18"/>
        </w:rPr>
        <w:t>合并日取得</w:t>
      </w:r>
      <w:proofErr w:type="gramEnd"/>
      <w:r w:rsidRPr="002B59B9">
        <w:rPr>
          <w:rFonts w:cs="Times New Roman" w:hint="eastAsia"/>
          <w:sz w:val="18"/>
          <w:szCs w:val="18"/>
        </w:rPr>
        <w:t>对其他参与合并企业控制权的一方为合并方，参与合并的其他企业为被合并方。合并日，是指合并方实际取得对被合并方控制权的日期。</w:t>
      </w:r>
    </w:p>
    <w:p w:rsidR="008D4B2E" w:rsidRPr="002B59B9" w:rsidRDefault="008D4B2E" w:rsidP="00B818D2">
      <w:pPr>
        <w:pStyle w:val="a3"/>
        <w:spacing w:before="0" w:beforeAutospacing="0" w:after="0" w:afterAutospacing="0"/>
        <w:ind w:firstLine="400"/>
        <w:jc w:val="both"/>
        <w:divId w:val="1561407256"/>
        <w:rPr>
          <w:rFonts w:cs="Times New Roman"/>
          <w:sz w:val="18"/>
          <w:szCs w:val="18"/>
        </w:rPr>
      </w:pPr>
      <w:r w:rsidRPr="002B59B9">
        <w:rPr>
          <w:rFonts w:cs="Times New Roman" w:hint="eastAsia"/>
          <w:sz w:val="18"/>
          <w:szCs w:val="18"/>
        </w:rPr>
        <w:t>公司在企业合并中取得的资产和负债，按照</w:t>
      </w:r>
      <w:proofErr w:type="gramStart"/>
      <w:r w:rsidRPr="002B59B9">
        <w:rPr>
          <w:rFonts w:cs="Times New Roman" w:hint="eastAsia"/>
          <w:sz w:val="18"/>
          <w:szCs w:val="18"/>
        </w:rPr>
        <w:t>合并日</w:t>
      </w:r>
      <w:proofErr w:type="gramEnd"/>
      <w:r w:rsidRPr="002B59B9">
        <w:rPr>
          <w:rFonts w:cs="Times New Roman" w:hint="eastAsia"/>
          <w:sz w:val="18"/>
          <w:szCs w:val="18"/>
        </w:rPr>
        <w:t>被合并方资产、负债（包括最终控制</w:t>
      </w:r>
      <w:proofErr w:type="gramStart"/>
      <w:r w:rsidRPr="002B59B9">
        <w:rPr>
          <w:rFonts w:cs="Times New Roman" w:hint="eastAsia"/>
          <w:sz w:val="18"/>
          <w:szCs w:val="18"/>
        </w:rPr>
        <w:t>方收购</w:t>
      </w:r>
      <w:proofErr w:type="gramEnd"/>
      <w:r w:rsidRPr="002B59B9">
        <w:rPr>
          <w:rFonts w:cs="Times New Roman" w:hint="eastAsia"/>
          <w:sz w:val="18"/>
          <w:szCs w:val="18"/>
        </w:rPr>
        <w:t>被合并方形成的商誉）在最终控制方合并财务报表中的账面价值计量；取得的净资产账面价值与支付的合并对价账面价值（或发行股份面值总额）的差额，调整资本公积中的股本溢价，资本公积中股本溢价不足冲减的，调整留存收益。</w:t>
      </w:r>
    </w:p>
    <w:p w:rsidR="008D4B2E" w:rsidRPr="002B59B9" w:rsidRDefault="008D4B2E" w:rsidP="00B818D2">
      <w:pPr>
        <w:pStyle w:val="a3"/>
        <w:spacing w:before="0" w:beforeAutospacing="0" w:after="0" w:afterAutospacing="0"/>
        <w:ind w:firstLine="400"/>
        <w:jc w:val="both"/>
        <w:divId w:val="1561407256"/>
        <w:rPr>
          <w:rFonts w:cs="Times New Roman"/>
          <w:sz w:val="18"/>
          <w:szCs w:val="18"/>
        </w:rPr>
      </w:pPr>
      <w:r w:rsidRPr="002B59B9">
        <w:rPr>
          <w:rFonts w:cs="Times New Roman" w:hint="eastAsia"/>
          <w:sz w:val="18"/>
          <w:szCs w:val="18"/>
        </w:rPr>
        <w:t>合并方为进行企业合并发生的各项直接费用，于发生时计入当期损益。</w:t>
      </w:r>
    </w:p>
    <w:p w:rsidR="008D4B2E" w:rsidRPr="002B59B9" w:rsidRDefault="008D4B2E" w:rsidP="00B818D2">
      <w:pPr>
        <w:pStyle w:val="a3"/>
        <w:spacing w:before="0" w:beforeAutospacing="0" w:after="0" w:afterAutospacing="0"/>
        <w:ind w:firstLine="400"/>
        <w:jc w:val="both"/>
        <w:divId w:val="1561407256"/>
        <w:rPr>
          <w:rFonts w:cs="Times New Roman"/>
          <w:sz w:val="18"/>
          <w:szCs w:val="18"/>
        </w:rPr>
      </w:pPr>
      <w:r w:rsidRPr="002B59B9">
        <w:rPr>
          <w:rFonts w:cs="Times New Roman" w:hint="eastAsia"/>
          <w:sz w:val="18"/>
          <w:szCs w:val="18"/>
        </w:rPr>
        <w:t>（</w:t>
      </w:r>
      <w:r w:rsidRPr="002B59B9">
        <w:rPr>
          <w:rFonts w:cs="Times New Roman"/>
          <w:sz w:val="18"/>
          <w:szCs w:val="18"/>
        </w:rPr>
        <w:t>2</w:t>
      </w:r>
      <w:r w:rsidRPr="002B59B9">
        <w:rPr>
          <w:rFonts w:cs="Times New Roman" w:hint="eastAsia"/>
          <w:sz w:val="18"/>
          <w:szCs w:val="18"/>
        </w:rPr>
        <w:t>）非同</w:t>
      </w:r>
      <w:proofErr w:type="gramStart"/>
      <w:r w:rsidRPr="002B59B9">
        <w:rPr>
          <w:rFonts w:cs="Times New Roman" w:hint="eastAsia"/>
          <w:sz w:val="18"/>
          <w:szCs w:val="18"/>
        </w:rPr>
        <w:t>一控制</w:t>
      </w:r>
      <w:proofErr w:type="gramEnd"/>
      <w:r w:rsidRPr="002B59B9">
        <w:rPr>
          <w:rFonts w:cs="Times New Roman" w:hint="eastAsia"/>
          <w:sz w:val="18"/>
          <w:szCs w:val="18"/>
        </w:rPr>
        <w:t>下企业合并</w:t>
      </w:r>
    </w:p>
    <w:p w:rsidR="008D4B2E" w:rsidRPr="002B59B9" w:rsidRDefault="008D4B2E" w:rsidP="00B818D2">
      <w:pPr>
        <w:pStyle w:val="a3"/>
        <w:spacing w:before="0" w:beforeAutospacing="0" w:after="0" w:afterAutospacing="0"/>
        <w:ind w:firstLine="400"/>
        <w:jc w:val="both"/>
        <w:divId w:val="1561407256"/>
        <w:rPr>
          <w:rFonts w:cs="Times New Roman"/>
          <w:sz w:val="18"/>
          <w:szCs w:val="18"/>
        </w:rPr>
      </w:pPr>
      <w:r w:rsidRPr="002B59B9">
        <w:rPr>
          <w:rFonts w:cs="Times New Roman" w:hint="eastAsia"/>
          <w:sz w:val="18"/>
          <w:szCs w:val="18"/>
        </w:rPr>
        <w:t>参与合并的企业在合并前后不受同一方或相同的多方最终控制的，为非同</w:t>
      </w:r>
      <w:proofErr w:type="gramStart"/>
      <w:r w:rsidRPr="002B59B9">
        <w:rPr>
          <w:rFonts w:cs="Times New Roman" w:hint="eastAsia"/>
          <w:sz w:val="18"/>
          <w:szCs w:val="18"/>
        </w:rPr>
        <w:t>一控制</w:t>
      </w:r>
      <w:proofErr w:type="gramEnd"/>
      <w:r w:rsidRPr="002B59B9">
        <w:rPr>
          <w:rFonts w:cs="Times New Roman" w:hint="eastAsia"/>
          <w:sz w:val="18"/>
          <w:szCs w:val="18"/>
        </w:rPr>
        <w:t>下的企业合并。非同</w:t>
      </w:r>
      <w:proofErr w:type="gramStart"/>
      <w:r w:rsidRPr="002B59B9">
        <w:rPr>
          <w:rFonts w:cs="Times New Roman" w:hint="eastAsia"/>
          <w:sz w:val="18"/>
          <w:szCs w:val="18"/>
        </w:rPr>
        <w:t>一控制</w:t>
      </w:r>
      <w:proofErr w:type="gramEnd"/>
      <w:r w:rsidRPr="002B59B9">
        <w:rPr>
          <w:rFonts w:cs="Times New Roman" w:hint="eastAsia"/>
          <w:sz w:val="18"/>
          <w:szCs w:val="18"/>
        </w:rPr>
        <w:t>下的企业合并，在购买</w:t>
      </w:r>
      <w:proofErr w:type="gramStart"/>
      <w:r w:rsidRPr="002B59B9">
        <w:rPr>
          <w:rFonts w:cs="Times New Roman" w:hint="eastAsia"/>
          <w:sz w:val="18"/>
          <w:szCs w:val="18"/>
        </w:rPr>
        <w:t>日取得</w:t>
      </w:r>
      <w:proofErr w:type="gramEnd"/>
      <w:r w:rsidRPr="002B59B9">
        <w:rPr>
          <w:rFonts w:cs="Times New Roman" w:hint="eastAsia"/>
          <w:sz w:val="18"/>
          <w:szCs w:val="18"/>
        </w:rPr>
        <w:t>对其他参与合并企业控制权的一方为购买方，参与合并的其他企业为被购买方。购买日，是指为购买方实际取得对被购买方控制权的日期。</w:t>
      </w:r>
    </w:p>
    <w:p w:rsidR="008D4B2E" w:rsidRPr="002B59B9" w:rsidRDefault="008D4B2E" w:rsidP="00B818D2">
      <w:pPr>
        <w:pStyle w:val="a3"/>
        <w:spacing w:before="0" w:beforeAutospacing="0" w:after="0" w:afterAutospacing="0"/>
        <w:ind w:firstLine="400"/>
        <w:jc w:val="both"/>
        <w:divId w:val="1561407256"/>
        <w:rPr>
          <w:rFonts w:cs="Times New Roman"/>
          <w:sz w:val="18"/>
          <w:szCs w:val="18"/>
        </w:rPr>
      </w:pPr>
      <w:r w:rsidRPr="002B59B9">
        <w:rPr>
          <w:rFonts w:cs="Times New Roman" w:hint="eastAsia"/>
          <w:sz w:val="18"/>
          <w:szCs w:val="18"/>
        </w:rPr>
        <w:t>对于非同</w:t>
      </w:r>
      <w:proofErr w:type="gramStart"/>
      <w:r w:rsidRPr="002B59B9">
        <w:rPr>
          <w:rFonts w:cs="Times New Roman" w:hint="eastAsia"/>
          <w:sz w:val="18"/>
          <w:szCs w:val="18"/>
        </w:rPr>
        <w:t>一控制</w:t>
      </w:r>
      <w:proofErr w:type="gramEnd"/>
      <w:r w:rsidRPr="002B59B9">
        <w:rPr>
          <w:rFonts w:cs="Times New Roman" w:hint="eastAsia"/>
          <w:sz w:val="18"/>
          <w:szCs w:val="18"/>
        </w:rPr>
        <w:t>下的企业合并，合并成本包含购买</w:t>
      </w:r>
      <w:proofErr w:type="gramStart"/>
      <w:r w:rsidRPr="002B59B9">
        <w:rPr>
          <w:rFonts w:cs="Times New Roman" w:hint="eastAsia"/>
          <w:sz w:val="18"/>
          <w:szCs w:val="18"/>
        </w:rPr>
        <w:t>日购买</w:t>
      </w:r>
      <w:proofErr w:type="gramEnd"/>
      <w:r w:rsidRPr="002B59B9">
        <w:rPr>
          <w:rFonts w:cs="Times New Roman" w:hint="eastAsia"/>
          <w:sz w:val="18"/>
          <w:szCs w:val="18"/>
        </w:rPr>
        <w:t>方为取得对被购买方的控制权而付出的资产、发生或承担的负债以及发行的权益</w:t>
      </w:r>
      <w:proofErr w:type="gramStart"/>
      <w:r w:rsidRPr="002B59B9">
        <w:rPr>
          <w:rFonts w:cs="Times New Roman" w:hint="eastAsia"/>
          <w:sz w:val="18"/>
          <w:szCs w:val="18"/>
        </w:rPr>
        <w:t>性证券</w:t>
      </w:r>
      <w:proofErr w:type="gramEnd"/>
      <w:r w:rsidRPr="002B59B9">
        <w:rPr>
          <w:rFonts w:cs="Times New Roman" w:hint="eastAsia"/>
          <w:sz w:val="18"/>
          <w:szCs w:val="18"/>
        </w:rPr>
        <w:t>的公允价值，为企业合并发生的审计、法律服务、评估咨询等中介费用以及其他管理费用于发生时计入当期损益。购买方作为合并对价发行的权益</w:t>
      </w:r>
      <w:proofErr w:type="gramStart"/>
      <w:r w:rsidRPr="002B59B9">
        <w:rPr>
          <w:rFonts w:cs="Times New Roman" w:hint="eastAsia"/>
          <w:sz w:val="18"/>
          <w:szCs w:val="18"/>
        </w:rPr>
        <w:t>性证券</w:t>
      </w:r>
      <w:proofErr w:type="gramEnd"/>
      <w:r w:rsidRPr="002B59B9">
        <w:rPr>
          <w:rFonts w:cs="Times New Roman" w:hint="eastAsia"/>
          <w:sz w:val="18"/>
          <w:szCs w:val="18"/>
        </w:rPr>
        <w:t>或债务</w:t>
      </w:r>
      <w:proofErr w:type="gramStart"/>
      <w:r w:rsidRPr="002B59B9">
        <w:rPr>
          <w:rFonts w:cs="Times New Roman" w:hint="eastAsia"/>
          <w:sz w:val="18"/>
          <w:szCs w:val="18"/>
        </w:rPr>
        <w:t>性证券</w:t>
      </w:r>
      <w:proofErr w:type="gramEnd"/>
      <w:r w:rsidRPr="002B59B9">
        <w:rPr>
          <w:rFonts w:cs="Times New Roman" w:hint="eastAsia"/>
          <w:sz w:val="18"/>
          <w:szCs w:val="18"/>
        </w:rPr>
        <w:t>的交易费用，计入权益</w:t>
      </w:r>
      <w:proofErr w:type="gramStart"/>
      <w:r w:rsidRPr="002B59B9">
        <w:rPr>
          <w:rFonts w:cs="Times New Roman" w:hint="eastAsia"/>
          <w:sz w:val="18"/>
          <w:szCs w:val="18"/>
        </w:rPr>
        <w:t>性证券</w:t>
      </w:r>
      <w:proofErr w:type="gramEnd"/>
      <w:r w:rsidRPr="002B59B9">
        <w:rPr>
          <w:rFonts w:cs="Times New Roman" w:hint="eastAsia"/>
          <w:sz w:val="18"/>
          <w:szCs w:val="18"/>
        </w:rPr>
        <w:t>或债务</w:t>
      </w:r>
      <w:proofErr w:type="gramStart"/>
      <w:r w:rsidRPr="002B59B9">
        <w:rPr>
          <w:rFonts w:cs="Times New Roman" w:hint="eastAsia"/>
          <w:sz w:val="18"/>
          <w:szCs w:val="18"/>
        </w:rPr>
        <w:t>性证券</w:t>
      </w:r>
      <w:proofErr w:type="gramEnd"/>
      <w:r w:rsidRPr="002B59B9">
        <w:rPr>
          <w:rFonts w:cs="Times New Roman" w:hint="eastAsia"/>
          <w:sz w:val="18"/>
          <w:szCs w:val="18"/>
        </w:rPr>
        <w:t>的初始确认金额。所涉及的或有对价按其在购买日的公允价值计入合并成本，购买日后</w:t>
      </w:r>
      <w:r w:rsidRPr="002B59B9">
        <w:rPr>
          <w:rFonts w:cs="Times New Roman"/>
          <w:sz w:val="18"/>
          <w:szCs w:val="18"/>
        </w:rPr>
        <w:t>12</w:t>
      </w:r>
      <w:r w:rsidRPr="002B59B9">
        <w:rPr>
          <w:rFonts w:cs="Times New Roman" w:hint="eastAsia"/>
          <w:sz w:val="18"/>
          <w:szCs w:val="18"/>
        </w:rPr>
        <w:t>个月内出现对购买日已存在情况的新的或进一步证据而需要调整或有对价的，相应调整合并商誉。购买方发生的合并成本及在合并中取得的可辨认净资产按购买日的公允价值计量。合并成本大于合并中取得的被购买方于购买日可辨认净资产公允价值份额的差额，确认为商誉。合并成本小于合并中取得的被购买方可辨认净资产公允价值份额的，首先对取得的被购买</w:t>
      </w:r>
      <w:proofErr w:type="gramStart"/>
      <w:r w:rsidRPr="002B59B9">
        <w:rPr>
          <w:rFonts w:cs="Times New Roman" w:hint="eastAsia"/>
          <w:sz w:val="18"/>
          <w:szCs w:val="18"/>
        </w:rPr>
        <w:t>方各项</w:t>
      </w:r>
      <w:proofErr w:type="gramEnd"/>
      <w:r w:rsidRPr="002B59B9">
        <w:rPr>
          <w:rFonts w:cs="Times New Roman" w:hint="eastAsia"/>
          <w:sz w:val="18"/>
          <w:szCs w:val="18"/>
        </w:rPr>
        <w:t>可辨认资产、负债及或有负债的公允价值以及合并成本的计量进行复核，复核后合并成本仍小于合并中取得的被购买方可辨认净资产公允价值份额的，其差额计入当期损益。</w:t>
      </w:r>
    </w:p>
    <w:p w:rsidR="008D4B2E" w:rsidRPr="002B59B9" w:rsidRDefault="008D4B2E" w:rsidP="00B818D2">
      <w:pPr>
        <w:pStyle w:val="a3"/>
        <w:spacing w:before="0" w:beforeAutospacing="0" w:after="0" w:afterAutospacing="0"/>
        <w:ind w:firstLine="400"/>
        <w:jc w:val="both"/>
        <w:divId w:val="1561407256"/>
        <w:rPr>
          <w:rFonts w:cs="Times New Roman"/>
          <w:sz w:val="18"/>
          <w:szCs w:val="18"/>
        </w:rPr>
      </w:pPr>
      <w:r w:rsidRPr="002B59B9">
        <w:rPr>
          <w:rFonts w:cs="Times New Roman" w:hint="eastAsia"/>
          <w:sz w:val="18"/>
          <w:szCs w:val="18"/>
        </w:rPr>
        <w:t>购买方取得被购买方的可抵扣暂时性差异，在购买日因不符合递延所得税资产确认条件而未予确认的，在购买日后</w:t>
      </w:r>
      <w:r w:rsidRPr="002B59B9">
        <w:rPr>
          <w:rFonts w:cs="Times New Roman"/>
          <w:sz w:val="18"/>
          <w:szCs w:val="18"/>
        </w:rPr>
        <w:t>12</w:t>
      </w:r>
      <w:r w:rsidRPr="002B59B9">
        <w:rPr>
          <w:rFonts w:cs="Times New Roman" w:hint="eastAsia"/>
          <w:sz w:val="18"/>
          <w:szCs w:val="18"/>
        </w:rPr>
        <w:t>个月内，如取得新的或进一步的信息表明购买日的相关情况已经存在，预期被购买方在购买日可抵扣暂时性差异带来的经济利益能够实现的，则确认相关的递延所得税资产，同时减少商誉，商誉不足冲减的，差额部分确认为当期损益；除上述情况以外，确认与企业合并相关的递延所得税资产的，计入当期损益。</w:t>
      </w:r>
    </w:p>
    <w:p w:rsidR="008D4B2E" w:rsidRPr="002B59B9" w:rsidRDefault="008D4B2E" w:rsidP="00B818D2">
      <w:pPr>
        <w:pStyle w:val="a3"/>
        <w:spacing w:before="0" w:beforeAutospacing="0" w:after="0" w:afterAutospacing="0"/>
        <w:ind w:firstLine="400"/>
        <w:jc w:val="both"/>
        <w:divId w:val="1561407256"/>
        <w:rPr>
          <w:rFonts w:cs="Times New Roman"/>
          <w:sz w:val="18"/>
          <w:szCs w:val="18"/>
        </w:rPr>
      </w:pPr>
      <w:r w:rsidRPr="002B59B9">
        <w:rPr>
          <w:rFonts w:cs="Times New Roman" w:hint="eastAsia"/>
          <w:sz w:val="18"/>
          <w:szCs w:val="18"/>
        </w:rPr>
        <w:t>通过多次交易分步实现的非同</w:t>
      </w:r>
      <w:proofErr w:type="gramStart"/>
      <w:r w:rsidRPr="002B59B9">
        <w:rPr>
          <w:rFonts w:cs="Times New Roman" w:hint="eastAsia"/>
          <w:sz w:val="18"/>
          <w:szCs w:val="18"/>
        </w:rPr>
        <w:t>一控制</w:t>
      </w:r>
      <w:proofErr w:type="gramEnd"/>
      <w:r w:rsidRPr="002B59B9">
        <w:rPr>
          <w:rFonts w:cs="Times New Roman" w:hint="eastAsia"/>
          <w:sz w:val="18"/>
          <w:szCs w:val="18"/>
        </w:rPr>
        <w:t>下企业合并，属于</w:t>
      </w:r>
      <w:r w:rsidRPr="002B59B9">
        <w:rPr>
          <w:rFonts w:cs="Times New Roman"/>
          <w:sz w:val="18"/>
          <w:szCs w:val="18"/>
        </w:rPr>
        <w:t>“</w:t>
      </w:r>
      <w:r w:rsidRPr="002B59B9">
        <w:rPr>
          <w:rFonts w:cs="Times New Roman" w:hint="eastAsia"/>
          <w:sz w:val="18"/>
          <w:szCs w:val="18"/>
        </w:rPr>
        <w:t>一揽子交易</w:t>
      </w:r>
      <w:r w:rsidRPr="002B59B9">
        <w:rPr>
          <w:rFonts w:cs="Times New Roman"/>
          <w:sz w:val="18"/>
          <w:szCs w:val="18"/>
        </w:rPr>
        <w:t>”</w:t>
      </w:r>
      <w:r w:rsidRPr="002B59B9">
        <w:rPr>
          <w:rFonts w:cs="Times New Roman" w:hint="eastAsia"/>
          <w:sz w:val="18"/>
          <w:szCs w:val="18"/>
        </w:rPr>
        <w:t>的，参考本部分前面各段描述及本附注四、</w:t>
      </w:r>
      <w:r w:rsidRPr="002B59B9">
        <w:rPr>
          <w:rFonts w:cs="Times New Roman"/>
          <w:sz w:val="18"/>
          <w:szCs w:val="18"/>
        </w:rPr>
        <w:t>“</w:t>
      </w:r>
      <w:r w:rsidRPr="002B59B9">
        <w:rPr>
          <w:rFonts w:cs="Times New Roman" w:hint="eastAsia"/>
          <w:sz w:val="18"/>
          <w:szCs w:val="18"/>
        </w:rPr>
        <w:t>长期股权投资</w:t>
      </w:r>
      <w:r w:rsidRPr="002B59B9">
        <w:rPr>
          <w:rFonts w:cs="Times New Roman"/>
          <w:sz w:val="18"/>
          <w:szCs w:val="18"/>
        </w:rPr>
        <w:t>”</w:t>
      </w:r>
      <w:r w:rsidRPr="002B59B9">
        <w:rPr>
          <w:rFonts w:cs="Times New Roman" w:hint="eastAsia"/>
          <w:sz w:val="18"/>
          <w:szCs w:val="18"/>
        </w:rPr>
        <w:t>进行会计处理；不属于</w:t>
      </w:r>
      <w:r w:rsidRPr="002B59B9">
        <w:rPr>
          <w:rFonts w:cs="Times New Roman"/>
          <w:sz w:val="18"/>
          <w:szCs w:val="18"/>
        </w:rPr>
        <w:t>“</w:t>
      </w:r>
      <w:r w:rsidRPr="002B59B9">
        <w:rPr>
          <w:rFonts w:cs="Times New Roman" w:hint="eastAsia"/>
          <w:sz w:val="18"/>
          <w:szCs w:val="18"/>
        </w:rPr>
        <w:t>一揽子交易</w:t>
      </w:r>
      <w:r w:rsidRPr="002B59B9">
        <w:rPr>
          <w:rFonts w:cs="Times New Roman"/>
          <w:sz w:val="18"/>
          <w:szCs w:val="18"/>
        </w:rPr>
        <w:t>”</w:t>
      </w:r>
      <w:r w:rsidRPr="002B59B9">
        <w:rPr>
          <w:rFonts w:cs="Times New Roman" w:hint="eastAsia"/>
          <w:sz w:val="18"/>
          <w:szCs w:val="18"/>
        </w:rPr>
        <w:t>的，区分个别财务报表和合并财务报表进行相关会计处理：</w:t>
      </w:r>
    </w:p>
    <w:p w:rsidR="008D4B2E" w:rsidRPr="002B59B9" w:rsidRDefault="008D4B2E" w:rsidP="00B818D2">
      <w:pPr>
        <w:pStyle w:val="a3"/>
        <w:spacing w:before="0" w:beforeAutospacing="0" w:after="0" w:afterAutospacing="0"/>
        <w:ind w:firstLine="400"/>
        <w:jc w:val="both"/>
        <w:divId w:val="1561407256"/>
        <w:rPr>
          <w:rFonts w:cs="Times New Roman"/>
          <w:sz w:val="18"/>
          <w:szCs w:val="18"/>
        </w:rPr>
      </w:pPr>
      <w:r w:rsidRPr="002B59B9">
        <w:rPr>
          <w:rFonts w:cs="Times New Roman" w:hint="eastAsia"/>
          <w:sz w:val="18"/>
          <w:szCs w:val="18"/>
        </w:rPr>
        <w:t>在个别财务报表中，以购买日之前所持被购买方的股权投资的账面价值与购买日新增投资成本之和，作为该项投资的初始投资成本；购买日之前持有的被购买方的股权涉及其他综合收益的，在处置该项投资时将与其相关的其他综合收益采用与被购买方直接处置相关资产或负债相同的基础进行会计处理（即，除了按照权益法核算的在被购买方重新计量设定受益计划净负债或净资产导致的变动中的相应份额以外，其余转入当期投资收益）。</w:t>
      </w:r>
    </w:p>
    <w:p w:rsidR="008D4B2E" w:rsidRPr="002B59B9" w:rsidRDefault="008D4B2E" w:rsidP="00B818D2">
      <w:pPr>
        <w:pStyle w:val="a3"/>
        <w:spacing w:before="0" w:beforeAutospacing="0" w:after="0" w:afterAutospacing="0"/>
        <w:ind w:firstLine="400"/>
        <w:jc w:val="both"/>
        <w:divId w:val="1561407256"/>
        <w:rPr>
          <w:rFonts w:cs="Times New Roman"/>
          <w:sz w:val="18"/>
          <w:szCs w:val="18"/>
        </w:rPr>
      </w:pPr>
      <w:r w:rsidRPr="002B59B9">
        <w:rPr>
          <w:rFonts w:cs="Times New Roman" w:hint="eastAsia"/>
          <w:sz w:val="18"/>
          <w:szCs w:val="18"/>
        </w:rPr>
        <w:t>在合并财务报表中，对于购买日之前持有的被购买方的股权，按照该股权在购买日的公允价值进行重新计量，公允价值与其账面价值的差额计入当期投资收益；购买日之前持有的被购买方的股权涉及其他综合收益的，与其相关的其他综合收益应当采用与被购买方直接处置相关资产或负债相同的基础进行会计处理（即，除了按照权益法核算的在被购买方重新计量设定受益计划净负债或净资产导致的变动中的相应份额以外，其余转为购买日所属当期投资收益）。</w:t>
      </w:r>
    </w:p>
    <w:p w:rsidR="00BA0365" w:rsidRDefault="008D4B2E" w:rsidP="00B818D2">
      <w:pPr>
        <w:pStyle w:val="3"/>
        <w:spacing w:line="240" w:lineRule="auto"/>
        <w:jc w:val="left"/>
        <w:rPr>
          <w:rFonts w:ascii="宋体" w:hAnsi="宋体" w:cs="宋体"/>
          <w:b/>
          <w:bCs/>
        </w:rPr>
      </w:pPr>
      <w:bookmarkStart w:id="172" w:name="_Toc989060"/>
      <w:r>
        <w:rPr>
          <w:rFonts w:ascii="宋体" w:hAnsi="宋体" w:cs="宋体"/>
          <w:b/>
          <w:bCs/>
        </w:rPr>
        <w:t>7、控制的判断标准和合并财务报表的编制方法</w:t>
      </w:r>
      <w:bookmarkEnd w:id="172"/>
    </w:p>
    <w:p w:rsidR="008D4B2E" w:rsidRPr="002B59B9" w:rsidRDefault="008D4B2E" w:rsidP="00B818D2">
      <w:pPr>
        <w:pStyle w:val="a3"/>
        <w:spacing w:before="0" w:beforeAutospacing="0" w:after="0" w:afterAutospacing="0"/>
        <w:ind w:firstLine="400"/>
        <w:jc w:val="both"/>
        <w:divId w:val="1129936717"/>
        <w:rPr>
          <w:rFonts w:cs="Times New Roman"/>
          <w:sz w:val="18"/>
          <w:szCs w:val="18"/>
        </w:rPr>
      </w:pPr>
      <w:r w:rsidRPr="002B59B9">
        <w:rPr>
          <w:rFonts w:cs="Times New Roman" w:hint="eastAsia"/>
          <w:sz w:val="18"/>
          <w:szCs w:val="18"/>
        </w:rPr>
        <w:t>（</w:t>
      </w:r>
      <w:r w:rsidRPr="002B59B9">
        <w:rPr>
          <w:rFonts w:cs="Times New Roman"/>
          <w:sz w:val="18"/>
          <w:szCs w:val="18"/>
        </w:rPr>
        <w:t>1</w:t>
      </w:r>
      <w:r w:rsidRPr="002B59B9">
        <w:rPr>
          <w:rFonts w:cs="Times New Roman" w:hint="eastAsia"/>
          <w:sz w:val="18"/>
          <w:szCs w:val="18"/>
        </w:rPr>
        <w:t>）控制的判断标准</w:t>
      </w:r>
    </w:p>
    <w:p w:rsidR="008D4B2E" w:rsidRPr="002B59B9" w:rsidRDefault="008D4B2E" w:rsidP="00B818D2">
      <w:pPr>
        <w:pStyle w:val="a3"/>
        <w:spacing w:before="0" w:beforeAutospacing="0" w:after="0" w:afterAutospacing="0"/>
        <w:ind w:firstLine="400"/>
        <w:jc w:val="both"/>
        <w:divId w:val="1129936717"/>
        <w:rPr>
          <w:rFonts w:cs="Times New Roman"/>
          <w:sz w:val="18"/>
          <w:szCs w:val="18"/>
        </w:rPr>
      </w:pPr>
      <w:r w:rsidRPr="002B59B9">
        <w:rPr>
          <w:rFonts w:cs="Times New Roman" w:hint="eastAsia"/>
          <w:sz w:val="18"/>
          <w:szCs w:val="18"/>
        </w:rPr>
        <w:t>合并财务报表的合并范围以控制为基础予以确定。控制是指本公司拥有对被投资方的权力，通过参与被投资方的相关活动而享有可变回报，并且有能力运用对被投资方的权力影响该回报金额。通常包括母公司拥有其半数以上的表决权的被投资单位和公司虽拥有其半数以下的表决权但通过与被投资单位其他投资者之间的协议，拥有被投资单位半数以上表决权；根据公司章程或协议，有权决定被投资单位的财务和经营决策；有权任免被投资单位的董事会的多数成员；在被投资单位董事会占多数表决权。</w:t>
      </w:r>
    </w:p>
    <w:p w:rsidR="008D4B2E" w:rsidRPr="002B59B9" w:rsidRDefault="008D4B2E" w:rsidP="00B818D2">
      <w:pPr>
        <w:pStyle w:val="a3"/>
        <w:spacing w:before="0" w:beforeAutospacing="0" w:after="0" w:afterAutospacing="0"/>
        <w:ind w:firstLine="400"/>
        <w:jc w:val="both"/>
        <w:divId w:val="1129936717"/>
        <w:rPr>
          <w:rFonts w:cs="Times New Roman"/>
          <w:sz w:val="18"/>
          <w:szCs w:val="18"/>
        </w:rPr>
      </w:pPr>
      <w:r w:rsidRPr="002B59B9">
        <w:rPr>
          <w:rFonts w:cs="Times New Roman" w:hint="eastAsia"/>
          <w:sz w:val="18"/>
          <w:szCs w:val="18"/>
        </w:rPr>
        <w:t>（</w:t>
      </w:r>
      <w:r w:rsidRPr="002B59B9">
        <w:rPr>
          <w:rFonts w:cs="Times New Roman"/>
          <w:sz w:val="18"/>
          <w:szCs w:val="18"/>
        </w:rPr>
        <w:t>2</w:t>
      </w:r>
      <w:r w:rsidRPr="002B59B9">
        <w:rPr>
          <w:rFonts w:cs="Times New Roman" w:hint="eastAsia"/>
          <w:sz w:val="18"/>
          <w:szCs w:val="18"/>
        </w:rPr>
        <w:t>）合并财务报表编制的方法</w:t>
      </w:r>
    </w:p>
    <w:p w:rsidR="008D4B2E" w:rsidRPr="002B59B9" w:rsidRDefault="008D4B2E" w:rsidP="00B818D2">
      <w:pPr>
        <w:pStyle w:val="a3"/>
        <w:spacing w:before="0" w:beforeAutospacing="0" w:after="0" w:afterAutospacing="0"/>
        <w:ind w:firstLine="400"/>
        <w:jc w:val="both"/>
        <w:divId w:val="1129936717"/>
        <w:rPr>
          <w:rFonts w:cs="Times New Roman"/>
          <w:sz w:val="18"/>
          <w:szCs w:val="18"/>
        </w:rPr>
      </w:pPr>
      <w:r w:rsidRPr="002B59B9">
        <w:rPr>
          <w:rFonts w:cs="Times New Roman" w:hint="eastAsia"/>
          <w:sz w:val="18"/>
          <w:szCs w:val="18"/>
        </w:rPr>
        <w:lastRenderedPageBreak/>
        <w:t>从取得子公司的净资产和生产经营决策的实际控制权之日起，本公司开始将其纳入合并范围；从丧失实际控制权之日起停止纳入合并范围。对于处置的子公司，处置日前的经营成果和现金流量已经适当地包括在合并利润表和合并现金流量表中；当期处置的子公司，不调整合并资产负债表的期初数。非同</w:t>
      </w:r>
      <w:proofErr w:type="gramStart"/>
      <w:r w:rsidRPr="002B59B9">
        <w:rPr>
          <w:rFonts w:cs="Times New Roman" w:hint="eastAsia"/>
          <w:sz w:val="18"/>
          <w:szCs w:val="18"/>
        </w:rPr>
        <w:t>一控制</w:t>
      </w:r>
      <w:proofErr w:type="gramEnd"/>
      <w:r w:rsidRPr="002B59B9">
        <w:rPr>
          <w:rFonts w:cs="Times New Roman" w:hint="eastAsia"/>
          <w:sz w:val="18"/>
          <w:szCs w:val="18"/>
        </w:rPr>
        <w:t>下企业合并增加的子公司，其购买日后的经营成果及现金流量已经适当地包括在合并利润表和合并现金流量表中，且不调整合并财务报表的期初数和对比数。同</w:t>
      </w:r>
      <w:proofErr w:type="gramStart"/>
      <w:r w:rsidRPr="002B59B9">
        <w:rPr>
          <w:rFonts w:cs="Times New Roman" w:hint="eastAsia"/>
          <w:sz w:val="18"/>
          <w:szCs w:val="18"/>
        </w:rPr>
        <w:t>一控制</w:t>
      </w:r>
      <w:proofErr w:type="gramEnd"/>
      <w:r w:rsidRPr="002B59B9">
        <w:rPr>
          <w:rFonts w:cs="Times New Roman" w:hint="eastAsia"/>
          <w:sz w:val="18"/>
          <w:szCs w:val="18"/>
        </w:rPr>
        <w:t>下企业合并增加的子公司及吸收合并下的被合并方，其自合并当期期初至</w:t>
      </w:r>
      <w:proofErr w:type="gramStart"/>
      <w:r w:rsidRPr="002B59B9">
        <w:rPr>
          <w:rFonts w:cs="Times New Roman" w:hint="eastAsia"/>
          <w:sz w:val="18"/>
          <w:szCs w:val="18"/>
        </w:rPr>
        <w:t>合并日</w:t>
      </w:r>
      <w:proofErr w:type="gramEnd"/>
      <w:r w:rsidRPr="002B59B9">
        <w:rPr>
          <w:rFonts w:cs="Times New Roman" w:hint="eastAsia"/>
          <w:sz w:val="18"/>
          <w:szCs w:val="18"/>
        </w:rPr>
        <w:t>的经营成果和现金流量已经适当地包括在合并利润表和合并现金流量表中，并且同时调整合并财务报表的对比数。</w:t>
      </w:r>
    </w:p>
    <w:p w:rsidR="008D4B2E" w:rsidRPr="002B59B9" w:rsidRDefault="008D4B2E" w:rsidP="00B818D2">
      <w:pPr>
        <w:pStyle w:val="a3"/>
        <w:spacing w:before="0" w:beforeAutospacing="0" w:after="0" w:afterAutospacing="0"/>
        <w:ind w:firstLine="400"/>
        <w:jc w:val="both"/>
        <w:divId w:val="1129936717"/>
        <w:rPr>
          <w:rFonts w:cs="Times New Roman"/>
          <w:sz w:val="18"/>
          <w:szCs w:val="18"/>
        </w:rPr>
      </w:pPr>
      <w:r w:rsidRPr="002B59B9">
        <w:rPr>
          <w:rFonts w:cs="Times New Roman" w:hint="eastAsia"/>
          <w:sz w:val="18"/>
          <w:szCs w:val="18"/>
        </w:rPr>
        <w:t>在编制合并财务报表时，子公司与本公司采用的会计政策或会计期间不一致的，按照本公司的会计政策和会计期间对子公司财务报表进行必要的调整。对于非同</w:t>
      </w:r>
      <w:proofErr w:type="gramStart"/>
      <w:r w:rsidRPr="002B59B9">
        <w:rPr>
          <w:rFonts w:cs="Times New Roman" w:hint="eastAsia"/>
          <w:sz w:val="18"/>
          <w:szCs w:val="18"/>
        </w:rPr>
        <w:t>一控制</w:t>
      </w:r>
      <w:proofErr w:type="gramEnd"/>
      <w:r w:rsidRPr="002B59B9">
        <w:rPr>
          <w:rFonts w:cs="Times New Roman" w:hint="eastAsia"/>
          <w:sz w:val="18"/>
          <w:szCs w:val="18"/>
        </w:rPr>
        <w:t>下企业合并取得的子公司，以购买日可辨认净资产公允价值为基础对其财务报表进行调整。</w:t>
      </w:r>
    </w:p>
    <w:p w:rsidR="008D4B2E" w:rsidRPr="002B59B9" w:rsidRDefault="008D4B2E" w:rsidP="00B818D2">
      <w:pPr>
        <w:pStyle w:val="a3"/>
        <w:spacing w:before="0" w:beforeAutospacing="0" w:after="0" w:afterAutospacing="0"/>
        <w:ind w:firstLine="400"/>
        <w:jc w:val="both"/>
        <w:divId w:val="1129936717"/>
        <w:rPr>
          <w:rFonts w:cs="Times New Roman"/>
          <w:sz w:val="18"/>
          <w:szCs w:val="18"/>
        </w:rPr>
      </w:pPr>
      <w:r w:rsidRPr="002B59B9">
        <w:rPr>
          <w:rFonts w:cs="Times New Roman" w:hint="eastAsia"/>
          <w:sz w:val="18"/>
          <w:szCs w:val="18"/>
        </w:rPr>
        <w:t>公司内所有重大往来余额、交易及未实现利润在合并财务报表编制时予以</w:t>
      </w:r>
      <w:proofErr w:type="gramStart"/>
      <w:r w:rsidRPr="002B59B9">
        <w:rPr>
          <w:rFonts w:cs="Times New Roman" w:hint="eastAsia"/>
          <w:sz w:val="18"/>
          <w:szCs w:val="18"/>
        </w:rPr>
        <w:t>抵销</w:t>
      </w:r>
      <w:proofErr w:type="gramEnd"/>
      <w:r w:rsidRPr="002B59B9">
        <w:rPr>
          <w:rFonts w:cs="Times New Roman" w:hint="eastAsia"/>
          <w:sz w:val="18"/>
          <w:szCs w:val="18"/>
        </w:rPr>
        <w:t>。</w:t>
      </w:r>
    </w:p>
    <w:p w:rsidR="008D4B2E" w:rsidRPr="002B59B9" w:rsidRDefault="008D4B2E" w:rsidP="00B818D2">
      <w:pPr>
        <w:pStyle w:val="a3"/>
        <w:spacing w:before="0" w:beforeAutospacing="0" w:after="0" w:afterAutospacing="0"/>
        <w:ind w:firstLine="400"/>
        <w:jc w:val="both"/>
        <w:divId w:val="1129936717"/>
        <w:rPr>
          <w:rFonts w:cs="Times New Roman"/>
          <w:sz w:val="18"/>
          <w:szCs w:val="18"/>
        </w:rPr>
      </w:pPr>
      <w:r w:rsidRPr="002B59B9">
        <w:rPr>
          <w:rFonts w:cs="Times New Roman" w:hint="eastAsia"/>
          <w:sz w:val="18"/>
          <w:szCs w:val="18"/>
        </w:rPr>
        <w:t>子公司的股东权益及当期净损益中不属于本公司所拥有的部分分别作为少数股东权益及少数股东损益在合并财务报表中股东权益及净利润项下单独列示。子公司当期净损益中属于少数股东权益的份额，在合并利润表中净利润项目下以</w:t>
      </w:r>
      <w:r w:rsidRPr="002B59B9">
        <w:rPr>
          <w:rFonts w:cs="Times New Roman"/>
          <w:sz w:val="18"/>
          <w:szCs w:val="18"/>
        </w:rPr>
        <w:t>“</w:t>
      </w:r>
      <w:r w:rsidRPr="002B59B9">
        <w:rPr>
          <w:rFonts w:cs="Times New Roman" w:hint="eastAsia"/>
          <w:sz w:val="18"/>
          <w:szCs w:val="18"/>
        </w:rPr>
        <w:t>少数股东损益</w:t>
      </w:r>
      <w:r w:rsidRPr="002B59B9">
        <w:rPr>
          <w:rFonts w:cs="Times New Roman"/>
          <w:sz w:val="18"/>
          <w:szCs w:val="18"/>
        </w:rPr>
        <w:t>”</w:t>
      </w:r>
      <w:r w:rsidRPr="002B59B9">
        <w:rPr>
          <w:rFonts w:cs="Times New Roman" w:hint="eastAsia"/>
          <w:sz w:val="18"/>
          <w:szCs w:val="18"/>
        </w:rPr>
        <w:t>项目列示。少数股东分担的子公司的亏损超过了少数股东在该子公司期初股东权益中所享有的份额，仍</w:t>
      </w:r>
      <w:proofErr w:type="gramStart"/>
      <w:r w:rsidRPr="002B59B9">
        <w:rPr>
          <w:rFonts w:cs="Times New Roman" w:hint="eastAsia"/>
          <w:sz w:val="18"/>
          <w:szCs w:val="18"/>
        </w:rPr>
        <w:t>冲减少</w:t>
      </w:r>
      <w:proofErr w:type="gramEnd"/>
      <w:r w:rsidRPr="002B59B9">
        <w:rPr>
          <w:rFonts w:cs="Times New Roman" w:hint="eastAsia"/>
          <w:sz w:val="18"/>
          <w:szCs w:val="18"/>
        </w:rPr>
        <w:t>数股东权益。</w:t>
      </w:r>
    </w:p>
    <w:p w:rsidR="008D4B2E" w:rsidRPr="002B59B9" w:rsidRDefault="008D4B2E" w:rsidP="00B818D2">
      <w:pPr>
        <w:pStyle w:val="a3"/>
        <w:spacing w:before="0" w:beforeAutospacing="0" w:after="0" w:afterAutospacing="0"/>
        <w:ind w:firstLine="400"/>
        <w:divId w:val="1129936717"/>
        <w:rPr>
          <w:rFonts w:cs="Times New Roman"/>
          <w:sz w:val="18"/>
          <w:szCs w:val="18"/>
        </w:rPr>
      </w:pPr>
      <w:r w:rsidRPr="002B59B9">
        <w:rPr>
          <w:rFonts w:cs="Times New Roman" w:hint="eastAsia"/>
          <w:sz w:val="18"/>
          <w:szCs w:val="18"/>
        </w:rPr>
        <w:t>当因处置部分股权投资或其他原因丧失了对原有子公司的控制权时，对于剩余股权，按照其在丧失控制权日的公允价值进行重新计量。处置股权取得的对价与剩余股权公允价值之和，减去按原持股比例计算应享有原有子公司自购买日开始持续计算的净资产的份额之间的差额，计入丧失控制权当期的投资收益。与原有子公司股权投资相关的其他综合收益，在丧失控制权时采用与被购买方直接处置相关资产或负债相同的基础进行会计处理（即，除了在该原有子公司重新计量设定受益计划净负债或净资产导致的变动以外，其余一并转为当期投资收益）。其后，对该部分剩余股权按照《企业会计准则第</w:t>
      </w:r>
      <w:r w:rsidRPr="002B59B9">
        <w:rPr>
          <w:rFonts w:cs="Times New Roman"/>
          <w:sz w:val="18"/>
          <w:szCs w:val="18"/>
        </w:rPr>
        <w:t>2</w:t>
      </w:r>
      <w:r w:rsidRPr="002B59B9">
        <w:rPr>
          <w:rFonts w:cs="Times New Roman" w:hint="eastAsia"/>
          <w:sz w:val="18"/>
          <w:szCs w:val="18"/>
        </w:rPr>
        <w:t>号</w:t>
      </w:r>
      <w:r w:rsidRPr="002B59B9">
        <w:rPr>
          <w:rFonts w:cs="Times New Roman"/>
          <w:sz w:val="18"/>
          <w:szCs w:val="18"/>
        </w:rPr>
        <w:t>——</w:t>
      </w:r>
      <w:r w:rsidRPr="002B59B9">
        <w:rPr>
          <w:rFonts w:cs="Times New Roman" w:hint="eastAsia"/>
          <w:sz w:val="18"/>
          <w:szCs w:val="18"/>
        </w:rPr>
        <w:t>长期股权投资》或《企业会计准则第</w:t>
      </w:r>
      <w:r w:rsidRPr="002B59B9">
        <w:rPr>
          <w:rFonts w:cs="Times New Roman"/>
          <w:sz w:val="18"/>
          <w:szCs w:val="18"/>
        </w:rPr>
        <w:t>22</w:t>
      </w:r>
      <w:r w:rsidRPr="002B59B9">
        <w:rPr>
          <w:rFonts w:cs="Times New Roman" w:hint="eastAsia"/>
          <w:sz w:val="18"/>
          <w:szCs w:val="18"/>
        </w:rPr>
        <w:t>号</w:t>
      </w:r>
      <w:r w:rsidRPr="002B59B9">
        <w:rPr>
          <w:rFonts w:cs="Times New Roman"/>
          <w:sz w:val="18"/>
          <w:szCs w:val="18"/>
        </w:rPr>
        <w:t>——</w:t>
      </w:r>
      <w:r w:rsidRPr="002B59B9">
        <w:rPr>
          <w:rFonts w:cs="Times New Roman" w:hint="eastAsia"/>
          <w:sz w:val="18"/>
          <w:szCs w:val="18"/>
        </w:rPr>
        <w:t>金融工具确认和计量》等相关规定进行后续计量，详见本附注四、</w:t>
      </w:r>
      <w:r w:rsidRPr="002B59B9">
        <w:rPr>
          <w:rFonts w:cs="Times New Roman"/>
          <w:sz w:val="18"/>
          <w:szCs w:val="18"/>
        </w:rPr>
        <w:t>“</w:t>
      </w:r>
      <w:r w:rsidRPr="002B59B9">
        <w:rPr>
          <w:rFonts w:cs="Times New Roman" w:hint="eastAsia"/>
          <w:sz w:val="18"/>
          <w:szCs w:val="18"/>
        </w:rPr>
        <w:t>长期股权投资</w:t>
      </w:r>
      <w:r w:rsidRPr="002B59B9">
        <w:rPr>
          <w:rFonts w:cs="Times New Roman"/>
          <w:sz w:val="18"/>
          <w:szCs w:val="18"/>
        </w:rPr>
        <w:t>”</w:t>
      </w:r>
      <w:r w:rsidRPr="002B59B9">
        <w:rPr>
          <w:rFonts w:cs="Times New Roman" w:hint="eastAsia"/>
          <w:sz w:val="18"/>
          <w:szCs w:val="18"/>
        </w:rPr>
        <w:t>或本附注四、</w:t>
      </w:r>
      <w:r w:rsidRPr="002B59B9">
        <w:rPr>
          <w:rFonts w:cs="Times New Roman"/>
          <w:sz w:val="18"/>
          <w:szCs w:val="18"/>
        </w:rPr>
        <w:t>“</w:t>
      </w:r>
      <w:r w:rsidRPr="002B59B9">
        <w:rPr>
          <w:rFonts w:cs="Times New Roman" w:hint="eastAsia"/>
          <w:sz w:val="18"/>
          <w:szCs w:val="18"/>
        </w:rPr>
        <w:t>金融工具</w:t>
      </w:r>
      <w:r w:rsidRPr="002B59B9">
        <w:rPr>
          <w:rFonts w:cs="Times New Roman"/>
          <w:sz w:val="18"/>
          <w:szCs w:val="18"/>
        </w:rPr>
        <w:t>”</w:t>
      </w:r>
      <w:r w:rsidRPr="002B59B9">
        <w:rPr>
          <w:rFonts w:cs="Times New Roman" w:hint="eastAsia"/>
          <w:sz w:val="18"/>
          <w:szCs w:val="18"/>
        </w:rPr>
        <w:t>。</w:t>
      </w:r>
    </w:p>
    <w:p w:rsidR="008D4B2E" w:rsidRDefault="008D4B2E" w:rsidP="00B818D2">
      <w:pPr>
        <w:pStyle w:val="a3"/>
        <w:spacing w:before="0" w:beforeAutospacing="0" w:after="0" w:afterAutospacing="0"/>
        <w:ind w:firstLine="400"/>
        <w:divId w:val="1129936717"/>
        <w:rPr>
          <w:rFonts w:ascii="Arial" w:hAnsi="Arial" w:cs="Arial"/>
          <w:sz w:val="18"/>
          <w:szCs w:val="18"/>
        </w:rPr>
      </w:pPr>
      <w:r w:rsidRPr="002B59B9">
        <w:rPr>
          <w:rFonts w:cs="Times New Roman" w:hint="eastAsia"/>
          <w:sz w:val="18"/>
          <w:szCs w:val="18"/>
        </w:rPr>
        <w:t>本公司通过多次交易分步处置对子公司股权投资直至丧失控制权的，需区分处置对子公司股权投资直至丧失控制权的各项交易是否属于一揽子交易。处置对子公司股权投资的各项交易的条款、条件以及经济影响符合以下一种或多种情况，通常表明应将多次交易事项作为一揽子交易进行会计处理：①这些交易是同时或者在考虑了彼此影响的情况下订立的；②这些交易整体才能达成一项完整的商业结果；③一项交易的发生取决于其他至少一项交易的发生；④一项交易单独看是不经济的，但是和其他交易一并考虑时是经济的。不属于一揽子交易的，对其中的每一项交易视情况分别按照</w:t>
      </w:r>
      <w:r w:rsidRPr="002B59B9">
        <w:rPr>
          <w:rFonts w:cs="Times New Roman"/>
          <w:sz w:val="18"/>
          <w:szCs w:val="18"/>
        </w:rPr>
        <w:t>“</w:t>
      </w:r>
      <w:r w:rsidRPr="002B59B9">
        <w:rPr>
          <w:rFonts w:cs="Times New Roman" w:hint="eastAsia"/>
          <w:sz w:val="18"/>
          <w:szCs w:val="18"/>
        </w:rPr>
        <w:t>不丧失控制权的情况下部分处置对子公司的长期股权投资</w:t>
      </w:r>
      <w:r w:rsidRPr="002B59B9">
        <w:rPr>
          <w:rFonts w:cs="Times New Roman"/>
          <w:sz w:val="18"/>
          <w:szCs w:val="18"/>
        </w:rPr>
        <w:t>”</w:t>
      </w:r>
      <w:r w:rsidRPr="002B59B9">
        <w:rPr>
          <w:rFonts w:cs="Times New Roman" w:hint="eastAsia"/>
          <w:sz w:val="18"/>
          <w:szCs w:val="18"/>
        </w:rPr>
        <w:t>（详见本附注四、长期股权投资（</w:t>
      </w:r>
      <w:r w:rsidRPr="002B59B9">
        <w:rPr>
          <w:rFonts w:cs="Times New Roman"/>
          <w:sz w:val="18"/>
          <w:szCs w:val="18"/>
        </w:rPr>
        <w:t>2</w:t>
      </w:r>
      <w:r w:rsidRPr="002B59B9">
        <w:rPr>
          <w:rFonts w:cs="Times New Roman" w:hint="eastAsia"/>
          <w:sz w:val="18"/>
          <w:szCs w:val="18"/>
        </w:rPr>
        <w:t>）④）和</w:t>
      </w:r>
      <w:r w:rsidRPr="002B59B9">
        <w:rPr>
          <w:rFonts w:cs="Times New Roman"/>
          <w:sz w:val="18"/>
          <w:szCs w:val="18"/>
        </w:rPr>
        <w:t>“</w:t>
      </w:r>
      <w:r w:rsidRPr="002B59B9">
        <w:rPr>
          <w:rFonts w:cs="Times New Roman" w:hint="eastAsia"/>
          <w:sz w:val="18"/>
          <w:szCs w:val="18"/>
        </w:rPr>
        <w:t>因处置部分股权投资或其他原因丧失了对原有子公司的控制权</w:t>
      </w:r>
      <w:r w:rsidRPr="002B59B9">
        <w:rPr>
          <w:rFonts w:cs="Times New Roman"/>
          <w:sz w:val="18"/>
          <w:szCs w:val="18"/>
        </w:rPr>
        <w:t>”</w:t>
      </w:r>
      <w:r w:rsidRPr="002B59B9">
        <w:rPr>
          <w:rFonts w:cs="Times New Roman" w:hint="eastAsia"/>
          <w:sz w:val="18"/>
          <w:szCs w:val="18"/>
        </w:rPr>
        <w:t>（详见前段）适用的原则进行会计处理。处置对子公司股权投资直至丧失控制权的各项交易属于一揽子交易的，将各项交易作为一项处置子公司并丧失控制权的交易进行会计处理；但是，在丧失控制权之前每一次处置价款与处置投资对应的享有该子公司净资产份额的差额，在合并财务报表中确认为其他综合收益，在丧失控制权时一并转入丧失控制权当期的损益。</w:t>
      </w:r>
    </w:p>
    <w:p w:rsidR="00BA0365" w:rsidRDefault="008D4B2E" w:rsidP="00B818D2">
      <w:pPr>
        <w:pStyle w:val="3"/>
        <w:spacing w:line="240" w:lineRule="auto"/>
        <w:jc w:val="left"/>
        <w:rPr>
          <w:rFonts w:ascii="宋体" w:hAnsi="宋体" w:cs="宋体"/>
          <w:b/>
          <w:bCs/>
        </w:rPr>
      </w:pPr>
      <w:bookmarkStart w:id="173" w:name="_Toc989061"/>
      <w:r>
        <w:rPr>
          <w:rFonts w:ascii="宋体" w:hAnsi="宋体" w:cs="宋体"/>
          <w:b/>
          <w:bCs/>
        </w:rPr>
        <w:t>8、合营安排分类及共同经营会计处理方法</w:t>
      </w:r>
      <w:bookmarkEnd w:id="173"/>
    </w:p>
    <w:p w:rsidR="008D4B2E" w:rsidRPr="002B59B9" w:rsidRDefault="008D4B2E" w:rsidP="00B818D2">
      <w:pPr>
        <w:pStyle w:val="a3"/>
        <w:spacing w:before="0" w:beforeAutospacing="0" w:after="0" w:afterAutospacing="0"/>
        <w:ind w:firstLine="400"/>
        <w:divId w:val="1755012478"/>
        <w:rPr>
          <w:rFonts w:cs="Times New Roman"/>
          <w:sz w:val="18"/>
          <w:szCs w:val="18"/>
        </w:rPr>
      </w:pPr>
      <w:r w:rsidRPr="002B59B9">
        <w:rPr>
          <w:rFonts w:cs="Times New Roman" w:hint="eastAsia"/>
          <w:sz w:val="18"/>
          <w:szCs w:val="18"/>
        </w:rPr>
        <w:t>合营安排，是指一项由两个或两个以上的参与方共同控制的安排。本公司根据在合营安排中享有的权利和承担的义务，将合营安排分为共同经营和合营企业。共同经营，是指本公司享有该安排相关资产且承担该安排相关负债的合营安排。合营企业，是指本公司仅对该安排的净资产享有权利的合营安排。</w:t>
      </w:r>
    </w:p>
    <w:p w:rsidR="008D4B2E" w:rsidRPr="002B59B9" w:rsidRDefault="008D4B2E" w:rsidP="00B818D2">
      <w:pPr>
        <w:pStyle w:val="a3"/>
        <w:spacing w:before="0" w:beforeAutospacing="0" w:after="0" w:afterAutospacing="0"/>
        <w:ind w:firstLine="400"/>
        <w:divId w:val="1755012478"/>
        <w:rPr>
          <w:rFonts w:cs="Times New Roman"/>
          <w:sz w:val="18"/>
          <w:szCs w:val="18"/>
        </w:rPr>
      </w:pPr>
      <w:r w:rsidRPr="002B59B9">
        <w:rPr>
          <w:rFonts w:cs="Times New Roman" w:hint="eastAsia"/>
          <w:sz w:val="18"/>
          <w:szCs w:val="18"/>
        </w:rPr>
        <w:t>本公司对合营企业的投资采用权益法核算，按照本附注四、长期股权投资（</w:t>
      </w:r>
      <w:r w:rsidRPr="002B59B9">
        <w:rPr>
          <w:rFonts w:cs="Times New Roman"/>
          <w:sz w:val="18"/>
          <w:szCs w:val="18"/>
        </w:rPr>
        <w:t>2</w:t>
      </w:r>
      <w:r w:rsidRPr="002B59B9">
        <w:rPr>
          <w:rFonts w:cs="Times New Roman" w:hint="eastAsia"/>
          <w:sz w:val="18"/>
          <w:szCs w:val="18"/>
        </w:rPr>
        <w:t>）②</w:t>
      </w:r>
      <w:r w:rsidRPr="002B59B9">
        <w:rPr>
          <w:rFonts w:cs="Times New Roman"/>
          <w:sz w:val="18"/>
          <w:szCs w:val="18"/>
        </w:rPr>
        <w:t>“</w:t>
      </w:r>
      <w:r w:rsidRPr="002B59B9">
        <w:rPr>
          <w:rFonts w:cs="Times New Roman" w:hint="eastAsia"/>
          <w:sz w:val="18"/>
          <w:szCs w:val="18"/>
        </w:rPr>
        <w:t>权益法核算的长期股权投资</w:t>
      </w:r>
      <w:r w:rsidRPr="002B59B9">
        <w:rPr>
          <w:rFonts w:cs="Times New Roman"/>
          <w:sz w:val="18"/>
          <w:szCs w:val="18"/>
        </w:rPr>
        <w:t>”</w:t>
      </w:r>
      <w:r w:rsidRPr="002B59B9">
        <w:rPr>
          <w:rFonts w:cs="Times New Roman" w:hint="eastAsia"/>
          <w:sz w:val="18"/>
          <w:szCs w:val="18"/>
        </w:rPr>
        <w:t>中所述的会计政策处理。</w:t>
      </w:r>
    </w:p>
    <w:p w:rsidR="008D4B2E" w:rsidRPr="002B59B9" w:rsidRDefault="008D4B2E" w:rsidP="00B818D2">
      <w:pPr>
        <w:pStyle w:val="a3"/>
        <w:spacing w:before="0" w:beforeAutospacing="0" w:after="0" w:afterAutospacing="0"/>
        <w:ind w:firstLine="400"/>
        <w:divId w:val="1755012478"/>
        <w:rPr>
          <w:rFonts w:cs="Times New Roman"/>
          <w:sz w:val="18"/>
          <w:szCs w:val="18"/>
        </w:rPr>
      </w:pPr>
      <w:r w:rsidRPr="002B59B9">
        <w:rPr>
          <w:rFonts w:cs="Times New Roman" w:hint="eastAsia"/>
          <w:sz w:val="18"/>
          <w:szCs w:val="18"/>
        </w:rPr>
        <w:t>本公司作为合营方对共同经营，确认本公司单独持有的资产、单独所承担的负债，以及按本公司份额确认共同持有的资产和共同承担的负债；确认出售本公司享有的共同经营产出份额所产生的收入；按本公司份额确认共同经营因出售产出所产生的收入；确认本公司单独所发生的费用，以及按本公司份额确认共同经营发生的费用。</w:t>
      </w:r>
    </w:p>
    <w:p w:rsidR="008D4B2E" w:rsidRPr="002B59B9" w:rsidRDefault="008D4B2E" w:rsidP="00B818D2">
      <w:pPr>
        <w:pStyle w:val="a3"/>
        <w:spacing w:before="0" w:beforeAutospacing="0" w:after="0" w:afterAutospacing="0"/>
        <w:ind w:firstLine="400"/>
        <w:divId w:val="1755012478"/>
        <w:rPr>
          <w:rFonts w:cs="Times New Roman"/>
          <w:sz w:val="18"/>
          <w:szCs w:val="18"/>
        </w:rPr>
      </w:pPr>
      <w:r w:rsidRPr="002B59B9">
        <w:rPr>
          <w:rFonts w:cs="Times New Roman" w:hint="eastAsia"/>
          <w:sz w:val="18"/>
          <w:szCs w:val="18"/>
        </w:rPr>
        <w:t>当本公司作为合营方向共同经营投出或出售资产（该资产不构成业务，下同）、或者</w:t>
      </w:r>
      <w:proofErr w:type="gramStart"/>
      <w:r w:rsidRPr="002B59B9">
        <w:rPr>
          <w:rFonts w:cs="Times New Roman" w:hint="eastAsia"/>
          <w:sz w:val="18"/>
          <w:szCs w:val="18"/>
        </w:rPr>
        <w:t>自共同</w:t>
      </w:r>
      <w:proofErr w:type="gramEnd"/>
      <w:r w:rsidRPr="002B59B9">
        <w:rPr>
          <w:rFonts w:cs="Times New Roman" w:hint="eastAsia"/>
          <w:sz w:val="18"/>
          <w:szCs w:val="18"/>
        </w:rPr>
        <w:t>经营购买资产时，在该等资产出售给第三方之前，本公司仅</w:t>
      </w:r>
      <w:proofErr w:type="gramStart"/>
      <w:r w:rsidRPr="002B59B9">
        <w:rPr>
          <w:rFonts w:cs="Times New Roman" w:hint="eastAsia"/>
          <w:sz w:val="18"/>
          <w:szCs w:val="18"/>
        </w:rPr>
        <w:t>确认因</w:t>
      </w:r>
      <w:proofErr w:type="gramEnd"/>
      <w:r w:rsidRPr="002B59B9">
        <w:rPr>
          <w:rFonts w:cs="Times New Roman" w:hint="eastAsia"/>
          <w:sz w:val="18"/>
          <w:szCs w:val="18"/>
        </w:rPr>
        <w:t>该交易产生的损益中归属于共同经营其他参与方的部分。该等资产发生符合《企</w:t>
      </w:r>
      <w:r w:rsidRPr="002B59B9">
        <w:rPr>
          <w:rFonts w:cs="Times New Roman" w:hint="eastAsia"/>
          <w:sz w:val="18"/>
          <w:szCs w:val="18"/>
        </w:rPr>
        <w:lastRenderedPageBreak/>
        <w:t>业会计准则第</w:t>
      </w:r>
      <w:r w:rsidRPr="002B59B9">
        <w:rPr>
          <w:rFonts w:cs="Times New Roman"/>
          <w:sz w:val="18"/>
          <w:szCs w:val="18"/>
        </w:rPr>
        <w:t>8</w:t>
      </w:r>
      <w:r w:rsidRPr="002B59B9">
        <w:rPr>
          <w:rFonts w:cs="Times New Roman" w:hint="eastAsia"/>
          <w:sz w:val="18"/>
          <w:szCs w:val="18"/>
        </w:rPr>
        <w:t>号</w:t>
      </w:r>
      <w:r w:rsidRPr="002B59B9">
        <w:rPr>
          <w:rFonts w:cs="Times New Roman"/>
          <w:sz w:val="18"/>
          <w:szCs w:val="18"/>
        </w:rPr>
        <w:t>——</w:t>
      </w:r>
      <w:r w:rsidRPr="002B59B9">
        <w:rPr>
          <w:rFonts w:cs="Times New Roman" w:hint="eastAsia"/>
          <w:sz w:val="18"/>
          <w:szCs w:val="18"/>
        </w:rPr>
        <w:t>资产减值》等规定的资产减值损失的，对于由本公司向共同经营投出或出售资产的情况，本公司全额确认该损失；对于本公司</w:t>
      </w:r>
      <w:proofErr w:type="gramStart"/>
      <w:r w:rsidRPr="002B59B9">
        <w:rPr>
          <w:rFonts w:cs="Times New Roman" w:hint="eastAsia"/>
          <w:sz w:val="18"/>
          <w:szCs w:val="18"/>
        </w:rPr>
        <w:t>自共同</w:t>
      </w:r>
      <w:proofErr w:type="gramEnd"/>
      <w:r w:rsidRPr="002B59B9">
        <w:rPr>
          <w:rFonts w:cs="Times New Roman" w:hint="eastAsia"/>
          <w:sz w:val="18"/>
          <w:szCs w:val="18"/>
        </w:rPr>
        <w:t>经营购买资产的情况，本公司按承担的份额确认该损失。</w:t>
      </w:r>
    </w:p>
    <w:p w:rsidR="00BA0365" w:rsidRDefault="008D4B2E" w:rsidP="00B818D2">
      <w:pPr>
        <w:pStyle w:val="3"/>
        <w:spacing w:line="240" w:lineRule="auto"/>
        <w:jc w:val="left"/>
        <w:rPr>
          <w:rFonts w:ascii="宋体" w:hAnsi="宋体" w:cs="宋体"/>
          <w:b/>
          <w:bCs/>
        </w:rPr>
      </w:pPr>
      <w:bookmarkStart w:id="174" w:name="_Toc989062"/>
      <w:r>
        <w:rPr>
          <w:rFonts w:ascii="宋体" w:hAnsi="宋体" w:cs="宋体"/>
          <w:b/>
          <w:bCs/>
        </w:rPr>
        <w:t>9、现金及现金等价物的确定标准</w:t>
      </w:r>
      <w:bookmarkEnd w:id="174"/>
    </w:p>
    <w:p w:rsidR="008D4B2E" w:rsidRPr="002B59B9" w:rsidRDefault="008D4B2E" w:rsidP="00B818D2">
      <w:pPr>
        <w:pStyle w:val="a3"/>
        <w:spacing w:before="0" w:beforeAutospacing="0" w:after="0" w:afterAutospacing="0"/>
        <w:ind w:firstLineChars="200" w:firstLine="360"/>
        <w:jc w:val="both"/>
        <w:divId w:val="1310475210"/>
        <w:rPr>
          <w:rFonts w:cs="Times New Roman"/>
          <w:sz w:val="18"/>
          <w:szCs w:val="18"/>
        </w:rPr>
      </w:pPr>
      <w:r w:rsidRPr="002B59B9">
        <w:rPr>
          <w:rFonts w:cs="Times New Roman" w:hint="eastAsia"/>
          <w:sz w:val="18"/>
          <w:szCs w:val="18"/>
        </w:rPr>
        <w:t>本公司现金及现金等价物包括库存现金、可以随时用于支付的存款以及本公司持有的期限短（一般为从购买日起三个月内到期）、流动性强、易于转换为已知金额现金、价值变动风险很小的投资。</w:t>
      </w:r>
    </w:p>
    <w:p w:rsidR="00BA0365" w:rsidRDefault="008D4B2E" w:rsidP="00B818D2">
      <w:pPr>
        <w:pStyle w:val="3"/>
        <w:spacing w:line="240" w:lineRule="auto"/>
        <w:jc w:val="left"/>
        <w:rPr>
          <w:rFonts w:ascii="宋体" w:hAnsi="宋体" w:cs="宋体"/>
          <w:b/>
          <w:bCs/>
        </w:rPr>
      </w:pPr>
      <w:bookmarkStart w:id="175" w:name="_Toc989063"/>
      <w:r>
        <w:rPr>
          <w:rFonts w:ascii="宋体" w:hAnsi="宋体" w:cs="宋体"/>
          <w:b/>
          <w:bCs/>
        </w:rPr>
        <w:t>10、外币业务和外币报表折算</w:t>
      </w:r>
      <w:bookmarkEnd w:id="175"/>
    </w:p>
    <w:p w:rsidR="002B59B9" w:rsidRDefault="008D4B2E" w:rsidP="00B818D2">
      <w:pPr>
        <w:pStyle w:val="a3"/>
        <w:spacing w:before="0" w:beforeAutospacing="0" w:after="0" w:afterAutospacing="0"/>
        <w:ind w:firstLine="400"/>
        <w:jc w:val="both"/>
        <w:divId w:val="889224353"/>
        <w:rPr>
          <w:rFonts w:cs="Times New Roman"/>
          <w:sz w:val="18"/>
          <w:szCs w:val="18"/>
        </w:rPr>
      </w:pPr>
      <w:r w:rsidRPr="002B59B9">
        <w:rPr>
          <w:rFonts w:cs="Times New Roman" w:hint="eastAsia"/>
          <w:sz w:val="18"/>
          <w:szCs w:val="18"/>
        </w:rPr>
        <w:t>（</w:t>
      </w:r>
      <w:r w:rsidRPr="002B59B9">
        <w:rPr>
          <w:rFonts w:cs="Times New Roman"/>
          <w:sz w:val="18"/>
          <w:szCs w:val="18"/>
        </w:rPr>
        <w:t>1</w:t>
      </w:r>
      <w:r w:rsidRPr="002B59B9">
        <w:rPr>
          <w:rFonts w:cs="Times New Roman" w:hint="eastAsia"/>
          <w:sz w:val="18"/>
          <w:szCs w:val="18"/>
        </w:rPr>
        <w:t>）外币交易的折算方法</w:t>
      </w:r>
    </w:p>
    <w:p w:rsidR="008D4B2E" w:rsidRPr="002B59B9" w:rsidRDefault="008D4B2E" w:rsidP="00B818D2">
      <w:pPr>
        <w:pStyle w:val="a3"/>
        <w:spacing w:before="0" w:beforeAutospacing="0" w:after="0" w:afterAutospacing="0"/>
        <w:ind w:firstLine="400"/>
        <w:jc w:val="both"/>
        <w:divId w:val="889224353"/>
        <w:rPr>
          <w:rFonts w:cs="Times New Roman"/>
          <w:sz w:val="18"/>
          <w:szCs w:val="18"/>
        </w:rPr>
      </w:pPr>
      <w:r w:rsidRPr="002B59B9">
        <w:rPr>
          <w:rFonts w:cs="Times New Roman" w:hint="eastAsia"/>
          <w:sz w:val="18"/>
          <w:szCs w:val="18"/>
        </w:rPr>
        <w:t>本公司发生的外币交易在初始确认时，按交易日的即期汇率的近似汇率折算为记账本位币金额，但公司发生的外币兑换业务或涉及外币兑换的交易事项，按照实际采用的汇率折算为记账本位币金额。</w:t>
      </w:r>
    </w:p>
    <w:p w:rsidR="002B59B9" w:rsidRDefault="008D4B2E" w:rsidP="00B818D2">
      <w:pPr>
        <w:pStyle w:val="a3"/>
        <w:spacing w:before="0" w:beforeAutospacing="0" w:after="0" w:afterAutospacing="0"/>
        <w:ind w:firstLine="400"/>
        <w:jc w:val="both"/>
        <w:divId w:val="889224353"/>
        <w:rPr>
          <w:rFonts w:cs="Times New Roman"/>
          <w:sz w:val="18"/>
          <w:szCs w:val="18"/>
        </w:rPr>
      </w:pPr>
      <w:r w:rsidRPr="002B59B9">
        <w:rPr>
          <w:rFonts w:cs="Times New Roman" w:hint="eastAsia"/>
          <w:sz w:val="18"/>
          <w:szCs w:val="18"/>
        </w:rPr>
        <w:t>（</w:t>
      </w:r>
      <w:r w:rsidRPr="002B59B9">
        <w:rPr>
          <w:rFonts w:cs="Times New Roman"/>
          <w:sz w:val="18"/>
          <w:szCs w:val="18"/>
        </w:rPr>
        <w:t>2</w:t>
      </w:r>
      <w:r w:rsidRPr="002B59B9">
        <w:rPr>
          <w:rFonts w:cs="Times New Roman" w:hint="eastAsia"/>
          <w:sz w:val="18"/>
          <w:szCs w:val="18"/>
        </w:rPr>
        <w:t>）对于外币货币性项目和外币非货币性项目的折算方法</w:t>
      </w:r>
    </w:p>
    <w:p w:rsidR="002B59B9" w:rsidRDefault="008D4B2E" w:rsidP="00B818D2">
      <w:pPr>
        <w:pStyle w:val="a3"/>
        <w:spacing w:before="0" w:beforeAutospacing="0" w:after="0" w:afterAutospacing="0"/>
        <w:ind w:firstLine="400"/>
        <w:jc w:val="both"/>
        <w:divId w:val="889224353"/>
        <w:rPr>
          <w:rFonts w:cs="Times New Roman"/>
          <w:sz w:val="18"/>
          <w:szCs w:val="18"/>
        </w:rPr>
      </w:pPr>
      <w:r w:rsidRPr="002B59B9">
        <w:rPr>
          <w:rFonts w:cs="Times New Roman" w:hint="eastAsia"/>
          <w:sz w:val="18"/>
          <w:szCs w:val="18"/>
        </w:rPr>
        <w:t>资产负债表日，对于外币货币性项目采用资产负债表日即期汇率折算，由此产生的汇兑差额，除：①属于与购建符合资本化条件的资产相关的外币专门借款产生的汇兑差额按照借款费用资本化的原则处理；②用于境外经营净投资有效套期的套</w:t>
      </w:r>
      <w:proofErr w:type="gramStart"/>
      <w:r w:rsidRPr="002B59B9">
        <w:rPr>
          <w:rFonts w:cs="Times New Roman" w:hint="eastAsia"/>
          <w:sz w:val="18"/>
          <w:szCs w:val="18"/>
        </w:rPr>
        <w:t>期工具</w:t>
      </w:r>
      <w:proofErr w:type="gramEnd"/>
      <w:r w:rsidRPr="002B59B9">
        <w:rPr>
          <w:rFonts w:cs="Times New Roman" w:hint="eastAsia"/>
          <w:sz w:val="18"/>
          <w:szCs w:val="18"/>
        </w:rPr>
        <w:t>的汇兑差额（该差额计入其他综合收益，直至净投资被处置才被确认为当期损益）以及③可供出售的外币货币性项目</w:t>
      </w:r>
      <w:proofErr w:type="gramStart"/>
      <w:r w:rsidRPr="002B59B9">
        <w:rPr>
          <w:rFonts w:cs="Times New Roman" w:hint="eastAsia"/>
          <w:sz w:val="18"/>
          <w:szCs w:val="18"/>
        </w:rPr>
        <w:t>除摊余成本</w:t>
      </w:r>
      <w:proofErr w:type="gramEnd"/>
      <w:r w:rsidRPr="002B59B9">
        <w:rPr>
          <w:rFonts w:cs="Times New Roman" w:hint="eastAsia"/>
          <w:sz w:val="18"/>
          <w:szCs w:val="18"/>
        </w:rPr>
        <w:t>之外的其他账面余额变动产生的汇兑差额计入其他综合收益之外，均计入当期损益。</w:t>
      </w:r>
    </w:p>
    <w:p w:rsidR="002B59B9" w:rsidRDefault="008D4B2E" w:rsidP="00B818D2">
      <w:pPr>
        <w:pStyle w:val="a3"/>
        <w:spacing w:before="0" w:beforeAutospacing="0" w:after="0" w:afterAutospacing="0"/>
        <w:ind w:firstLine="400"/>
        <w:jc w:val="both"/>
        <w:divId w:val="889224353"/>
        <w:rPr>
          <w:rFonts w:cs="Times New Roman"/>
          <w:sz w:val="18"/>
          <w:szCs w:val="18"/>
        </w:rPr>
      </w:pPr>
      <w:r w:rsidRPr="002B59B9">
        <w:rPr>
          <w:rFonts w:cs="Times New Roman" w:hint="eastAsia"/>
          <w:sz w:val="18"/>
          <w:szCs w:val="18"/>
        </w:rPr>
        <w:t>编制合并财务报表涉及境外经营的，如有实质上构成对境外经营净投资的外币货币性项目，因汇率变动而产生的汇兑差额，计入其他综合收益；处置境外经营时，转入处置当期损益。</w:t>
      </w:r>
    </w:p>
    <w:p w:rsidR="008D4B2E" w:rsidRPr="002B59B9" w:rsidRDefault="008D4B2E" w:rsidP="00B818D2">
      <w:pPr>
        <w:pStyle w:val="a3"/>
        <w:spacing w:before="0" w:beforeAutospacing="0" w:after="0" w:afterAutospacing="0"/>
        <w:ind w:firstLine="400"/>
        <w:jc w:val="both"/>
        <w:divId w:val="889224353"/>
        <w:rPr>
          <w:rFonts w:cs="Times New Roman"/>
          <w:sz w:val="18"/>
          <w:szCs w:val="18"/>
        </w:rPr>
      </w:pPr>
      <w:r w:rsidRPr="002B59B9">
        <w:rPr>
          <w:rFonts w:cs="Times New Roman" w:hint="eastAsia"/>
          <w:sz w:val="18"/>
          <w:szCs w:val="18"/>
        </w:rPr>
        <w:t>以历史成本计量的外币非货币性项目，仍采用交易发生日的即期汇率折算的记账本位</w:t>
      </w:r>
      <w:proofErr w:type="gramStart"/>
      <w:r w:rsidRPr="002B59B9">
        <w:rPr>
          <w:rFonts w:cs="Times New Roman" w:hint="eastAsia"/>
          <w:sz w:val="18"/>
          <w:szCs w:val="18"/>
        </w:rPr>
        <w:t>币金额</w:t>
      </w:r>
      <w:proofErr w:type="gramEnd"/>
      <w:r w:rsidRPr="002B59B9">
        <w:rPr>
          <w:rFonts w:cs="Times New Roman" w:hint="eastAsia"/>
          <w:sz w:val="18"/>
          <w:szCs w:val="18"/>
        </w:rPr>
        <w:t>计量。以公允价值计量的外币非货币性项目，采用公允价值确定日的即期汇率折算，折算后的记账本位</w:t>
      </w:r>
      <w:proofErr w:type="gramStart"/>
      <w:r w:rsidRPr="002B59B9">
        <w:rPr>
          <w:rFonts w:cs="Times New Roman" w:hint="eastAsia"/>
          <w:sz w:val="18"/>
          <w:szCs w:val="18"/>
        </w:rPr>
        <w:t>币金额</w:t>
      </w:r>
      <w:proofErr w:type="gramEnd"/>
      <w:r w:rsidRPr="002B59B9">
        <w:rPr>
          <w:rFonts w:cs="Times New Roman" w:hint="eastAsia"/>
          <w:sz w:val="18"/>
          <w:szCs w:val="18"/>
        </w:rPr>
        <w:t>与原记账本位</w:t>
      </w:r>
      <w:proofErr w:type="gramStart"/>
      <w:r w:rsidRPr="002B59B9">
        <w:rPr>
          <w:rFonts w:cs="Times New Roman" w:hint="eastAsia"/>
          <w:sz w:val="18"/>
          <w:szCs w:val="18"/>
        </w:rPr>
        <w:t>币金额</w:t>
      </w:r>
      <w:proofErr w:type="gramEnd"/>
      <w:r w:rsidRPr="002B59B9">
        <w:rPr>
          <w:rFonts w:cs="Times New Roman" w:hint="eastAsia"/>
          <w:sz w:val="18"/>
          <w:szCs w:val="18"/>
        </w:rPr>
        <w:t>的差额，作为公允价值变动（含汇率变动）处理，计入当期损益或确认为其他综合收益。</w:t>
      </w:r>
    </w:p>
    <w:p w:rsidR="002B59B9" w:rsidRDefault="008D4B2E" w:rsidP="00B818D2">
      <w:pPr>
        <w:pStyle w:val="a3"/>
        <w:spacing w:before="0" w:beforeAutospacing="0" w:after="0" w:afterAutospacing="0"/>
        <w:ind w:firstLine="400"/>
        <w:jc w:val="both"/>
        <w:divId w:val="889224353"/>
        <w:rPr>
          <w:rFonts w:cs="Times New Roman"/>
          <w:sz w:val="18"/>
          <w:szCs w:val="18"/>
        </w:rPr>
      </w:pPr>
      <w:r w:rsidRPr="002B59B9">
        <w:rPr>
          <w:rFonts w:cs="Times New Roman" w:hint="eastAsia"/>
          <w:sz w:val="18"/>
          <w:szCs w:val="18"/>
        </w:rPr>
        <w:t>（</w:t>
      </w:r>
      <w:r w:rsidRPr="002B59B9">
        <w:rPr>
          <w:rFonts w:cs="Times New Roman"/>
          <w:sz w:val="18"/>
          <w:szCs w:val="18"/>
        </w:rPr>
        <w:t>3</w:t>
      </w:r>
      <w:r w:rsidRPr="002B59B9">
        <w:rPr>
          <w:rFonts w:cs="Times New Roman" w:hint="eastAsia"/>
          <w:sz w:val="18"/>
          <w:szCs w:val="18"/>
        </w:rPr>
        <w:t>）外币财务报表的折算方法</w:t>
      </w:r>
    </w:p>
    <w:p w:rsidR="002B59B9" w:rsidRDefault="008D4B2E" w:rsidP="00B818D2">
      <w:pPr>
        <w:pStyle w:val="a3"/>
        <w:spacing w:before="0" w:beforeAutospacing="0" w:after="0" w:afterAutospacing="0"/>
        <w:ind w:firstLine="400"/>
        <w:jc w:val="both"/>
        <w:divId w:val="889224353"/>
        <w:rPr>
          <w:rFonts w:cs="Times New Roman"/>
          <w:sz w:val="18"/>
          <w:szCs w:val="18"/>
        </w:rPr>
      </w:pPr>
      <w:r w:rsidRPr="002B59B9">
        <w:rPr>
          <w:rFonts w:cs="Times New Roman" w:hint="eastAsia"/>
          <w:sz w:val="18"/>
          <w:szCs w:val="18"/>
        </w:rPr>
        <w:t>编制合并财务报表涉及境外经营的，如有实质上构成对境外经营净投资的外币货币性项目，因汇率变动而产生的汇兑差额，作为</w:t>
      </w:r>
      <w:r w:rsidRPr="002B59B9">
        <w:rPr>
          <w:rFonts w:cs="Times New Roman"/>
          <w:sz w:val="18"/>
          <w:szCs w:val="18"/>
        </w:rPr>
        <w:t>“</w:t>
      </w:r>
      <w:r w:rsidRPr="002B59B9">
        <w:rPr>
          <w:rFonts w:cs="Times New Roman" w:hint="eastAsia"/>
          <w:sz w:val="18"/>
          <w:szCs w:val="18"/>
        </w:rPr>
        <w:t>外币报表折算差额</w:t>
      </w:r>
      <w:r w:rsidRPr="002B59B9">
        <w:rPr>
          <w:rFonts w:cs="Times New Roman"/>
          <w:sz w:val="18"/>
          <w:szCs w:val="18"/>
        </w:rPr>
        <w:t>”</w:t>
      </w:r>
      <w:r w:rsidRPr="002B59B9">
        <w:rPr>
          <w:rFonts w:cs="Times New Roman" w:hint="eastAsia"/>
          <w:sz w:val="18"/>
          <w:szCs w:val="18"/>
        </w:rPr>
        <w:t>确认为其他综合收益；处置境外经营时，计入处置当期损益。</w:t>
      </w:r>
    </w:p>
    <w:p w:rsidR="002B59B9" w:rsidRDefault="008D4B2E" w:rsidP="00B818D2">
      <w:pPr>
        <w:pStyle w:val="a3"/>
        <w:spacing w:before="0" w:beforeAutospacing="0" w:after="0" w:afterAutospacing="0"/>
        <w:ind w:firstLine="400"/>
        <w:jc w:val="both"/>
        <w:divId w:val="889224353"/>
        <w:rPr>
          <w:rFonts w:cs="Times New Roman"/>
          <w:sz w:val="18"/>
          <w:szCs w:val="18"/>
        </w:rPr>
      </w:pPr>
      <w:r w:rsidRPr="002B59B9">
        <w:rPr>
          <w:rFonts w:cs="Times New Roman" w:hint="eastAsia"/>
          <w:sz w:val="18"/>
          <w:szCs w:val="18"/>
        </w:rPr>
        <w:t>境外经营的外币财务报表按以下方法折算为人民币报表：资产负债表中的资产和负债项目，采用资产负债表日的即期汇率折算；股东权益类项目除</w:t>
      </w:r>
      <w:r w:rsidRPr="002B59B9">
        <w:rPr>
          <w:rFonts w:cs="Times New Roman"/>
          <w:sz w:val="18"/>
          <w:szCs w:val="18"/>
        </w:rPr>
        <w:t>“</w:t>
      </w:r>
      <w:r w:rsidRPr="002B59B9">
        <w:rPr>
          <w:rFonts w:cs="Times New Roman" w:hint="eastAsia"/>
          <w:sz w:val="18"/>
          <w:szCs w:val="18"/>
        </w:rPr>
        <w:t>未分配利润</w:t>
      </w:r>
      <w:r w:rsidRPr="002B59B9">
        <w:rPr>
          <w:rFonts w:cs="Times New Roman"/>
          <w:sz w:val="18"/>
          <w:szCs w:val="18"/>
        </w:rPr>
        <w:t>”</w:t>
      </w:r>
      <w:r w:rsidRPr="002B59B9">
        <w:rPr>
          <w:rFonts w:cs="Times New Roman" w:hint="eastAsia"/>
          <w:sz w:val="18"/>
          <w:szCs w:val="18"/>
        </w:rPr>
        <w:t>项目外，其他项目采用发生时的即期汇率折算。利润表中的收入和费用项目，采用交易发生日的即期汇率的近似汇率折算。年初未分配利润为上一年折算后的年末未分配利润；期末未分配利润按折算后的利润分配各项</w:t>
      </w:r>
      <w:proofErr w:type="gramStart"/>
      <w:r w:rsidRPr="002B59B9">
        <w:rPr>
          <w:rFonts w:cs="Times New Roman" w:hint="eastAsia"/>
          <w:sz w:val="18"/>
          <w:szCs w:val="18"/>
        </w:rPr>
        <w:t>目计算</w:t>
      </w:r>
      <w:proofErr w:type="gramEnd"/>
      <w:r w:rsidRPr="002B59B9">
        <w:rPr>
          <w:rFonts w:cs="Times New Roman" w:hint="eastAsia"/>
          <w:sz w:val="18"/>
          <w:szCs w:val="18"/>
        </w:rPr>
        <w:t>列示；折算后资产类项目与负债类项目和股东权益类项目合计数的差额，作为外币报表折算差额，确认为其他综合收益。处置境外经营并丧失控制权时，将资产负债表中股东权益项目下列示的、与该境外经营相关的外币报表折算差额，全部或按处置该境外经营的比例转入处置当期损益。</w:t>
      </w:r>
    </w:p>
    <w:p w:rsidR="008D4B2E" w:rsidRPr="002B59B9" w:rsidRDefault="008D4B2E" w:rsidP="00B818D2">
      <w:pPr>
        <w:pStyle w:val="a3"/>
        <w:spacing w:before="0" w:beforeAutospacing="0" w:after="0" w:afterAutospacing="0"/>
        <w:ind w:firstLine="400"/>
        <w:jc w:val="both"/>
        <w:divId w:val="889224353"/>
        <w:rPr>
          <w:rFonts w:cs="Times New Roman"/>
          <w:sz w:val="18"/>
          <w:szCs w:val="18"/>
        </w:rPr>
      </w:pPr>
      <w:r w:rsidRPr="002B59B9">
        <w:rPr>
          <w:rFonts w:cs="Times New Roman" w:hint="eastAsia"/>
          <w:sz w:val="18"/>
          <w:szCs w:val="18"/>
        </w:rPr>
        <w:t>外币现金流量以及境外子公司的现金流量，采用现金流量发生日的即期汇率的近似汇率折算。汇率变动对现金的影响额作为调节项目，在现金流量表中单独列报。</w:t>
      </w:r>
    </w:p>
    <w:p w:rsidR="008D4B2E" w:rsidRPr="002B59B9" w:rsidRDefault="008D4B2E" w:rsidP="00B818D2">
      <w:pPr>
        <w:pStyle w:val="a3"/>
        <w:spacing w:before="0" w:beforeAutospacing="0" w:after="0" w:afterAutospacing="0"/>
        <w:ind w:firstLine="400"/>
        <w:jc w:val="both"/>
        <w:divId w:val="889224353"/>
        <w:rPr>
          <w:rFonts w:cs="Times New Roman"/>
          <w:sz w:val="18"/>
          <w:szCs w:val="18"/>
        </w:rPr>
      </w:pPr>
      <w:r w:rsidRPr="002B59B9">
        <w:rPr>
          <w:rFonts w:cs="Times New Roman" w:hint="eastAsia"/>
          <w:sz w:val="18"/>
          <w:szCs w:val="18"/>
        </w:rPr>
        <w:t>年初数和上年实际</w:t>
      </w:r>
      <w:proofErr w:type="gramStart"/>
      <w:r w:rsidRPr="002B59B9">
        <w:rPr>
          <w:rFonts w:cs="Times New Roman" w:hint="eastAsia"/>
          <w:sz w:val="18"/>
          <w:szCs w:val="18"/>
        </w:rPr>
        <w:t>数按照</w:t>
      </w:r>
      <w:proofErr w:type="gramEnd"/>
      <w:r w:rsidRPr="002B59B9">
        <w:rPr>
          <w:rFonts w:cs="Times New Roman" w:hint="eastAsia"/>
          <w:sz w:val="18"/>
          <w:szCs w:val="18"/>
        </w:rPr>
        <w:t>上年财务报表折算后的数额列示。</w:t>
      </w:r>
    </w:p>
    <w:p w:rsidR="008D4B2E" w:rsidRPr="002B59B9" w:rsidRDefault="008D4B2E" w:rsidP="00B818D2">
      <w:pPr>
        <w:pStyle w:val="a3"/>
        <w:spacing w:before="0" w:beforeAutospacing="0" w:after="0" w:afterAutospacing="0"/>
        <w:ind w:firstLine="400"/>
        <w:jc w:val="both"/>
        <w:divId w:val="889224353"/>
        <w:rPr>
          <w:rFonts w:cs="Times New Roman"/>
          <w:sz w:val="18"/>
          <w:szCs w:val="18"/>
        </w:rPr>
      </w:pPr>
      <w:r w:rsidRPr="002B59B9">
        <w:rPr>
          <w:rFonts w:cs="Times New Roman" w:hint="eastAsia"/>
          <w:sz w:val="18"/>
          <w:szCs w:val="18"/>
        </w:rPr>
        <w:t>在处置本公司在境外经营的全部所有者权益或因处置部分股权投资或其他原因丧失了对境外经营控制权时，将资产负债表中股东权益项目下列示的、与该境外经营相关的归属于母公司所有者权益的外币报表折算差额，全部转入处置当期损益。</w:t>
      </w:r>
    </w:p>
    <w:p w:rsidR="008D4B2E" w:rsidRPr="002B59B9" w:rsidRDefault="008D4B2E" w:rsidP="00B818D2">
      <w:pPr>
        <w:pStyle w:val="a3"/>
        <w:spacing w:before="0" w:beforeAutospacing="0" w:after="0" w:afterAutospacing="0"/>
        <w:ind w:firstLine="400"/>
        <w:jc w:val="both"/>
        <w:divId w:val="889224353"/>
        <w:rPr>
          <w:rFonts w:cs="Times New Roman"/>
          <w:sz w:val="18"/>
          <w:szCs w:val="18"/>
        </w:rPr>
      </w:pPr>
      <w:r w:rsidRPr="002B59B9">
        <w:rPr>
          <w:rFonts w:cs="Times New Roman" w:hint="eastAsia"/>
          <w:sz w:val="18"/>
          <w:szCs w:val="18"/>
        </w:rPr>
        <w:t>在处置部分股权投资或其他原因导致持有境外经营权益比例降低但不丧失对境外经营控制权时，与该境外经营处置部分相关的外币报表折算差额将归属于少数股东权益，不转入当期损益。在处置境外经营为联营企业或合营企业的部分股权时，与该境外经营相关的外币报表折算差额，按处置该境外经营的比例转入处置当期损益。</w:t>
      </w:r>
    </w:p>
    <w:p w:rsidR="00BA0365" w:rsidRDefault="008D4B2E" w:rsidP="00B818D2">
      <w:pPr>
        <w:pStyle w:val="3"/>
        <w:spacing w:line="240" w:lineRule="auto"/>
        <w:jc w:val="left"/>
        <w:rPr>
          <w:rFonts w:ascii="宋体" w:hAnsi="宋体" w:cs="宋体"/>
          <w:b/>
          <w:bCs/>
        </w:rPr>
      </w:pPr>
      <w:bookmarkStart w:id="176" w:name="_Toc989064"/>
      <w:r>
        <w:rPr>
          <w:rFonts w:ascii="宋体" w:hAnsi="宋体" w:cs="宋体"/>
          <w:b/>
          <w:bCs/>
        </w:rPr>
        <w:t>11、金融工具</w:t>
      </w:r>
      <w:bookmarkEnd w:id="176"/>
    </w:p>
    <w:p w:rsidR="008D4B2E" w:rsidRPr="002B59B9" w:rsidRDefault="008D4B2E" w:rsidP="00B818D2">
      <w:pPr>
        <w:pStyle w:val="a3"/>
        <w:spacing w:before="0" w:beforeAutospacing="0" w:after="0" w:afterAutospacing="0"/>
        <w:ind w:firstLine="400"/>
        <w:divId w:val="1726097854"/>
        <w:rPr>
          <w:rFonts w:cs="Times New Roman"/>
          <w:sz w:val="18"/>
          <w:szCs w:val="18"/>
        </w:rPr>
      </w:pPr>
      <w:r w:rsidRPr="002B59B9">
        <w:rPr>
          <w:rFonts w:cs="Times New Roman" w:hint="eastAsia"/>
          <w:sz w:val="18"/>
          <w:szCs w:val="18"/>
        </w:rPr>
        <w:t>在本公司成为金融工具合同的一方时确认一项金融资产或金融负债。</w:t>
      </w:r>
    </w:p>
    <w:p w:rsidR="008D4B2E" w:rsidRPr="002B59B9" w:rsidRDefault="008D4B2E" w:rsidP="00B818D2">
      <w:pPr>
        <w:pStyle w:val="a3"/>
        <w:spacing w:before="0" w:beforeAutospacing="0" w:after="0" w:afterAutospacing="0"/>
        <w:ind w:firstLine="400"/>
        <w:divId w:val="1726097854"/>
        <w:rPr>
          <w:rFonts w:cs="Times New Roman"/>
          <w:sz w:val="18"/>
          <w:szCs w:val="18"/>
        </w:rPr>
      </w:pPr>
      <w:r w:rsidRPr="002B59B9">
        <w:rPr>
          <w:rFonts w:cs="Times New Roman" w:hint="eastAsia"/>
          <w:sz w:val="18"/>
          <w:szCs w:val="18"/>
        </w:rPr>
        <w:lastRenderedPageBreak/>
        <w:t>（</w:t>
      </w:r>
      <w:r w:rsidRPr="002B59B9">
        <w:rPr>
          <w:rFonts w:cs="Times New Roman"/>
          <w:sz w:val="18"/>
          <w:szCs w:val="18"/>
        </w:rPr>
        <w:t>1</w:t>
      </w:r>
      <w:r w:rsidRPr="002B59B9">
        <w:rPr>
          <w:rFonts w:cs="Times New Roman" w:hint="eastAsia"/>
          <w:sz w:val="18"/>
          <w:szCs w:val="18"/>
        </w:rPr>
        <w:t>）金融资产的分类、确认和计量</w:t>
      </w:r>
    </w:p>
    <w:p w:rsidR="008D4B2E" w:rsidRPr="002B59B9" w:rsidRDefault="008D4B2E" w:rsidP="00B818D2">
      <w:pPr>
        <w:pStyle w:val="a3"/>
        <w:spacing w:before="0" w:beforeAutospacing="0" w:after="0" w:afterAutospacing="0"/>
        <w:ind w:firstLine="400"/>
        <w:jc w:val="both"/>
        <w:divId w:val="1726097854"/>
        <w:rPr>
          <w:rFonts w:cs="Times New Roman"/>
          <w:sz w:val="18"/>
          <w:szCs w:val="18"/>
        </w:rPr>
      </w:pPr>
      <w:r w:rsidRPr="002B59B9">
        <w:rPr>
          <w:rFonts w:cs="Times New Roman" w:hint="eastAsia"/>
          <w:sz w:val="18"/>
          <w:szCs w:val="18"/>
        </w:rPr>
        <w:t>本公司根据管理金融资产的业务模式和金融资产的合同现金流量特征，将金融资产划分为：以摊</w:t>
      </w:r>
      <w:proofErr w:type="gramStart"/>
      <w:r w:rsidRPr="002B59B9">
        <w:rPr>
          <w:rFonts w:cs="Times New Roman" w:hint="eastAsia"/>
          <w:sz w:val="18"/>
          <w:szCs w:val="18"/>
        </w:rPr>
        <w:t>余成本</w:t>
      </w:r>
      <w:proofErr w:type="gramEnd"/>
      <w:r w:rsidRPr="002B59B9">
        <w:rPr>
          <w:rFonts w:cs="Times New Roman" w:hint="eastAsia"/>
          <w:sz w:val="18"/>
          <w:szCs w:val="18"/>
        </w:rPr>
        <w:t>计量的金融资产；以公允价值计量且其变动计入其他综合收益的金融资产；以公允价值计量且其变动计入当期损益的金融资产。</w:t>
      </w:r>
    </w:p>
    <w:p w:rsidR="008D4B2E" w:rsidRPr="002B59B9" w:rsidRDefault="008D4B2E" w:rsidP="00B818D2">
      <w:pPr>
        <w:pStyle w:val="a3"/>
        <w:spacing w:before="0" w:beforeAutospacing="0" w:after="0" w:afterAutospacing="0"/>
        <w:ind w:firstLine="400"/>
        <w:jc w:val="both"/>
        <w:divId w:val="1726097854"/>
        <w:rPr>
          <w:rFonts w:cs="Times New Roman"/>
          <w:sz w:val="18"/>
          <w:szCs w:val="18"/>
        </w:rPr>
      </w:pPr>
      <w:r w:rsidRPr="002B59B9">
        <w:rPr>
          <w:rFonts w:cs="Times New Roman" w:hint="eastAsia"/>
          <w:sz w:val="18"/>
          <w:szCs w:val="18"/>
        </w:rPr>
        <w:t>金融资产在初始确认时以公允价值计量。对于以公允价值计量且其变动计入当期损益的金融资产，相关交易费用直接计入当期损益；对于其他类别的金融资产，相关交易费用计入初始确认金额。因销售产品或提供劳务而产生的、未包含或不考虑重大融资成分的应收账款或应收票据，本公司按照预期有权收取的对</w:t>
      </w:r>
      <w:proofErr w:type="gramStart"/>
      <w:r w:rsidRPr="002B59B9">
        <w:rPr>
          <w:rFonts w:cs="Times New Roman" w:hint="eastAsia"/>
          <w:sz w:val="18"/>
          <w:szCs w:val="18"/>
        </w:rPr>
        <w:t>价金额</w:t>
      </w:r>
      <w:proofErr w:type="gramEnd"/>
      <w:r w:rsidRPr="002B59B9">
        <w:rPr>
          <w:rFonts w:cs="Times New Roman" w:hint="eastAsia"/>
          <w:sz w:val="18"/>
          <w:szCs w:val="18"/>
        </w:rPr>
        <w:t>作为初始确认金额。</w:t>
      </w:r>
    </w:p>
    <w:p w:rsidR="008D4B2E" w:rsidRPr="002B59B9" w:rsidRDefault="008D4B2E" w:rsidP="00B818D2">
      <w:pPr>
        <w:pStyle w:val="a3"/>
        <w:spacing w:before="0" w:beforeAutospacing="0" w:after="0" w:afterAutospacing="0"/>
        <w:ind w:firstLine="400"/>
        <w:jc w:val="both"/>
        <w:divId w:val="1726097854"/>
        <w:rPr>
          <w:rFonts w:cs="Times New Roman"/>
          <w:sz w:val="18"/>
          <w:szCs w:val="18"/>
        </w:rPr>
      </w:pPr>
      <w:r w:rsidRPr="002B59B9">
        <w:rPr>
          <w:rFonts w:cs="Times New Roman" w:hint="eastAsia"/>
          <w:sz w:val="18"/>
          <w:szCs w:val="18"/>
        </w:rPr>
        <w:t>①以摊</w:t>
      </w:r>
      <w:proofErr w:type="gramStart"/>
      <w:r w:rsidRPr="002B59B9">
        <w:rPr>
          <w:rFonts w:cs="Times New Roman" w:hint="eastAsia"/>
          <w:sz w:val="18"/>
          <w:szCs w:val="18"/>
        </w:rPr>
        <w:t>余成本</w:t>
      </w:r>
      <w:proofErr w:type="gramEnd"/>
      <w:r w:rsidRPr="002B59B9">
        <w:rPr>
          <w:rFonts w:cs="Times New Roman" w:hint="eastAsia"/>
          <w:sz w:val="18"/>
          <w:szCs w:val="18"/>
        </w:rPr>
        <w:t>计量的金融资产</w:t>
      </w:r>
    </w:p>
    <w:p w:rsidR="008D4B2E" w:rsidRPr="002B59B9" w:rsidRDefault="008D4B2E" w:rsidP="00B818D2">
      <w:pPr>
        <w:pStyle w:val="a3"/>
        <w:spacing w:before="0" w:beforeAutospacing="0" w:after="0" w:afterAutospacing="0"/>
        <w:ind w:firstLine="400"/>
        <w:jc w:val="both"/>
        <w:divId w:val="1726097854"/>
        <w:rPr>
          <w:rFonts w:cs="Times New Roman"/>
          <w:sz w:val="18"/>
          <w:szCs w:val="18"/>
        </w:rPr>
      </w:pPr>
      <w:r w:rsidRPr="002B59B9">
        <w:rPr>
          <w:rFonts w:cs="Times New Roman" w:hint="eastAsia"/>
          <w:sz w:val="18"/>
          <w:szCs w:val="18"/>
        </w:rPr>
        <w:t>本公司管理以摊</w:t>
      </w:r>
      <w:proofErr w:type="gramStart"/>
      <w:r w:rsidRPr="002B59B9">
        <w:rPr>
          <w:rFonts w:cs="Times New Roman" w:hint="eastAsia"/>
          <w:sz w:val="18"/>
          <w:szCs w:val="18"/>
        </w:rPr>
        <w:t>余成本</w:t>
      </w:r>
      <w:proofErr w:type="gramEnd"/>
      <w:r w:rsidRPr="002B59B9">
        <w:rPr>
          <w:rFonts w:cs="Times New Roman" w:hint="eastAsia"/>
          <w:sz w:val="18"/>
          <w:szCs w:val="18"/>
        </w:rPr>
        <w:t>计量的金融资产的业务模式为以收取合同现金流量为目标，且此类金融资产的合同现金流量特征与基本借贷安排相一致，即在特定日期产生的现金流量，仅为对本金和以</w:t>
      </w:r>
      <w:proofErr w:type="gramStart"/>
      <w:r w:rsidRPr="002B59B9">
        <w:rPr>
          <w:rFonts w:cs="Times New Roman" w:hint="eastAsia"/>
          <w:sz w:val="18"/>
          <w:szCs w:val="18"/>
        </w:rPr>
        <w:t>未偿付本</w:t>
      </w:r>
      <w:proofErr w:type="gramEnd"/>
      <w:r w:rsidRPr="002B59B9">
        <w:rPr>
          <w:rFonts w:cs="Times New Roman" w:hint="eastAsia"/>
          <w:sz w:val="18"/>
          <w:szCs w:val="18"/>
        </w:rPr>
        <w:t>金金额为基础的利息的支付。本公司对于此类金融资产，采用实际利率法，按照摊</w:t>
      </w:r>
      <w:proofErr w:type="gramStart"/>
      <w:r w:rsidRPr="002B59B9">
        <w:rPr>
          <w:rFonts w:cs="Times New Roman" w:hint="eastAsia"/>
          <w:sz w:val="18"/>
          <w:szCs w:val="18"/>
        </w:rPr>
        <w:t>余成本</w:t>
      </w:r>
      <w:proofErr w:type="gramEnd"/>
      <w:r w:rsidRPr="002B59B9">
        <w:rPr>
          <w:rFonts w:cs="Times New Roman" w:hint="eastAsia"/>
          <w:sz w:val="18"/>
          <w:szCs w:val="18"/>
        </w:rPr>
        <w:t>进行后续计量，其摊销或减值产生的利得或损失，计入当期损益。</w:t>
      </w:r>
    </w:p>
    <w:p w:rsidR="008D4B2E" w:rsidRPr="002B59B9" w:rsidRDefault="008D4B2E" w:rsidP="00B818D2">
      <w:pPr>
        <w:pStyle w:val="a3"/>
        <w:spacing w:before="0" w:beforeAutospacing="0" w:after="0" w:afterAutospacing="0"/>
        <w:ind w:firstLine="400"/>
        <w:jc w:val="both"/>
        <w:divId w:val="1726097854"/>
        <w:rPr>
          <w:rFonts w:cs="Times New Roman"/>
          <w:sz w:val="18"/>
          <w:szCs w:val="18"/>
        </w:rPr>
      </w:pPr>
      <w:r w:rsidRPr="002B59B9">
        <w:rPr>
          <w:rFonts w:cs="Times New Roman" w:hint="eastAsia"/>
          <w:sz w:val="18"/>
          <w:szCs w:val="18"/>
        </w:rPr>
        <w:t>②以公允价值计量且其变动计入其他综合收益的金融资产</w:t>
      </w:r>
    </w:p>
    <w:p w:rsidR="008D4B2E" w:rsidRPr="002B59B9" w:rsidRDefault="008D4B2E" w:rsidP="00B818D2">
      <w:pPr>
        <w:pStyle w:val="a3"/>
        <w:spacing w:before="0" w:beforeAutospacing="0" w:after="0" w:afterAutospacing="0"/>
        <w:ind w:firstLine="400"/>
        <w:jc w:val="both"/>
        <w:divId w:val="1726097854"/>
        <w:rPr>
          <w:rFonts w:cs="Times New Roman"/>
          <w:sz w:val="18"/>
          <w:szCs w:val="18"/>
        </w:rPr>
      </w:pPr>
      <w:r w:rsidRPr="002B59B9">
        <w:rPr>
          <w:rFonts w:cs="Times New Roman" w:hint="eastAsia"/>
          <w:sz w:val="18"/>
          <w:szCs w:val="18"/>
        </w:rPr>
        <w:t>本公司管理此类金融资产的业务模式为既以收取合同现金流量为目标又以出售为目标，且此类金融资产的合同现金流量特征与基本借贷安排相一致。本公司对此类金融资产按照公允价值计量且其变动计入其他综合收益，但减值损失或利得、汇兑损益和按照实际利率法计算的利息收入计入当期损益。</w:t>
      </w:r>
    </w:p>
    <w:p w:rsidR="008D4B2E" w:rsidRPr="002B59B9" w:rsidRDefault="008D4B2E" w:rsidP="00B818D2">
      <w:pPr>
        <w:pStyle w:val="a3"/>
        <w:spacing w:before="0" w:beforeAutospacing="0" w:after="0" w:afterAutospacing="0"/>
        <w:ind w:firstLine="400"/>
        <w:jc w:val="both"/>
        <w:divId w:val="1726097854"/>
        <w:rPr>
          <w:rFonts w:cs="Times New Roman"/>
          <w:sz w:val="18"/>
          <w:szCs w:val="18"/>
        </w:rPr>
      </w:pPr>
      <w:r w:rsidRPr="002B59B9">
        <w:rPr>
          <w:rFonts w:cs="Times New Roman" w:hint="eastAsia"/>
          <w:sz w:val="18"/>
          <w:szCs w:val="18"/>
        </w:rPr>
        <w:t>此外，本公司将部分</w:t>
      </w:r>
      <w:proofErr w:type="gramStart"/>
      <w:r w:rsidRPr="002B59B9">
        <w:rPr>
          <w:rFonts w:cs="Times New Roman" w:hint="eastAsia"/>
          <w:sz w:val="18"/>
          <w:szCs w:val="18"/>
        </w:rPr>
        <w:t>非交易</w:t>
      </w:r>
      <w:proofErr w:type="gramEnd"/>
      <w:r w:rsidRPr="002B59B9">
        <w:rPr>
          <w:rFonts w:cs="Times New Roman" w:hint="eastAsia"/>
          <w:sz w:val="18"/>
          <w:szCs w:val="18"/>
        </w:rPr>
        <w:t>性权益工具投资指定为以公允价值计量且其变动计入其他综合收益的金融资产。本公司将该类金融资产的相关股利收入计入当期损益，公允价值变动计入其他综合收益。当该金融资产终止确认时，之前计入其他综合收益的累计利得或损失将从其他综合收益转入留存收益，不计入当期损益。</w:t>
      </w:r>
    </w:p>
    <w:p w:rsidR="008D4B2E" w:rsidRPr="002B59B9" w:rsidRDefault="008D4B2E" w:rsidP="00B818D2">
      <w:pPr>
        <w:pStyle w:val="a3"/>
        <w:spacing w:before="0" w:beforeAutospacing="0" w:after="0" w:afterAutospacing="0"/>
        <w:ind w:firstLine="400"/>
        <w:jc w:val="both"/>
        <w:divId w:val="1726097854"/>
        <w:rPr>
          <w:rFonts w:cs="Times New Roman"/>
          <w:sz w:val="18"/>
          <w:szCs w:val="18"/>
        </w:rPr>
      </w:pPr>
      <w:r w:rsidRPr="002B59B9">
        <w:rPr>
          <w:rFonts w:cs="Times New Roman" w:hint="eastAsia"/>
          <w:sz w:val="18"/>
          <w:szCs w:val="18"/>
        </w:rPr>
        <w:t>③以公允价值计量且其变动计入当期损益的金融资产</w:t>
      </w:r>
    </w:p>
    <w:p w:rsidR="008D4B2E" w:rsidRPr="002B59B9" w:rsidRDefault="008D4B2E" w:rsidP="00B818D2">
      <w:pPr>
        <w:pStyle w:val="a3"/>
        <w:spacing w:before="0" w:beforeAutospacing="0" w:after="0" w:afterAutospacing="0"/>
        <w:ind w:firstLine="400"/>
        <w:jc w:val="both"/>
        <w:divId w:val="1726097854"/>
        <w:rPr>
          <w:rFonts w:cs="Times New Roman"/>
          <w:sz w:val="18"/>
          <w:szCs w:val="18"/>
        </w:rPr>
      </w:pPr>
      <w:r w:rsidRPr="002B59B9">
        <w:rPr>
          <w:rFonts w:cs="Times New Roman" w:hint="eastAsia"/>
          <w:sz w:val="18"/>
          <w:szCs w:val="18"/>
        </w:rPr>
        <w:t>本公司将上述以摊</w:t>
      </w:r>
      <w:proofErr w:type="gramStart"/>
      <w:r w:rsidRPr="002B59B9">
        <w:rPr>
          <w:rFonts w:cs="Times New Roman" w:hint="eastAsia"/>
          <w:sz w:val="18"/>
          <w:szCs w:val="18"/>
        </w:rPr>
        <w:t>余成本</w:t>
      </w:r>
      <w:proofErr w:type="gramEnd"/>
      <w:r w:rsidRPr="002B59B9">
        <w:rPr>
          <w:rFonts w:cs="Times New Roman" w:hint="eastAsia"/>
          <w:sz w:val="18"/>
          <w:szCs w:val="18"/>
        </w:rPr>
        <w:t>计量的金融资产和以公允价值计量且其变动计入其他综合收益的金融资产之外的金融资产，分类为以公允价值计量且其变动计入当期损益的金融资产。此外，在初始确认时，本公司为了消除或显著减少会计错配，将部分金融资产指定为以公允价值计量且其变动计入当期损益的金融资产。对于此类金融资产，本公司采用公允价值进行后续计量，公允价值变动计入当期损益。</w:t>
      </w:r>
    </w:p>
    <w:p w:rsidR="008D4B2E" w:rsidRPr="002B59B9" w:rsidRDefault="008D4B2E" w:rsidP="00B818D2">
      <w:pPr>
        <w:pStyle w:val="a3"/>
        <w:spacing w:before="0" w:beforeAutospacing="0" w:after="0" w:afterAutospacing="0"/>
        <w:ind w:firstLine="400"/>
        <w:jc w:val="both"/>
        <w:divId w:val="1726097854"/>
        <w:rPr>
          <w:rFonts w:cs="Times New Roman"/>
          <w:sz w:val="18"/>
          <w:szCs w:val="18"/>
        </w:rPr>
      </w:pPr>
      <w:r w:rsidRPr="002B59B9">
        <w:rPr>
          <w:rFonts w:cs="Times New Roman" w:hint="eastAsia"/>
          <w:sz w:val="18"/>
          <w:szCs w:val="18"/>
        </w:rPr>
        <w:t>（</w:t>
      </w:r>
      <w:r w:rsidRPr="002B59B9">
        <w:rPr>
          <w:rFonts w:cs="Times New Roman"/>
          <w:sz w:val="18"/>
          <w:szCs w:val="18"/>
        </w:rPr>
        <w:t>2</w:t>
      </w:r>
      <w:r w:rsidRPr="002B59B9">
        <w:rPr>
          <w:rFonts w:cs="Times New Roman" w:hint="eastAsia"/>
          <w:sz w:val="18"/>
          <w:szCs w:val="18"/>
        </w:rPr>
        <w:t>）金融负债的分类、确认和计量</w:t>
      </w:r>
    </w:p>
    <w:p w:rsidR="008D4B2E" w:rsidRPr="002B59B9" w:rsidRDefault="008D4B2E" w:rsidP="00B818D2">
      <w:pPr>
        <w:pStyle w:val="a3"/>
        <w:spacing w:before="0" w:beforeAutospacing="0" w:after="0" w:afterAutospacing="0"/>
        <w:ind w:firstLine="400"/>
        <w:jc w:val="both"/>
        <w:divId w:val="1726097854"/>
        <w:rPr>
          <w:rFonts w:cs="Times New Roman"/>
          <w:sz w:val="18"/>
          <w:szCs w:val="18"/>
        </w:rPr>
      </w:pPr>
      <w:r w:rsidRPr="002B59B9">
        <w:rPr>
          <w:rFonts w:cs="Times New Roman" w:hint="eastAsia"/>
          <w:sz w:val="18"/>
          <w:szCs w:val="18"/>
        </w:rPr>
        <w:t>金融负债于初始确认时分类为以公允价值计量且其变动计入当期损益的金融负债和其他金融负债。对于以公允价值计量且其变动计入当期损益的金融负债，相关交易费用直接计入当期损益，其他金融负债的相关交易费用计入其初始确认金额。</w:t>
      </w:r>
    </w:p>
    <w:p w:rsidR="008D4B2E" w:rsidRPr="002B59B9" w:rsidRDefault="008D4B2E" w:rsidP="00B818D2">
      <w:pPr>
        <w:pStyle w:val="a3"/>
        <w:spacing w:before="0" w:beforeAutospacing="0" w:after="0" w:afterAutospacing="0"/>
        <w:ind w:firstLine="400"/>
        <w:jc w:val="both"/>
        <w:divId w:val="1726097854"/>
        <w:rPr>
          <w:rFonts w:cs="Times New Roman"/>
          <w:sz w:val="18"/>
          <w:szCs w:val="18"/>
        </w:rPr>
      </w:pPr>
      <w:r w:rsidRPr="002B59B9">
        <w:rPr>
          <w:rFonts w:cs="Times New Roman" w:hint="eastAsia"/>
          <w:sz w:val="18"/>
          <w:szCs w:val="18"/>
        </w:rPr>
        <w:t>①以公允价值计量且其变动计入当期损益的金融负债</w:t>
      </w:r>
    </w:p>
    <w:p w:rsidR="008D4B2E" w:rsidRPr="002B59B9" w:rsidRDefault="008D4B2E" w:rsidP="00B818D2">
      <w:pPr>
        <w:pStyle w:val="a3"/>
        <w:spacing w:before="0" w:beforeAutospacing="0" w:after="0" w:afterAutospacing="0"/>
        <w:ind w:firstLine="400"/>
        <w:jc w:val="both"/>
        <w:divId w:val="1726097854"/>
        <w:rPr>
          <w:rFonts w:cs="Times New Roman"/>
          <w:sz w:val="18"/>
          <w:szCs w:val="18"/>
        </w:rPr>
      </w:pPr>
      <w:r w:rsidRPr="002B59B9">
        <w:rPr>
          <w:rFonts w:cs="Times New Roman" w:hint="eastAsia"/>
          <w:sz w:val="18"/>
          <w:szCs w:val="18"/>
        </w:rPr>
        <w:t>以公允价值计量且其变动计入当期损益的金融负债，包括交易性金融负债（</w:t>
      </w:r>
      <w:proofErr w:type="gramStart"/>
      <w:r w:rsidRPr="002B59B9">
        <w:rPr>
          <w:rFonts w:cs="Times New Roman" w:hint="eastAsia"/>
          <w:sz w:val="18"/>
          <w:szCs w:val="18"/>
        </w:rPr>
        <w:t>含属于</w:t>
      </w:r>
      <w:proofErr w:type="gramEnd"/>
      <w:r w:rsidRPr="002B59B9">
        <w:rPr>
          <w:rFonts w:cs="Times New Roman" w:hint="eastAsia"/>
          <w:sz w:val="18"/>
          <w:szCs w:val="18"/>
        </w:rPr>
        <w:t>金融负债的衍生工具）和初始确认时指定为以公允价值计量且其变动计入当期损益的金融负债。</w:t>
      </w:r>
    </w:p>
    <w:p w:rsidR="008D4B2E" w:rsidRPr="002B59B9" w:rsidRDefault="008D4B2E" w:rsidP="00B818D2">
      <w:pPr>
        <w:pStyle w:val="a3"/>
        <w:spacing w:before="0" w:beforeAutospacing="0" w:after="0" w:afterAutospacing="0"/>
        <w:ind w:firstLine="400"/>
        <w:jc w:val="both"/>
        <w:divId w:val="1726097854"/>
        <w:rPr>
          <w:rFonts w:cs="Times New Roman"/>
          <w:sz w:val="18"/>
          <w:szCs w:val="18"/>
        </w:rPr>
      </w:pPr>
      <w:r w:rsidRPr="002B59B9">
        <w:rPr>
          <w:rFonts w:cs="Times New Roman" w:hint="eastAsia"/>
          <w:sz w:val="18"/>
          <w:szCs w:val="18"/>
        </w:rPr>
        <w:t>交易性金融负债（</w:t>
      </w:r>
      <w:proofErr w:type="gramStart"/>
      <w:r w:rsidRPr="002B59B9">
        <w:rPr>
          <w:rFonts w:cs="Times New Roman" w:hint="eastAsia"/>
          <w:sz w:val="18"/>
          <w:szCs w:val="18"/>
        </w:rPr>
        <w:t>含属于</w:t>
      </w:r>
      <w:proofErr w:type="gramEnd"/>
      <w:r w:rsidRPr="002B59B9">
        <w:rPr>
          <w:rFonts w:cs="Times New Roman" w:hint="eastAsia"/>
          <w:sz w:val="18"/>
          <w:szCs w:val="18"/>
        </w:rPr>
        <w:t>金融负债的衍生工具），按照公允价值进行后续计量，除与套期会计有关外，公允价值变动计入当期损益。</w:t>
      </w:r>
    </w:p>
    <w:p w:rsidR="008D4B2E" w:rsidRPr="002B59B9" w:rsidRDefault="008D4B2E" w:rsidP="00B818D2">
      <w:pPr>
        <w:pStyle w:val="a3"/>
        <w:spacing w:before="0" w:beforeAutospacing="0" w:after="0" w:afterAutospacing="0"/>
        <w:ind w:firstLine="400"/>
        <w:jc w:val="both"/>
        <w:divId w:val="1726097854"/>
        <w:rPr>
          <w:rFonts w:cs="Times New Roman"/>
          <w:sz w:val="18"/>
          <w:szCs w:val="18"/>
        </w:rPr>
      </w:pPr>
      <w:r w:rsidRPr="002B59B9">
        <w:rPr>
          <w:rFonts w:cs="Times New Roman" w:hint="eastAsia"/>
          <w:sz w:val="18"/>
          <w:szCs w:val="18"/>
        </w:rPr>
        <w:t>被指定为以公允价值计量且其变动计入当期损益的金融负债，该负债由本公司自身信用风险变动引起的公允价值变动计入其他综合收益，且终止确认该负债时，计入其他综合收益的自身信用风险变动引起的其公允价值累计变动额转入留存收益。其余公允价值变动计入当期损益。若按上述方式对该等金融负债的自身信用风险变动的影响进行处理会造成或扩大损益中的会计错配的，本公司将该金融负债的全部利得或损失（包括企业自身信用风险变动的影响金额）计入当期损益。</w:t>
      </w:r>
    </w:p>
    <w:p w:rsidR="008D4B2E" w:rsidRPr="002B59B9" w:rsidRDefault="008D4B2E" w:rsidP="00B818D2">
      <w:pPr>
        <w:pStyle w:val="a3"/>
        <w:spacing w:before="0" w:beforeAutospacing="0" w:after="0" w:afterAutospacing="0"/>
        <w:ind w:firstLine="400"/>
        <w:jc w:val="both"/>
        <w:divId w:val="1726097854"/>
        <w:rPr>
          <w:rFonts w:cs="Times New Roman"/>
          <w:sz w:val="18"/>
          <w:szCs w:val="18"/>
        </w:rPr>
      </w:pPr>
      <w:r w:rsidRPr="002B59B9">
        <w:rPr>
          <w:rFonts w:cs="Times New Roman" w:hint="eastAsia"/>
          <w:sz w:val="18"/>
          <w:szCs w:val="18"/>
        </w:rPr>
        <w:t>②其他金融负债</w:t>
      </w:r>
    </w:p>
    <w:p w:rsidR="008D4B2E" w:rsidRPr="002B59B9" w:rsidRDefault="008D4B2E" w:rsidP="00B818D2">
      <w:pPr>
        <w:pStyle w:val="a3"/>
        <w:spacing w:before="0" w:beforeAutospacing="0" w:after="0" w:afterAutospacing="0"/>
        <w:ind w:firstLine="400"/>
        <w:jc w:val="both"/>
        <w:divId w:val="1726097854"/>
        <w:rPr>
          <w:rFonts w:cs="Times New Roman"/>
          <w:sz w:val="18"/>
          <w:szCs w:val="18"/>
        </w:rPr>
      </w:pPr>
      <w:r w:rsidRPr="002B59B9">
        <w:rPr>
          <w:rFonts w:cs="Times New Roman" w:hint="eastAsia"/>
          <w:sz w:val="18"/>
          <w:szCs w:val="18"/>
        </w:rPr>
        <w:t>除金融资产转移不符合终止确认条件或继续涉入被转移金融资产所形成的金融负债、财务担保合同外的其他金融负债分类为以摊</w:t>
      </w:r>
      <w:proofErr w:type="gramStart"/>
      <w:r w:rsidRPr="002B59B9">
        <w:rPr>
          <w:rFonts w:cs="Times New Roman" w:hint="eastAsia"/>
          <w:sz w:val="18"/>
          <w:szCs w:val="18"/>
        </w:rPr>
        <w:t>余成本</w:t>
      </w:r>
      <w:proofErr w:type="gramEnd"/>
      <w:r w:rsidRPr="002B59B9">
        <w:rPr>
          <w:rFonts w:cs="Times New Roman" w:hint="eastAsia"/>
          <w:sz w:val="18"/>
          <w:szCs w:val="18"/>
        </w:rPr>
        <w:t>计量的金融负债，</w:t>
      </w:r>
      <w:proofErr w:type="gramStart"/>
      <w:r w:rsidRPr="002B59B9">
        <w:rPr>
          <w:rFonts w:cs="Times New Roman" w:hint="eastAsia"/>
          <w:sz w:val="18"/>
          <w:szCs w:val="18"/>
        </w:rPr>
        <w:t>按摊余成本</w:t>
      </w:r>
      <w:proofErr w:type="gramEnd"/>
      <w:r w:rsidRPr="002B59B9">
        <w:rPr>
          <w:rFonts w:cs="Times New Roman" w:hint="eastAsia"/>
          <w:sz w:val="18"/>
          <w:szCs w:val="18"/>
        </w:rPr>
        <w:t>进行后续计量，终止确认或摊销产生的利得或损失计入当期损益。</w:t>
      </w:r>
    </w:p>
    <w:p w:rsidR="008D4B2E" w:rsidRPr="002B59B9" w:rsidRDefault="008D4B2E" w:rsidP="00B818D2">
      <w:pPr>
        <w:pStyle w:val="a3"/>
        <w:spacing w:before="0" w:beforeAutospacing="0" w:after="0" w:afterAutospacing="0"/>
        <w:ind w:firstLine="400"/>
        <w:divId w:val="1726097854"/>
        <w:rPr>
          <w:rFonts w:cs="Times New Roman"/>
          <w:sz w:val="18"/>
          <w:szCs w:val="18"/>
        </w:rPr>
      </w:pPr>
      <w:r w:rsidRPr="002B59B9">
        <w:rPr>
          <w:rFonts w:cs="Times New Roman" w:hint="eastAsia"/>
          <w:sz w:val="18"/>
          <w:szCs w:val="18"/>
        </w:rPr>
        <w:t>（</w:t>
      </w:r>
      <w:r w:rsidRPr="002B59B9">
        <w:rPr>
          <w:rFonts w:cs="Times New Roman"/>
          <w:sz w:val="18"/>
          <w:szCs w:val="18"/>
        </w:rPr>
        <w:t>3</w:t>
      </w:r>
      <w:r w:rsidRPr="002B59B9">
        <w:rPr>
          <w:rFonts w:cs="Times New Roman" w:hint="eastAsia"/>
          <w:sz w:val="18"/>
          <w:szCs w:val="18"/>
        </w:rPr>
        <w:t>）金融资产转移的确认依据和计量方法</w:t>
      </w:r>
    </w:p>
    <w:p w:rsidR="008D4B2E" w:rsidRPr="002B59B9" w:rsidRDefault="008D4B2E" w:rsidP="00B818D2">
      <w:pPr>
        <w:pStyle w:val="a3"/>
        <w:spacing w:before="0" w:beforeAutospacing="0" w:after="0" w:afterAutospacing="0"/>
        <w:ind w:firstLine="400"/>
        <w:divId w:val="1726097854"/>
        <w:rPr>
          <w:rFonts w:cs="Times New Roman"/>
          <w:sz w:val="18"/>
          <w:szCs w:val="18"/>
        </w:rPr>
      </w:pPr>
      <w:r w:rsidRPr="002B59B9">
        <w:rPr>
          <w:rFonts w:cs="Times New Roman" w:hint="eastAsia"/>
          <w:sz w:val="18"/>
          <w:szCs w:val="18"/>
        </w:rPr>
        <w:t>满足下列条件之一的金融资产，予以终止确认：①</w:t>
      </w:r>
      <w:r w:rsidRPr="002B59B9">
        <w:rPr>
          <w:rFonts w:cs="Times New Roman"/>
          <w:sz w:val="18"/>
          <w:szCs w:val="18"/>
        </w:rPr>
        <w:t> </w:t>
      </w:r>
      <w:r w:rsidRPr="002B59B9">
        <w:rPr>
          <w:rFonts w:cs="Times New Roman" w:hint="eastAsia"/>
          <w:sz w:val="18"/>
          <w:szCs w:val="18"/>
        </w:rPr>
        <w:t>收取该金融资产现金流量的合同权利终止；②</w:t>
      </w:r>
      <w:r w:rsidRPr="002B59B9">
        <w:rPr>
          <w:rFonts w:cs="Times New Roman"/>
          <w:sz w:val="18"/>
          <w:szCs w:val="18"/>
        </w:rPr>
        <w:t> </w:t>
      </w:r>
      <w:r w:rsidRPr="002B59B9">
        <w:rPr>
          <w:rFonts w:cs="Times New Roman" w:hint="eastAsia"/>
          <w:sz w:val="18"/>
          <w:szCs w:val="18"/>
        </w:rPr>
        <w:t>该金融资产已转移，且将金融资产所有权上几乎所有的风险和报酬转移给转入方；③该金融资产已转移，虽然企业既没有转移也没有保留金融资产所有权上几乎所有的风险和报酬，但是放弃了对该金融资产的控制。</w:t>
      </w:r>
    </w:p>
    <w:p w:rsidR="008D4B2E" w:rsidRPr="002B59B9" w:rsidRDefault="008D4B2E" w:rsidP="00B818D2">
      <w:pPr>
        <w:pStyle w:val="a3"/>
        <w:spacing w:before="0" w:beforeAutospacing="0" w:after="0" w:afterAutospacing="0"/>
        <w:ind w:firstLine="400"/>
        <w:divId w:val="1726097854"/>
        <w:rPr>
          <w:rFonts w:cs="Times New Roman"/>
          <w:sz w:val="18"/>
          <w:szCs w:val="18"/>
        </w:rPr>
      </w:pPr>
      <w:r w:rsidRPr="002B59B9">
        <w:rPr>
          <w:rFonts w:cs="Times New Roman" w:hint="eastAsia"/>
          <w:sz w:val="18"/>
          <w:szCs w:val="18"/>
        </w:rPr>
        <w:lastRenderedPageBreak/>
        <w:t>若企业既没有转移也没有保留金融资产所有权上几乎所有的风险和报酬，且未放弃对该金融资产的控制的，则按照继续涉入所转移金融资产的程度确认有关金融资产，并相应确认有关负债。继续涉入所转移金融资产的程度，是指该金融资产价值变动使企业面临的风险水平。</w:t>
      </w:r>
    </w:p>
    <w:p w:rsidR="008D4B2E" w:rsidRPr="002B59B9" w:rsidRDefault="008D4B2E" w:rsidP="00B818D2">
      <w:pPr>
        <w:pStyle w:val="a3"/>
        <w:spacing w:before="0" w:beforeAutospacing="0" w:after="0" w:afterAutospacing="0"/>
        <w:ind w:firstLine="400"/>
        <w:divId w:val="1726097854"/>
        <w:rPr>
          <w:rFonts w:cs="Times New Roman"/>
          <w:sz w:val="18"/>
          <w:szCs w:val="18"/>
        </w:rPr>
      </w:pPr>
      <w:r w:rsidRPr="002B59B9">
        <w:rPr>
          <w:rFonts w:cs="Times New Roman" w:hint="eastAsia"/>
          <w:sz w:val="18"/>
          <w:szCs w:val="18"/>
        </w:rPr>
        <w:t>金融资产整体转移满足终止确认条件的，将所转移金融资产的账面价值及因转移而收到的对价与原计入其他综合收益的公允价值变动累计额之和的差额计入当期损益。</w:t>
      </w:r>
    </w:p>
    <w:p w:rsidR="008D4B2E" w:rsidRPr="002B59B9" w:rsidRDefault="008D4B2E" w:rsidP="00B818D2">
      <w:pPr>
        <w:pStyle w:val="a3"/>
        <w:spacing w:before="0" w:beforeAutospacing="0" w:after="0" w:afterAutospacing="0"/>
        <w:ind w:firstLine="400"/>
        <w:divId w:val="1726097854"/>
        <w:rPr>
          <w:rFonts w:cs="Times New Roman"/>
          <w:sz w:val="18"/>
          <w:szCs w:val="18"/>
        </w:rPr>
      </w:pPr>
      <w:r w:rsidRPr="002B59B9">
        <w:rPr>
          <w:rFonts w:cs="Times New Roman" w:hint="eastAsia"/>
          <w:sz w:val="18"/>
          <w:szCs w:val="18"/>
        </w:rPr>
        <w:t>金融资产部分转移满足终止确认条件的，将所转移金融资产的账面价值在终止确认及未终止确认部分之间按其相对的公允价值进行分摊，并将因转移而收到的对价与应分摊至终止确认部分的原计入其他综合收益的公允价值变动累计额之和与分摊的前述账面金额之差额计入当期损益。</w:t>
      </w:r>
    </w:p>
    <w:p w:rsidR="008D4B2E" w:rsidRPr="002B59B9" w:rsidRDefault="008D4B2E" w:rsidP="00B818D2">
      <w:pPr>
        <w:pStyle w:val="a3"/>
        <w:spacing w:before="0" w:beforeAutospacing="0" w:after="0" w:afterAutospacing="0"/>
        <w:ind w:firstLine="400"/>
        <w:divId w:val="1726097854"/>
        <w:rPr>
          <w:rFonts w:cs="Times New Roman"/>
          <w:sz w:val="18"/>
          <w:szCs w:val="18"/>
        </w:rPr>
      </w:pPr>
      <w:r w:rsidRPr="002B59B9">
        <w:rPr>
          <w:rFonts w:cs="Times New Roman" w:hint="eastAsia"/>
          <w:sz w:val="18"/>
          <w:szCs w:val="18"/>
        </w:rPr>
        <w:t>本公司对采用附追索</w:t>
      </w:r>
      <w:proofErr w:type="gramStart"/>
      <w:r w:rsidRPr="002B59B9">
        <w:rPr>
          <w:rFonts w:cs="Times New Roman" w:hint="eastAsia"/>
          <w:sz w:val="18"/>
          <w:szCs w:val="18"/>
        </w:rPr>
        <w:t>权方式</w:t>
      </w:r>
      <w:proofErr w:type="gramEnd"/>
      <w:r w:rsidRPr="002B59B9">
        <w:rPr>
          <w:rFonts w:cs="Times New Roman" w:hint="eastAsia"/>
          <w:sz w:val="18"/>
          <w:szCs w:val="18"/>
        </w:rPr>
        <w:t>出售的金融资产，或将持有的金融资产背书转让，需确定该金融资产所有权上几乎所有的风险和报酬是否已经转移。已将该金融资产所有权上几乎所有的风险和报酬转移给转入方的，终止确认该金融资产；保留了金融资产所有权上几乎所有的风险和报酬的，不终止确认该金融资产；既没有转移也没有保留金融资产所有权上几乎所有的风险和报酬的，则继续判断企业是否对该资产保留了控制，并根据前面各段所述的原则进行会计处理。</w:t>
      </w:r>
    </w:p>
    <w:p w:rsidR="008D4B2E" w:rsidRPr="002B59B9" w:rsidRDefault="008D4B2E" w:rsidP="00B818D2">
      <w:pPr>
        <w:pStyle w:val="a3"/>
        <w:spacing w:before="0" w:beforeAutospacing="0" w:after="0" w:afterAutospacing="0"/>
        <w:ind w:firstLine="400"/>
        <w:divId w:val="1726097854"/>
        <w:rPr>
          <w:rFonts w:cs="Times New Roman"/>
          <w:sz w:val="18"/>
          <w:szCs w:val="18"/>
        </w:rPr>
      </w:pPr>
      <w:r w:rsidRPr="002B59B9">
        <w:rPr>
          <w:rFonts w:cs="Times New Roman" w:hint="eastAsia"/>
          <w:sz w:val="18"/>
          <w:szCs w:val="18"/>
        </w:rPr>
        <w:t>（</w:t>
      </w:r>
      <w:r w:rsidRPr="002B59B9">
        <w:rPr>
          <w:rFonts w:cs="Times New Roman"/>
          <w:sz w:val="18"/>
          <w:szCs w:val="18"/>
        </w:rPr>
        <w:t>4</w:t>
      </w:r>
      <w:r w:rsidRPr="002B59B9">
        <w:rPr>
          <w:rFonts w:cs="Times New Roman" w:hint="eastAsia"/>
          <w:sz w:val="18"/>
          <w:szCs w:val="18"/>
        </w:rPr>
        <w:t>）金融负债的终止确认</w:t>
      </w:r>
    </w:p>
    <w:p w:rsidR="008D4B2E" w:rsidRPr="002B59B9" w:rsidRDefault="008D4B2E" w:rsidP="00B818D2">
      <w:pPr>
        <w:pStyle w:val="a3"/>
        <w:spacing w:before="0" w:beforeAutospacing="0" w:after="0" w:afterAutospacing="0"/>
        <w:ind w:firstLine="400"/>
        <w:divId w:val="1726097854"/>
        <w:rPr>
          <w:rFonts w:cs="Times New Roman"/>
          <w:sz w:val="18"/>
          <w:szCs w:val="18"/>
        </w:rPr>
      </w:pPr>
      <w:r w:rsidRPr="002B59B9">
        <w:rPr>
          <w:rFonts w:cs="Times New Roman" w:hint="eastAsia"/>
          <w:sz w:val="18"/>
          <w:szCs w:val="18"/>
        </w:rPr>
        <w:t>金融负债（或其一部分）的现时义务已经解除的，本公司终止确认该金融负债（或该部分金融负债）。本公司（借入方）与借出方签订协议，以承担新金融负债的方式替换原金融负债，且新金融负债与原金融负债的合同条款实质上不同的，终止确认原金融负债，同时确认一项新金融负债。本公司对</w:t>
      </w:r>
      <w:proofErr w:type="gramStart"/>
      <w:r w:rsidRPr="002B59B9">
        <w:rPr>
          <w:rFonts w:cs="Times New Roman" w:hint="eastAsia"/>
          <w:sz w:val="18"/>
          <w:szCs w:val="18"/>
        </w:rPr>
        <w:t>原金融</w:t>
      </w:r>
      <w:proofErr w:type="gramEnd"/>
      <w:r w:rsidRPr="002B59B9">
        <w:rPr>
          <w:rFonts w:cs="Times New Roman" w:hint="eastAsia"/>
          <w:sz w:val="18"/>
          <w:szCs w:val="18"/>
        </w:rPr>
        <w:t>负债（或其一部分）的合同条款</w:t>
      </w:r>
      <w:proofErr w:type="gramStart"/>
      <w:r w:rsidRPr="002B59B9">
        <w:rPr>
          <w:rFonts w:cs="Times New Roman" w:hint="eastAsia"/>
          <w:sz w:val="18"/>
          <w:szCs w:val="18"/>
        </w:rPr>
        <w:t>作出</w:t>
      </w:r>
      <w:proofErr w:type="gramEnd"/>
      <w:r w:rsidRPr="002B59B9">
        <w:rPr>
          <w:rFonts w:cs="Times New Roman" w:hint="eastAsia"/>
          <w:sz w:val="18"/>
          <w:szCs w:val="18"/>
        </w:rPr>
        <w:t>实质性修改的，终止确认</w:t>
      </w:r>
      <w:proofErr w:type="gramStart"/>
      <w:r w:rsidRPr="002B59B9">
        <w:rPr>
          <w:rFonts w:cs="Times New Roman" w:hint="eastAsia"/>
          <w:sz w:val="18"/>
          <w:szCs w:val="18"/>
        </w:rPr>
        <w:t>原金融</w:t>
      </w:r>
      <w:proofErr w:type="gramEnd"/>
      <w:r w:rsidRPr="002B59B9">
        <w:rPr>
          <w:rFonts w:cs="Times New Roman" w:hint="eastAsia"/>
          <w:sz w:val="18"/>
          <w:szCs w:val="18"/>
        </w:rPr>
        <w:t>负债，同时按照修改后的条款确认一项新金融负债。</w:t>
      </w:r>
    </w:p>
    <w:p w:rsidR="008D4B2E" w:rsidRPr="002B59B9" w:rsidRDefault="008D4B2E" w:rsidP="00B818D2">
      <w:pPr>
        <w:pStyle w:val="a3"/>
        <w:spacing w:before="0" w:beforeAutospacing="0" w:after="0" w:afterAutospacing="0"/>
        <w:ind w:firstLine="400"/>
        <w:divId w:val="1726097854"/>
        <w:rPr>
          <w:rFonts w:cs="Times New Roman"/>
          <w:sz w:val="18"/>
          <w:szCs w:val="18"/>
        </w:rPr>
      </w:pPr>
      <w:r w:rsidRPr="002B59B9">
        <w:rPr>
          <w:rFonts w:cs="Times New Roman" w:hint="eastAsia"/>
          <w:sz w:val="18"/>
          <w:szCs w:val="18"/>
        </w:rPr>
        <w:t>金融负债（或其一部分）终止确认的，本公司将其账面价值与支付的对价（包括转出的非现金资产或承担的负债）之间的差额，计入当期损益。</w:t>
      </w:r>
    </w:p>
    <w:p w:rsidR="008D4B2E" w:rsidRPr="002B59B9" w:rsidRDefault="008D4B2E" w:rsidP="00B818D2">
      <w:pPr>
        <w:pStyle w:val="a3"/>
        <w:spacing w:before="0" w:beforeAutospacing="0" w:after="0" w:afterAutospacing="0"/>
        <w:ind w:firstLine="400"/>
        <w:divId w:val="1726097854"/>
        <w:rPr>
          <w:rFonts w:cs="Times New Roman"/>
          <w:sz w:val="18"/>
          <w:szCs w:val="18"/>
        </w:rPr>
      </w:pPr>
      <w:r w:rsidRPr="002B59B9">
        <w:rPr>
          <w:rFonts w:cs="Times New Roman" w:hint="eastAsia"/>
          <w:sz w:val="18"/>
          <w:szCs w:val="18"/>
        </w:rPr>
        <w:t>（</w:t>
      </w:r>
      <w:r w:rsidRPr="002B59B9">
        <w:rPr>
          <w:rFonts w:cs="Times New Roman"/>
          <w:sz w:val="18"/>
          <w:szCs w:val="18"/>
        </w:rPr>
        <w:t>5</w:t>
      </w:r>
      <w:r w:rsidRPr="002B59B9">
        <w:rPr>
          <w:rFonts w:cs="Times New Roman" w:hint="eastAsia"/>
          <w:sz w:val="18"/>
          <w:szCs w:val="18"/>
        </w:rPr>
        <w:t>）金融资产和金融负债的</w:t>
      </w:r>
      <w:proofErr w:type="gramStart"/>
      <w:r w:rsidRPr="002B59B9">
        <w:rPr>
          <w:rFonts w:cs="Times New Roman" w:hint="eastAsia"/>
          <w:sz w:val="18"/>
          <w:szCs w:val="18"/>
        </w:rPr>
        <w:t>抵销</w:t>
      </w:r>
      <w:proofErr w:type="gramEnd"/>
    </w:p>
    <w:p w:rsidR="008D4B2E" w:rsidRPr="002B59B9" w:rsidRDefault="008D4B2E" w:rsidP="00B818D2">
      <w:pPr>
        <w:pStyle w:val="a3"/>
        <w:spacing w:before="0" w:beforeAutospacing="0" w:after="0" w:afterAutospacing="0"/>
        <w:ind w:firstLine="400"/>
        <w:divId w:val="1726097854"/>
        <w:rPr>
          <w:rFonts w:cs="Times New Roman"/>
          <w:sz w:val="18"/>
          <w:szCs w:val="18"/>
        </w:rPr>
      </w:pPr>
      <w:r w:rsidRPr="002B59B9">
        <w:rPr>
          <w:rFonts w:cs="Times New Roman" w:hint="eastAsia"/>
          <w:sz w:val="18"/>
          <w:szCs w:val="18"/>
        </w:rPr>
        <w:t>当本公司具有</w:t>
      </w:r>
      <w:proofErr w:type="gramStart"/>
      <w:r w:rsidRPr="002B59B9">
        <w:rPr>
          <w:rFonts w:cs="Times New Roman" w:hint="eastAsia"/>
          <w:sz w:val="18"/>
          <w:szCs w:val="18"/>
        </w:rPr>
        <w:t>抵销</w:t>
      </w:r>
      <w:proofErr w:type="gramEnd"/>
      <w:r w:rsidRPr="002B59B9">
        <w:rPr>
          <w:rFonts w:cs="Times New Roman" w:hint="eastAsia"/>
          <w:sz w:val="18"/>
          <w:szCs w:val="18"/>
        </w:rPr>
        <w:t>已确认金额的金融资产和金融负债的法定权利，且该种法定权利是当前可执行的，同时本公司计划以净额结算或同时变现该金融资产和清偿该金融负债时，金融资产和金融负债以相互</w:t>
      </w:r>
      <w:proofErr w:type="gramStart"/>
      <w:r w:rsidRPr="002B59B9">
        <w:rPr>
          <w:rFonts w:cs="Times New Roman" w:hint="eastAsia"/>
          <w:sz w:val="18"/>
          <w:szCs w:val="18"/>
        </w:rPr>
        <w:t>抵销</w:t>
      </w:r>
      <w:proofErr w:type="gramEnd"/>
      <w:r w:rsidRPr="002B59B9">
        <w:rPr>
          <w:rFonts w:cs="Times New Roman" w:hint="eastAsia"/>
          <w:sz w:val="18"/>
          <w:szCs w:val="18"/>
        </w:rPr>
        <w:t>后的净额在资产负债表内列示。除此以外，金融资产和金融负债在资产负债表内分别列示，不予相互</w:t>
      </w:r>
      <w:proofErr w:type="gramStart"/>
      <w:r w:rsidRPr="002B59B9">
        <w:rPr>
          <w:rFonts w:cs="Times New Roman" w:hint="eastAsia"/>
          <w:sz w:val="18"/>
          <w:szCs w:val="18"/>
        </w:rPr>
        <w:t>抵销</w:t>
      </w:r>
      <w:proofErr w:type="gramEnd"/>
      <w:r w:rsidRPr="002B59B9">
        <w:rPr>
          <w:rFonts w:cs="Times New Roman" w:hint="eastAsia"/>
          <w:sz w:val="18"/>
          <w:szCs w:val="18"/>
        </w:rPr>
        <w:t>。</w:t>
      </w:r>
    </w:p>
    <w:p w:rsidR="008D4B2E" w:rsidRPr="002B59B9" w:rsidRDefault="008D4B2E" w:rsidP="00B818D2">
      <w:pPr>
        <w:pStyle w:val="a3"/>
        <w:spacing w:before="0" w:beforeAutospacing="0" w:after="0" w:afterAutospacing="0"/>
        <w:ind w:firstLine="400"/>
        <w:jc w:val="both"/>
        <w:divId w:val="1726097854"/>
        <w:rPr>
          <w:rFonts w:cs="Times New Roman"/>
          <w:sz w:val="18"/>
          <w:szCs w:val="18"/>
        </w:rPr>
      </w:pPr>
      <w:r w:rsidRPr="002B59B9">
        <w:rPr>
          <w:rFonts w:cs="Times New Roman" w:hint="eastAsia"/>
          <w:sz w:val="18"/>
          <w:szCs w:val="18"/>
        </w:rPr>
        <w:t>（</w:t>
      </w:r>
      <w:r w:rsidRPr="002B59B9">
        <w:rPr>
          <w:rFonts w:cs="Times New Roman"/>
          <w:sz w:val="18"/>
          <w:szCs w:val="18"/>
        </w:rPr>
        <w:t>6</w:t>
      </w:r>
      <w:r w:rsidRPr="002B59B9">
        <w:rPr>
          <w:rFonts w:cs="Times New Roman" w:hint="eastAsia"/>
          <w:sz w:val="18"/>
          <w:szCs w:val="18"/>
        </w:rPr>
        <w:t>）金融资产和金融负债的公允价值确定方法</w:t>
      </w:r>
    </w:p>
    <w:p w:rsidR="008D4B2E" w:rsidRPr="002B59B9" w:rsidRDefault="008D4B2E" w:rsidP="00B818D2">
      <w:pPr>
        <w:pStyle w:val="a3"/>
        <w:spacing w:before="0" w:beforeAutospacing="0" w:after="0" w:afterAutospacing="0"/>
        <w:ind w:firstLine="400"/>
        <w:jc w:val="both"/>
        <w:divId w:val="1726097854"/>
        <w:rPr>
          <w:rFonts w:cs="Times New Roman"/>
          <w:sz w:val="18"/>
          <w:szCs w:val="18"/>
        </w:rPr>
      </w:pPr>
      <w:r w:rsidRPr="002B59B9">
        <w:rPr>
          <w:rFonts w:cs="Times New Roman" w:hint="eastAsia"/>
          <w:sz w:val="18"/>
          <w:szCs w:val="18"/>
        </w:rPr>
        <w:t>公允价值，是指市场参与者在计量日发生的有序交易中，出售一项资产所能收到或者转移一项负债所需支付的价格。金融工具存在活跃市场的，本公司采用活跃市场中的报价确定其公允价值。活跃市场中的报价是指易于定期从交易所、经纪商、行业协会、定价服务机构等获得的价格，且代表了在公平交易中实际发生的市场交易的价格。金融工具不存在活跃市场的，本公司采用估值技术确定其公允价值。估值技术包括参考熟悉情况并自愿交易的各方最近进行的市场交易中使用的价格、参照实质上相同的其他金融工具当前的公允价值、现金流量折现法和期权定价模型等。在估值时，公司采用在当前情况下适用并且有足够可利用数据和其他信息支持的估值技术，选择与市场参与者在相关资产或负债的交易中所考虑的资产或负债特征相一致的输入值，并尽可能优先使用相关可观察输入值。在相关可观察输入值无法取得或取得不切实可行的情况下，使用不可输入值。</w:t>
      </w:r>
    </w:p>
    <w:p w:rsidR="008D4B2E" w:rsidRPr="002B59B9" w:rsidRDefault="008D4B2E" w:rsidP="00B818D2">
      <w:pPr>
        <w:pStyle w:val="a3"/>
        <w:spacing w:before="0" w:beforeAutospacing="0" w:after="0" w:afterAutospacing="0"/>
        <w:ind w:firstLine="400"/>
        <w:divId w:val="1726097854"/>
        <w:rPr>
          <w:rFonts w:cs="Times New Roman"/>
          <w:sz w:val="18"/>
          <w:szCs w:val="18"/>
        </w:rPr>
      </w:pPr>
      <w:r w:rsidRPr="002B59B9">
        <w:rPr>
          <w:rFonts w:cs="Times New Roman" w:hint="eastAsia"/>
          <w:sz w:val="18"/>
          <w:szCs w:val="18"/>
        </w:rPr>
        <w:t>（</w:t>
      </w:r>
      <w:r w:rsidRPr="002B59B9">
        <w:rPr>
          <w:rFonts w:cs="Times New Roman"/>
          <w:sz w:val="18"/>
          <w:szCs w:val="18"/>
        </w:rPr>
        <w:t>7</w:t>
      </w:r>
      <w:r w:rsidRPr="002B59B9">
        <w:rPr>
          <w:rFonts w:cs="Times New Roman" w:hint="eastAsia"/>
          <w:sz w:val="18"/>
          <w:szCs w:val="18"/>
        </w:rPr>
        <w:t>）权益工具</w:t>
      </w:r>
    </w:p>
    <w:p w:rsidR="008D4B2E" w:rsidRPr="002B59B9" w:rsidRDefault="008D4B2E" w:rsidP="00B818D2">
      <w:pPr>
        <w:pStyle w:val="a3"/>
        <w:spacing w:before="0" w:beforeAutospacing="0" w:after="0" w:afterAutospacing="0"/>
        <w:ind w:firstLine="400"/>
        <w:divId w:val="1726097854"/>
        <w:rPr>
          <w:rFonts w:cs="Times New Roman"/>
          <w:sz w:val="18"/>
          <w:szCs w:val="18"/>
        </w:rPr>
      </w:pPr>
      <w:r w:rsidRPr="002B59B9">
        <w:rPr>
          <w:rFonts w:cs="Times New Roman" w:hint="eastAsia"/>
          <w:sz w:val="18"/>
          <w:szCs w:val="18"/>
        </w:rPr>
        <w:t>权益工具是指能证明拥有本公司在扣除所有负债后的资产中的剩余权益的合同。本公司发行（</w:t>
      </w:r>
      <w:proofErr w:type="gramStart"/>
      <w:r w:rsidRPr="002B59B9">
        <w:rPr>
          <w:rFonts w:cs="Times New Roman" w:hint="eastAsia"/>
          <w:sz w:val="18"/>
          <w:szCs w:val="18"/>
        </w:rPr>
        <w:t>含再融资</w:t>
      </w:r>
      <w:proofErr w:type="gramEnd"/>
      <w:r w:rsidRPr="002B59B9">
        <w:rPr>
          <w:rFonts w:cs="Times New Roman" w:hint="eastAsia"/>
          <w:sz w:val="18"/>
          <w:szCs w:val="18"/>
        </w:rPr>
        <w:t>）、回购、出售或注销权益工具作为权益的变动处理，与权益性交易相关的交易费用从权益中扣减。本公司不确认权益工具的公允价值变动。</w:t>
      </w:r>
    </w:p>
    <w:p w:rsidR="008D4B2E" w:rsidRDefault="008D4B2E" w:rsidP="00B818D2">
      <w:pPr>
        <w:pStyle w:val="a3"/>
        <w:spacing w:before="0" w:beforeAutospacing="0" w:after="0" w:afterAutospacing="0"/>
        <w:ind w:firstLine="400"/>
        <w:divId w:val="1726097854"/>
        <w:rPr>
          <w:rFonts w:ascii="Arial" w:hAnsi="Arial" w:cs="Arial"/>
          <w:sz w:val="18"/>
          <w:szCs w:val="18"/>
        </w:rPr>
      </w:pPr>
      <w:r w:rsidRPr="002B59B9">
        <w:rPr>
          <w:rFonts w:cs="Times New Roman" w:hint="eastAsia"/>
          <w:sz w:val="18"/>
          <w:szCs w:val="18"/>
        </w:rPr>
        <w:t>本公司权益工具在存续期间分派股利（含分类为权益工具的工具所产生的</w:t>
      </w:r>
      <w:r w:rsidRPr="002B59B9">
        <w:rPr>
          <w:rFonts w:cs="Times New Roman"/>
          <w:sz w:val="18"/>
          <w:szCs w:val="18"/>
        </w:rPr>
        <w:t>“</w:t>
      </w:r>
      <w:r w:rsidRPr="002B59B9">
        <w:rPr>
          <w:rFonts w:cs="Times New Roman" w:hint="eastAsia"/>
          <w:sz w:val="18"/>
          <w:szCs w:val="18"/>
        </w:rPr>
        <w:t>利息</w:t>
      </w:r>
      <w:r w:rsidRPr="002B59B9">
        <w:rPr>
          <w:rFonts w:cs="Times New Roman"/>
          <w:sz w:val="18"/>
          <w:szCs w:val="18"/>
        </w:rPr>
        <w:t>”</w:t>
      </w:r>
      <w:r w:rsidRPr="002B59B9">
        <w:rPr>
          <w:rFonts w:cs="Times New Roman" w:hint="eastAsia"/>
          <w:sz w:val="18"/>
          <w:szCs w:val="18"/>
        </w:rPr>
        <w:t>）的，作为利润分配处理。</w:t>
      </w:r>
    </w:p>
    <w:p w:rsidR="008D4B2E" w:rsidRDefault="008D4B2E" w:rsidP="00B818D2">
      <w:pPr>
        <w:pStyle w:val="a3"/>
        <w:spacing w:before="0" w:beforeAutospacing="0" w:after="0" w:afterAutospacing="0"/>
        <w:ind w:firstLine="402"/>
        <w:jc w:val="both"/>
        <w:divId w:val="1726097854"/>
        <w:rPr>
          <w:rFonts w:ascii="Arial" w:hAnsi="Arial" w:cs="Arial"/>
          <w:sz w:val="20"/>
          <w:szCs w:val="20"/>
        </w:rPr>
      </w:pPr>
      <w:r>
        <w:rPr>
          <w:rStyle w:val="a4"/>
          <w:rFonts w:cs="Arial" w:hint="eastAsia"/>
          <w:sz w:val="20"/>
          <w:szCs w:val="20"/>
        </w:rPr>
        <w:t>金融资产减值</w:t>
      </w:r>
    </w:p>
    <w:p w:rsidR="008D4B2E" w:rsidRPr="002B59B9" w:rsidRDefault="008D4B2E" w:rsidP="00B818D2">
      <w:pPr>
        <w:pStyle w:val="a3"/>
        <w:spacing w:before="0" w:beforeAutospacing="0" w:after="0" w:afterAutospacing="0"/>
        <w:ind w:firstLine="400"/>
        <w:jc w:val="both"/>
        <w:divId w:val="1726097854"/>
        <w:rPr>
          <w:rFonts w:cs="Times New Roman"/>
          <w:sz w:val="18"/>
          <w:szCs w:val="18"/>
        </w:rPr>
      </w:pPr>
      <w:r w:rsidRPr="002B59B9">
        <w:rPr>
          <w:rFonts w:cs="Times New Roman" w:hint="eastAsia"/>
          <w:sz w:val="18"/>
          <w:szCs w:val="18"/>
        </w:rPr>
        <w:t>本公司需确认减值损失的金融资产系以摊</w:t>
      </w:r>
      <w:proofErr w:type="gramStart"/>
      <w:r w:rsidRPr="002B59B9">
        <w:rPr>
          <w:rFonts w:cs="Times New Roman" w:hint="eastAsia"/>
          <w:sz w:val="18"/>
          <w:szCs w:val="18"/>
        </w:rPr>
        <w:t>余成本</w:t>
      </w:r>
      <w:proofErr w:type="gramEnd"/>
      <w:r w:rsidRPr="002B59B9">
        <w:rPr>
          <w:rFonts w:cs="Times New Roman" w:hint="eastAsia"/>
          <w:sz w:val="18"/>
          <w:szCs w:val="18"/>
        </w:rPr>
        <w:t>计量的金融资产、以公允价值计量且其变动计入其他综合收益的债务工具投资，主要包括应收票据、应收账款、其他应收款、债权投资、其他债权投资、长期应收款等。此外，对部分财务担保合同，也按照本部分所述会计政策计提减值准备和确认信用减值损失。</w:t>
      </w:r>
    </w:p>
    <w:p w:rsidR="008D4B2E" w:rsidRPr="002B59B9" w:rsidRDefault="008D4B2E" w:rsidP="00B818D2">
      <w:pPr>
        <w:pStyle w:val="a3"/>
        <w:spacing w:before="0" w:beforeAutospacing="0" w:after="0" w:afterAutospacing="0"/>
        <w:ind w:firstLine="400"/>
        <w:jc w:val="both"/>
        <w:divId w:val="1726097854"/>
        <w:rPr>
          <w:rFonts w:cs="Times New Roman"/>
          <w:sz w:val="18"/>
          <w:szCs w:val="18"/>
        </w:rPr>
      </w:pPr>
      <w:r w:rsidRPr="002B59B9">
        <w:rPr>
          <w:rFonts w:cs="Times New Roman" w:hint="eastAsia"/>
          <w:sz w:val="18"/>
          <w:szCs w:val="18"/>
        </w:rPr>
        <w:t>（</w:t>
      </w:r>
      <w:r w:rsidRPr="002B59B9">
        <w:rPr>
          <w:rFonts w:cs="Times New Roman"/>
          <w:sz w:val="18"/>
          <w:szCs w:val="18"/>
        </w:rPr>
        <w:t>1</w:t>
      </w:r>
      <w:r w:rsidRPr="002B59B9">
        <w:rPr>
          <w:rFonts w:cs="Times New Roman" w:hint="eastAsia"/>
          <w:sz w:val="18"/>
          <w:szCs w:val="18"/>
        </w:rPr>
        <w:t>）减值准备的确认和计量</w:t>
      </w:r>
    </w:p>
    <w:p w:rsidR="008D4B2E" w:rsidRPr="002B59B9" w:rsidRDefault="008D4B2E" w:rsidP="00B818D2">
      <w:pPr>
        <w:pStyle w:val="a3"/>
        <w:spacing w:before="0" w:beforeAutospacing="0" w:after="0" w:afterAutospacing="0"/>
        <w:ind w:firstLine="400"/>
        <w:jc w:val="both"/>
        <w:divId w:val="1726097854"/>
        <w:rPr>
          <w:rFonts w:cs="Times New Roman"/>
          <w:sz w:val="18"/>
          <w:szCs w:val="18"/>
        </w:rPr>
      </w:pPr>
      <w:r w:rsidRPr="002B59B9">
        <w:rPr>
          <w:rFonts w:cs="Times New Roman" w:hint="eastAsia"/>
          <w:sz w:val="18"/>
          <w:szCs w:val="18"/>
        </w:rPr>
        <w:t>本公司以预期信用损失为基础，对上述各项</w:t>
      </w:r>
      <w:proofErr w:type="gramStart"/>
      <w:r w:rsidRPr="002B59B9">
        <w:rPr>
          <w:rFonts w:cs="Times New Roman" w:hint="eastAsia"/>
          <w:sz w:val="18"/>
          <w:szCs w:val="18"/>
        </w:rPr>
        <w:t>目按照</w:t>
      </w:r>
      <w:proofErr w:type="gramEnd"/>
      <w:r w:rsidRPr="002B59B9">
        <w:rPr>
          <w:rFonts w:cs="Times New Roman" w:hint="eastAsia"/>
          <w:sz w:val="18"/>
          <w:szCs w:val="18"/>
        </w:rPr>
        <w:t>其适用的预期信用损失计量方法计提减值准备并确认信用减值损失。</w:t>
      </w:r>
    </w:p>
    <w:p w:rsidR="008D4B2E" w:rsidRPr="002B59B9" w:rsidRDefault="008D4B2E" w:rsidP="00B818D2">
      <w:pPr>
        <w:pStyle w:val="a3"/>
        <w:spacing w:before="0" w:beforeAutospacing="0" w:after="0" w:afterAutospacing="0"/>
        <w:ind w:firstLine="400"/>
        <w:jc w:val="both"/>
        <w:divId w:val="1726097854"/>
        <w:rPr>
          <w:rFonts w:cs="Times New Roman"/>
          <w:sz w:val="18"/>
          <w:szCs w:val="18"/>
        </w:rPr>
      </w:pPr>
      <w:r w:rsidRPr="002B59B9">
        <w:rPr>
          <w:rFonts w:cs="Times New Roman" w:hint="eastAsia"/>
          <w:sz w:val="18"/>
          <w:szCs w:val="18"/>
        </w:rPr>
        <w:t>本公司在评估预期信用损失时，考虑所有合理且有依据的信息，包括前瞻性信息。</w:t>
      </w:r>
    </w:p>
    <w:p w:rsidR="008D4B2E" w:rsidRPr="002B59B9" w:rsidRDefault="008D4B2E" w:rsidP="00B818D2">
      <w:pPr>
        <w:pStyle w:val="a3"/>
        <w:spacing w:before="0" w:beforeAutospacing="0" w:after="0" w:afterAutospacing="0"/>
        <w:ind w:firstLine="400"/>
        <w:jc w:val="both"/>
        <w:divId w:val="1726097854"/>
        <w:rPr>
          <w:rFonts w:cs="Times New Roman"/>
          <w:sz w:val="18"/>
          <w:szCs w:val="18"/>
        </w:rPr>
      </w:pPr>
      <w:r w:rsidRPr="002B59B9">
        <w:rPr>
          <w:rFonts w:cs="Times New Roman" w:hint="eastAsia"/>
          <w:sz w:val="18"/>
          <w:szCs w:val="18"/>
        </w:rPr>
        <w:lastRenderedPageBreak/>
        <w:t>除了对于</w:t>
      </w:r>
      <w:proofErr w:type="gramStart"/>
      <w:r w:rsidRPr="002B59B9">
        <w:rPr>
          <w:rFonts w:cs="Times New Roman" w:hint="eastAsia"/>
          <w:sz w:val="18"/>
          <w:szCs w:val="18"/>
        </w:rPr>
        <w:t>购买或源生</w:t>
      </w:r>
      <w:proofErr w:type="gramEnd"/>
      <w:r w:rsidRPr="002B59B9">
        <w:rPr>
          <w:rFonts w:cs="Times New Roman" w:hint="eastAsia"/>
          <w:sz w:val="18"/>
          <w:szCs w:val="18"/>
        </w:rPr>
        <w:t>的已发生信用减值的金融资产以及始终按照相当于整个存续期内预期信用损失的金额计量损失准备的金融资产之外，本公司在每个资产负债表日评估金融工具的信用风险自初始确认后是否已经显著增加。</w:t>
      </w:r>
    </w:p>
    <w:p w:rsidR="008D4B2E" w:rsidRPr="002B59B9" w:rsidRDefault="008D4B2E" w:rsidP="00B818D2">
      <w:pPr>
        <w:pStyle w:val="a3"/>
        <w:spacing w:before="0" w:beforeAutospacing="0" w:after="0" w:afterAutospacing="0"/>
        <w:ind w:firstLine="400"/>
        <w:jc w:val="both"/>
        <w:divId w:val="1726097854"/>
        <w:rPr>
          <w:rFonts w:cs="Times New Roman"/>
          <w:sz w:val="18"/>
          <w:szCs w:val="18"/>
        </w:rPr>
      </w:pPr>
      <w:r w:rsidRPr="002B59B9">
        <w:rPr>
          <w:rFonts w:cs="Times New Roman" w:hint="eastAsia"/>
          <w:sz w:val="18"/>
          <w:szCs w:val="18"/>
        </w:rPr>
        <w:t>如果信用风险自初始确认后未显著增加，处于第一阶段，本公司按照未来</w:t>
      </w:r>
      <w:r w:rsidRPr="002B59B9">
        <w:rPr>
          <w:rFonts w:cs="Times New Roman"/>
          <w:sz w:val="18"/>
          <w:szCs w:val="18"/>
        </w:rPr>
        <w:t>12</w:t>
      </w:r>
      <w:r w:rsidRPr="002B59B9">
        <w:rPr>
          <w:rFonts w:cs="Times New Roman" w:hint="eastAsia"/>
          <w:sz w:val="18"/>
          <w:szCs w:val="18"/>
        </w:rPr>
        <w:t>个月内预期信用损失的金额计量损失准备；如果信用风险自初始确认后已显著增加但尚未发生信用减值，处于第二阶段，本公司按照相当于整个存续期内预期信用损失的金额计量损失准备；金融工具自初始确认后已发生信用减值的，处于第三阶段，本公司按照整个存续期的预期信用损失计量损失准备。</w:t>
      </w:r>
    </w:p>
    <w:p w:rsidR="008D4B2E" w:rsidRPr="002B59B9" w:rsidRDefault="008D4B2E" w:rsidP="00B818D2">
      <w:pPr>
        <w:pStyle w:val="a3"/>
        <w:spacing w:before="0" w:beforeAutospacing="0" w:after="0" w:afterAutospacing="0"/>
        <w:ind w:firstLine="400"/>
        <w:jc w:val="both"/>
        <w:divId w:val="1726097854"/>
        <w:rPr>
          <w:rFonts w:cs="Times New Roman"/>
          <w:sz w:val="18"/>
          <w:szCs w:val="18"/>
        </w:rPr>
      </w:pPr>
      <w:r w:rsidRPr="002B59B9">
        <w:rPr>
          <w:rFonts w:cs="Times New Roman" w:hint="eastAsia"/>
          <w:sz w:val="18"/>
          <w:szCs w:val="18"/>
        </w:rPr>
        <w:t>对于在资产负债表</w:t>
      </w:r>
      <w:proofErr w:type="gramStart"/>
      <w:r w:rsidRPr="002B59B9">
        <w:rPr>
          <w:rFonts w:cs="Times New Roman" w:hint="eastAsia"/>
          <w:sz w:val="18"/>
          <w:szCs w:val="18"/>
        </w:rPr>
        <w:t>日具有</w:t>
      </w:r>
      <w:proofErr w:type="gramEnd"/>
      <w:r w:rsidRPr="002B59B9">
        <w:rPr>
          <w:rFonts w:cs="Times New Roman" w:hint="eastAsia"/>
          <w:sz w:val="18"/>
          <w:szCs w:val="18"/>
        </w:rPr>
        <w:t>较低信用风险的金融工具，本公司假设其信用风险自初始确认后并未显著增加，按照未来</w:t>
      </w:r>
      <w:r w:rsidRPr="002B59B9">
        <w:rPr>
          <w:rFonts w:cs="Times New Roman"/>
          <w:sz w:val="18"/>
          <w:szCs w:val="18"/>
        </w:rPr>
        <w:t xml:space="preserve"> 12 </w:t>
      </w:r>
      <w:proofErr w:type="gramStart"/>
      <w:r w:rsidRPr="002B59B9">
        <w:rPr>
          <w:rFonts w:cs="Times New Roman" w:hint="eastAsia"/>
          <w:sz w:val="18"/>
          <w:szCs w:val="18"/>
        </w:rPr>
        <w:t>个</w:t>
      </w:r>
      <w:proofErr w:type="gramEnd"/>
      <w:r w:rsidRPr="002B59B9">
        <w:rPr>
          <w:rFonts w:cs="Times New Roman" w:hint="eastAsia"/>
          <w:sz w:val="18"/>
          <w:szCs w:val="18"/>
        </w:rPr>
        <w:t>月内的预期信用损失计量损失准备。</w:t>
      </w:r>
    </w:p>
    <w:p w:rsidR="008D4B2E" w:rsidRPr="002B59B9" w:rsidRDefault="008D4B2E" w:rsidP="00B818D2">
      <w:pPr>
        <w:pStyle w:val="a3"/>
        <w:spacing w:before="0" w:beforeAutospacing="0" w:after="0" w:afterAutospacing="0"/>
        <w:ind w:firstLine="400"/>
        <w:jc w:val="both"/>
        <w:divId w:val="1726097854"/>
        <w:rPr>
          <w:rFonts w:cs="Times New Roman"/>
          <w:sz w:val="18"/>
          <w:szCs w:val="18"/>
        </w:rPr>
      </w:pPr>
      <w:r w:rsidRPr="002B59B9">
        <w:rPr>
          <w:rFonts w:cs="Times New Roman" w:hint="eastAsia"/>
          <w:sz w:val="18"/>
          <w:szCs w:val="18"/>
        </w:rPr>
        <w:t>（</w:t>
      </w:r>
      <w:r w:rsidRPr="002B59B9">
        <w:rPr>
          <w:rFonts w:cs="Times New Roman"/>
          <w:sz w:val="18"/>
          <w:szCs w:val="18"/>
        </w:rPr>
        <w:t>2</w:t>
      </w:r>
      <w:r w:rsidRPr="002B59B9">
        <w:rPr>
          <w:rFonts w:cs="Times New Roman" w:hint="eastAsia"/>
          <w:sz w:val="18"/>
          <w:szCs w:val="18"/>
        </w:rPr>
        <w:t>）信用风险显著增加</w:t>
      </w:r>
    </w:p>
    <w:p w:rsidR="008D4B2E" w:rsidRPr="002B59B9" w:rsidRDefault="008D4B2E" w:rsidP="00B818D2">
      <w:pPr>
        <w:pStyle w:val="a3"/>
        <w:spacing w:before="0" w:beforeAutospacing="0" w:after="0" w:afterAutospacing="0"/>
        <w:ind w:firstLine="400"/>
        <w:jc w:val="both"/>
        <w:divId w:val="1726097854"/>
        <w:rPr>
          <w:rFonts w:cs="Times New Roman"/>
          <w:sz w:val="18"/>
          <w:szCs w:val="18"/>
        </w:rPr>
      </w:pPr>
      <w:r w:rsidRPr="002B59B9">
        <w:rPr>
          <w:rFonts w:cs="Times New Roman" w:hint="eastAsia"/>
          <w:sz w:val="18"/>
          <w:szCs w:val="18"/>
        </w:rPr>
        <w:t>本公司通过比较金融工具在初始确认时所确定的预计存续期内的违约概率和该工具在资产负债表日所确定的预计存续期内的违约概率，来判定金融工具信用风险是否显著增加。除特殊情形外，本公司采用未来</w:t>
      </w:r>
      <w:r w:rsidRPr="002B59B9">
        <w:rPr>
          <w:rFonts w:cs="Times New Roman"/>
          <w:sz w:val="18"/>
          <w:szCs w:val="18"/>
        </w:rPr>
        <w:t>12</w:t>
      </w:r>
      <w:r w:rsidRPr="002B59B9">
        <w:rPr>
          <w:rFonts w:cs="Times New Roman" w:hint="eastAsia"/>
          <w:sz w:val="18"/>
          <w:szCs w:val="18"/>
        </w:rPr>
        <w:t>个月内发生的违约风险的变化作为整个存续期内发生违约风险变化的合理估计，以确定自初始确认后信用风险是否已显著增加。</w:t>
      </w:r>
    </w:p>
    <w:p w:rsidR="008D4B2E" w:rsidRPr="002B59B9" w:rsidRDefault="008D4B2E" w:rsidP="00B818D2">
      <w:pPr>
        <w:pStyle w:val="a3"/>
        <w:spacing w:before="0" w:beforeAutospacing="0" w:after="0" w:afterAutospacing="0"/>
        <w:ind w:firstLine="400"/>
        <w:jc w:val="both"/>
        <w:divId w:val="1726097854"/>
        <w:rPr>
          <w:rFonts w:cs="Times New Roman"/>
          <w:sz w:val="18"/>
          <w:szCs w:val="18"/>
        </w:rPr>
      </w:pPr>
      <w:r w:rsidRPr="002B59B9">
        <w:rPr>
          <w:rFonts w:cs="Times New Roman" w:hint="eastAsia"/>
          <w:sz w:val="18"/>
          <w:szCs w:val="18"/>
        </w:rPr>
        <w:t>本公司在评估信用风险是否显著增加时会考虑如下因素：</w:t>
      </w:r>
    </w:p>
    <w:p w:rsidR="008D4B2E" w:rsidRPr="002B59B9" w:rsidRDefault="008D4B2E" w:rsidP="00B818D2">
      <w:pPr>
        <w:pStyle w:val="a3"/>
        <w:spacing w:before="0" w:beforeAutospacing="0" w:after="0" w:afterAutospacing="0"/>
        <w:ind w:firstLine="400"/>
        <w:jc w:val="both"/>
        <w:divId w:val="1726097854"/>
        <w:rPr>
          <w:rFonts w:cs="Times New Roman"/>
          <w:sz w:val="18"/>
          <w:szCs w:val="18"/>
        </w:rPr>
      </w:pPr>
      <w:r w:rsidRPr="002B59B9">
        <w:rPr>
          <w:rFonts w:cs="Times New Roman"/>
          <w:sz w:val="18"/>
          <w:szCs w:val="18"/>
        </w:rPr>
        <w:t>1</w:t>
      </w:r>
      <w:r w:rsidRPr="002B59B9">
        <w:rPr>
          <w:rFonts w:cs="Times New Roman" w:hint="eastAsia"/>
          <w:sz w:val="18"/>
          <w:szCs w:val="18"/>
        </w:rPr>
        <w:t>）</w:t>
      </w:r>
      <w:r w:rsidRPr="002B59B9">
        <w:rPr>
          <w:rFonts w:cs="Times New Roman"/>
          <w:sz w:val="18"/>
          <w:szCs w:val="18"/>
        </w:rPr>
        <w:t xml:space="preserve">  </w:t>
      </w:r>
      <w:r w:rsidRPr="002B59B9">
        <w:rPr>
          <w:rFonts w:cs="Times New Roman" w:hint="eastAsia"/>
          <w:sz w:val="18"/>
          <w:szCs w:val="18"/>
        </w:rPr>
        <w:t>债务人经营成果实际或预期是否发生显著变化；</w:t>
      </w:r>
    </w:p>
    <w:p w:rsidR="008D4B2E" w:rsidRPr="002B59B9" w:rsidRDefault="008D4B2E" w:rsidP="00B818D2">
      <w:pPr>
        <w:pStyle w:val="a3"/>
        <w:spacing w:before="0" w:beforeAutospacing="0" w:after="0" w:afterAutospacing="0"/>
        <w:ind w:firstLine="400"/>
        <w:jc w:val="both"/>
        <w:divId w:val="1726097854"/>
        <w:rPr>
          <w:rFonts w:cs="Times New Roman"/>
          <w:sz w:val="18"/>
          <w:szCs w:val="18"/>
        </w:rPr>
      </w:pPr>
      <w:r w:rsidRPr="002B59B9">
        <w:rPr>
          <w:rFonts w:cs="Times New Roman"/>
          <w:sz w:val="18"/>
          <w:szCs w:val="18"/>
        </w:rPr>
        <w:t>2</w:t>
      </w:r>
      <w:r w:rsidRPr="002B59B9">
        <w:rPr>
          <w:rFonts w:cs="Times New Roman" w:hint="eastAsia"/>
          <w:sz w:val="18"/>
          <w:szCs w:val="18"/>
        </w:rPr>
        <w:t>）</w:t>
      </w:r>
      <w:r w:rsidRPr="002B59B9">
        <w:rPr>
          <w:rFonts w:cs="Times New Roman"/>
          <w:sz w:val="18"/>
          <w:szCs w:val="18"/>
        </w:rPr>
        <w:t xml:space="preserve">  </w:t>
      </w:r>
      <w:r w:rsidRPr="002B59B9">
        <w:rPr>
          <w:rFonts w:cs="Times New Roman" w:hint="eastAsia"/>
          <w:sz w:val="18"/>
          <w:szCs w:val="18"/>
        </w:rPr>
        <w:t>债务人所处的监管、经济或技术环境是否发生显著不利变化；</w:t>
      </w:r>
    </w:p>
    <w:p w:rsidR="008D4B2E" w:rsidRPr="002B59B9" w:rsidRDefault="008D4B2E" w:rsidP="00B818D2">
      <w:pPr>
        <w:pStyle w:val="a3"/>
        <w:spacing w:before="0" w:beforeAutospacing="0" w:after="0" w:afterAutospacing="0"/>
        <w:ind w:firstLine="400"/>
        <w:jc w:val="both"/>
        <w:divId w:val="1726097854"/>
        <w:rPr>
          <w:rFonts w:cs="Times New Roman"/>
          <w:sz w:val="18"/>
          <w:szCs w:val="18"/>
        </w:rPr>
      </w:pPr>
      <w:r w:rsidRPr="002B59B9">
        <w:rPr>
          <w:rFonts w:cs="Times New Roman"/>
          <w:sz w:val="18"/>
          <w:szCs w:val="18"/>
        </w:rPr>
        <w:t>3</w:t>
      </w:r>
      <w:r w:rsidRPr="002B59B9">
        <w:rPr>
          <w:rFonts w:cs="Times New Roman" w:hint="eastAsia"/>
          <w:sz w:val="18"/>
          <w:szCs w:val="18"/>
        </w:rPr>
        <w:t>）</w:t>
      </w:r>
      <w:r w:rsidRPr="002B59B9">
        <w:rPr>
          <w:rFonts w:cs="Times New Roman"/>
          <w:sz w:val="18"/>
          <w:szCs w:val="18"/>
        </w:rPr>
        <w:t xml:space="preserve">  </w:t>
      </w:r>
      <w:r w:rsidRPr="002B59B9">
        <w:rPr>
          <w:rFonts w:cs="Times New Roman" w:hint="eastAsia"/>
          <w:sz w:val="18"/>
          <w:szCs w:val="18"/>
        </w:rPr>
        <w:t>作为债务抵押的担保物价值或第三方提供的担保或信用增级质量是否发生显著变化，这些变化预期将降低债务人按合同规定期限还款的经济动机或者影响违约概率；</w:t>
      </w:r>
    </w:p>
    <w:p w:rsidR="008D4B2E" w:rsidRPr="002B59B9" w:rsidRDefault="008D4B2E" w:rsidP="00B818D2">
      <w:pPr>
        <w:pStyle w:val="a3"/>
        <w:spacing w:before="0" w:beforeAutospacing="0" w:after="0" w:afterAutospacing="0"/>
        <w:ind w:firstLine="400"/>
        <w:jc w:val="both"/>
        <w:divId w:val="1726097854"/>
        <w:rPr>
          <w:rFonts w:cs="Times New Roman"/>
          <w:sz w:val="18"/>
          <w:szCs w:val="18"/>
        </w:rPr>
      </w:pPr>
      <w:r w:rsidRPr="002B59B9">
        <w:rPr>
          <w:rFonts w:cs="Times New Roman"/>
          <w:sz w:val="18"/>
          <w:szCs w:val="18"/>
        </w:rPr>
        <w:t>4</w:t>
      </w:r>
      <w:r w:rsidRPr="002B59B9">
        <w:rPr>
          <w:rFonts w:cs="Times New Roman" w:hint="eastAsia"/>
          <w:sz w:val="18"/>
          <w:szCs w:val="18"/>
        </w:rPr>
        <w:t>）</w:t>
      </w:r>
      <w:r w:rsidRPr="002B59B9">
        <w:rPr>
          <w:rFonts w:cs="Times New Roman"/>
          <w:sz w:val="18"/>
          <w:szCs w:val="18"/>
        </w:rPr>
        <w:t xml:space="preserve">  </w:t>
      </w:r>
      <w:r w:rsidRPr="002B59B9">
        <w:rPr>
          <w:rFonts w:cs="Times New Roman" w:hint="eastAsia"/>
          <w:sz w:val="18"/>
          <w:szCs w:val="18"/>
        </w:rPr>
        <w:t>债务人预期表现和还款行为是否发生显著变化；</w:t>
      </w:r>
    </w:p>
    <w:p w:rsidR="008D4B2E" w:rsidRPr="002B59B9" w:rsidRDefault="008D4B2E" w:rsidP="00B818D2">
      <w:pPr>
        <w:pStyle w:val="a3"/>
        <w:spacing w:before="0" w:beforeAutospacing="0" w:after="0" w:afterAutospacing="0"/>
        <w:ind w:firstLine="400"/>
        <w:jc w:val="both"/>
        <w:divId w:val="1726097854"/>
        <w:rPr>
          <w:rFonts w:cs="Times New Roman"/>
          <w:sz w:val="18"/>
          <w:szCs w:val="18"/>
        </w:rPr>
      </w:pPr>
      <w:r w:rsidRPr="002B59B9">
        <w:rPr>
          <w:rFonts w:cs="Times New Roman"/>
          <w:sz w:val="18"/>
          <w:szCs w:val="18"/>
        </w:rPr>
        <w:t>5</w:t>
      </w:r>
      <w:r w:rsidRPr="002B59B9">
        <w:rPr>
          <w:rFonts w:cs="Times New Roman" w:hint="eastAsia"/>
          <w:sz w:val="18"/>
          <w:szCs w:val="18"/>
        </w:rPr>
        <w:t>）</w:t>
      </w:r>
      <w:r w:rsidRPr="002B59B9">
        <w:rPr>
          <w:rFonts w:cs="Times New Roman"/>
          <w:sz w:val="18"/>
          <w:szCs w:val="18"/>
        </w:rPr>
        <w:t xml:space="preserve">  </w:t>
      </w:r>
      <w:r w:rsidRPr="002B59B9">
        <w:rPr>
          <w:rFonts w:cs="Times New Roman" w:hint="eastAsia"/>
          <w:sz w:val="18"/>
          <w:szCs w:val="18"/>
        </w:rPr>
        <w:t>本公司对金融工具信用管理方法是否发生变化等。</w:t>
      </w:r>
    </w:p>
    <w:p w:rsidR="008D4B2E" w:rsidRPr="002B59B9" w:rsidRDefault="008D4B2E" w:rsidP="00B818D2">
      <w:pPr>
        <w:pStyle w:val="a3"/>
        <w:spacing w:before="0" w:beforeAutospacing="0" w:after="0" w:afterAutospacing="0"/>
        <w:ind w:firstLine="400"/>
        <w:jc w:val="both"/>
        <w:divId w:val="1726097854"/>
        <w:rPr>
          <w:rFonts w:cs="Times New Roman"/>
          <w:sz w:val="18"/>
          <w:szCs w:val="18"/>
        </w:rPr>
      </w:pPr>
      <w:r w:rsidRPr="002B59B9">
        <w:rPr>
          <w:rFonts w:cs="Times New Roman" w:hint="eastAsia"/>
          <w:sz w:val="18"/>
          <w:szCs w:val="18"/>
        </w:rPr>
        <w:t>于资产负债表日，若本公司判断金融工具只具有较低的信用风险，则本公司假定该金融工具的信用风险自初始确认后并未显著增加。如果金融工具的违约风险较低，借款人在短期内履行其合同现金流量义务的能力很强，并且即使较长时期内经济形势和经营环境存在不利变化但未必一定降低借款人履行其合同现金义务，则该金融工具被视为具有较低的信用风险。</w:t>
      </w:r>
    </w:p>
    <w:p w:rsidR="008D4B2E" w:rsidRPr="002B59B9" w:rsidRDefault="008D4B2E" w:rsidP="00B818D2">
      <w:pPr>
        <w:pStyle w:val="a3"/>
        <w:spacing w:before="0" w:beforeAutospacing="0" w:after="0" w:afterAutospacing="0"/>
        <w:ind w:firstLine="400"/>
        <w:jc w:val="both"/>
        <w:divId w:val="1726097854"/>
        <w:rPr>
          <w:rFonts w:cs="Times New Roman"/>
          <w:sz w:val="18"/>
          <w:szCs w:val="18"/>
        </w:rPr>
      </w:pPr>
      <w:r w:rsidRPr="002B59B9">
        <w:rPr>
          <w:rFonts w:cs="Times New Roman" w:hint="eastAsia"/>
          <w:sz w:val="18"/>
          <w:szCs w:val="18"/>
        </w:rPr>
        <w:t>（</w:t>
      </w:r>
      <w:r w:rsidRPr="002B59B9">
        <w:rPr>
          <w:rFonts w:cs="Times New Roman"/>
          <w:sz w:val="18"/>
          <w:szCs w:val="18"/>
        </w:rPr>
        <w:t>3</w:t>
      </w:r>
      <w:r w:rsidRPr="002B59B9">
        <w:rPr>
          <w:rFonts w:cs="Times New Roman" w:hint="eastAsia"/>
          <w:sz w:val="18"/>
          <w:szCs w:val="18"/>
        </w:rPr>
        <w:t>）已发生信用减值的金融资产的判断标准</w:t>
      </w:r>
    </w:p>
    <w:p w:rsidR="008D4B2E" w:rsidRPr="002B59B9" w:rsidRDefault="008D4B2E" w:rsidP="00B818D2">
      <w:pPr>
        <w:pStyle w:val="a3"/>
        <w:spacing w:before="0" w:beforeAutospacing="0" w:after="0" w:afterAutospacing="0"/>
        <w:ind w:firstLine="400"/>
        <w:jc w:val="both"/>
        <w:divId w:val="1726097854"/>
        <w:rPr>
          <w:rFonts w:cs="Times New Roman"/>
          <w:sz w:val="18"/>
          <w:szCs w:val="18"/>
        </w:rPr>
      </w:pPr>
      <w:r w:rsidRPr="002B59B9">
        <w:rPr>
          <w:rFonts w:cs="Times New Roman" w:hint="eastAsia"/>
          <w:sz w:val="18"/>
          <w:szCs w:val="18"/>
        </w:rPr>
        <w:t>当对金融资产预期未来现金流量具有不利影响的一项或多项事件发生时，该金融资产成为已发生信用减值的金融资产。金融资产已发生信用减值的证据包括下列可观察信息：</w:t>
      </w:r>
    </w:p>
    <w:p w:rsidR="008D4B2E" w:rsidRPr="002B59B9" w:rsidRDefault="008D4B2E" w:rsidP="00B818D2">
      <w:pPr>
        <w:pStyle w:val="a3"/>
        <w:spacing w:before="0" w:beforeAutospacing="0" w:after="0" w:afterAutospacing="0"/>
        <w:ind w:firstLine="400"/>
        <w:jc w:val="both"/>
        <w:divId w:val="1726097854"/>
        <w:rPr>
          <w:rFonts w:cs="Times New Roman"/>
          <w:sz w:val="18"/>
          <w:szCs w:val="18"/>
        </w:rPr>
      </w:pPr>
      <w:r w:rsidRPr="002B59B9">
        <w:rPr>
          <w:rFonts w:cs="Times New Roman"/>
          <w:sz w:val="18"/>
          <w:szCs w:val="18"/>
        </w:rPr>
        <w:t>1</w:t>
      </w:r>
      <w:r w:rsidRPr="002B59B9">
        <w:rPr>
          <w:rFonts w:cs="Times New Roman" w:hint="eastAsia"/>
          <w:sz w:val="18"/>
          <w:szCs w:val="18"/>
        </w:rPr>
        <w:t>）</w:t>
      </w:r>
      <w:r w:rsidRPr="002B59B9">
        <w:rPr>
          <w:rFonts w:cs="Times New Roman"/>
          <w:sz w:val="18"/>
          <w:szCs w:val="18"/>
        </w:rPr>
        <w:t xml:space="preserve">  </w:t>
      </w:r>
      <w:r w:rsidRPr="002B59B9">
        <w:rPr>
          <w:rFonts w:cs="Times New Roman" w:hint="eastAsia"/>
          <w:sz w:val="18"/>
          <w:szCs w:val="18"/>
        </w:rPr>
        <w:t>发行方或债务人发生重大财务困难；</w:t>
      </w:r>
    </w:p>
    <w:p w:rsidR="008D4B2E" w:rsidRPr="002B59B9" w:rsidRDefault="008D4B2E" w:rsidP="00B818D2">
      <w:pPr>
        <w:pStyle w:val="a3"/>
        <w:spacing w:before="0" w:beforeAutospacing="0" w:after="0" w:afterAutospacing="0"/>
        <w:ind w:firstLine="400"/>
        <w:jc w:val="both"/>
        <w:divId w:val="1726097854"/>
        <w:rPr>
          <w:rFonts w:cs="Times New Roman"/>
          <w:sz w:val="18"/>
          <w:szCs w:val="18"/>
        </w:rPr>
      </w:pPr>
      <w:r w:rsidRPr="002B59B9">
        <w:rPr>
          <w:rFonts w:cs="Times New Roman"/>
          <w:sz w:val="18"/>
          <w:szCs w:val="18"/>
        </w:rPr>
        <w:t>2</w:t>
      </w:r>
      <w:r w:rsidRPr="002B59B9">
        <w:rPr>
          <w:rFonts w:cs="Times New Roman" w:hint="eastAsia"/>
          <w:sz w:val="18"/>
          <w:szCs w:val="18"/>
        </w:rPr>
        <w:t>）</w:t>
      </w:r>
      <w:r w:rsidRPr="002B59B9">
        <w:rPr>
          <w:rFonts w:cs="Times New Roman"/>
          <w:sz w:val="18"/>
          <w:szCs w:val="18"/>
        </w:rPr>
        <w:t xml:space="preserve">  </w:t>
      </w:r>
      <w:r w:rsidRPr="002B59B9">
        <w:rPr>
          <w:rFonts w:cs="Times New Roman" w:hint="eastAsia"/>
          <w:sz w:val="18"/>
          <w:szCs w:val="18"/>
        </w:rPr>
        <w:t>债务人违反合同，如偿付利息或本金违约或逾期等；</w:t>
      </w:r>
    </w:p>
    <w:p w:rsidR="008D4B2E" w:rsidRPr="002B59B9" w:rsidRDefault="008D4B2E" w:rsidP="00B818D2">
      <w:pPr>
        <w:pStyle w:val="a3"/>
        <w:spacing w:before="0" w:beforeAutospacing="0" w:after="0" w:afterAutospacing="0"/>
        <w:ind w:firstLine="400"/>
        <w:jc w:val="both"/>
        <w:divId w:val="1726097854"/>
        <w:rPr>
          <w:rFonts w:cs="Times New Roman"/>
          <w:sz w:val="18"/>
          <w:szCs w:val="18"/>
        </w:rPr>
      </w:pPr>
      <w:r w:rsidRPr="002B59B9">
        <w:rPr>
          <w:rFonts w:cs="Times New Roman"/>
          <w:sz w:val="18"/>
          <w:szCs w:val="18"/>
        </w:rPr>
        <w:t>3</w:t>
      </w:r>
      <w:r w:rsidRPr="002B59B9">
        <w:rPr>
          <w:rFonts w:cs="Times New Roman" w:hint="eastAsia"/>
          <w:sz w:val="18"/>
          <w:szCs w:val="18"/>
        </w:rPr>
        <w:t>）</w:t>
      </w:r>
      <w:r w:rsidRPr="002B59B9">
        <w:rPr>
          <w:rFonts w:cs="Times New Roman"/>
          <w:sz w:val="18"/>
          <w:szCs w:val="18"/>
        </w:rPr>
        <w:t xml:space="preserve">  </w:t>
      </w:r>
      <w:r w:rsidRPr="002B59B9">
        <w:rPr>
          <w:rFonts w:cs="Times New Roman" w:hint="eastAsia"/>
          <w:sz w:val="18"/>
          <w:szCs w:val="18"/>
        </w:rPr>
        <w:t>债权人出于与债务人财务困难有关的经济或合同考虑，给予债务人在任何其他情况下都不会做出的让步；</w:t>
      </w:r>
    </w:p>
    <w:p w:rsidR="008D4B2E" w:rsidRPr="002B59B9" w:rsidRDefault="008D4B2E" w:rsidP="00B818D2">
      <w:pPr>
        <w:pStyle w:val="a3"/>
        <w:spacing w:before="0" w:beforeAutospacing="0" w:after="0" w:afterAutospacing="0"/>
        <w:ind w:firstLine="400"/>
        <w:jc w:val="both"/>
        <w:divId w:val="1726097854"/>
        <w:rPr>
          <w:rFonts w:cs="Times New Roman"/>
          <w:sz w:val="18"/>
          <w:szCs w:val="18"/>
        </w:rPr>
      </w:pPr>
      <w:r w:rsidRPr="002B59B9">
        <w:rPr>
          <w:rFonts w:cs="Times New Roman"/>
          <w:sz w:val="18"/>
          <w:szCs w:val="18"/>
        </w:rPr>
        <w:t>4</w:t>
      </w:r>
      <w:r w:rsidRPr="002B59B9">
        <w:rPr>
          <w:rFonts w:cs="Times New Roman" w:hint="eastAsia"/>
          <w:sz w:val="18"/>
          <w:szCs w:val="18"/>
        </w:rPr>
        <w:t>）</w:t>
      </w:r>
      <w:r w:rsidRPr="002B59B9">
        <w:rPr>
          <w:rFonts w:cs="Times New Roman"/>
          <w:sz w:val="18"/>
          <w:szCs w:val="18"/>
        </w:rPr>
        <w:t xml:space="preserve">  </w:t>
      </w:r>
      <w:r w:rsidRPr="002B59B9">
        <w:rPr>
          <w:rFonts w:cs="Times New Roman" w:hint="eastAsia"/>
          <w:sz w:val="18"/>
          <w:szCs w:val="18"/>
        </w:rPr>
        <w:t>债务人很可能破产或进行其他财务重组；</w:t>
      </w:r>
    </w:p>
    <w:p w:rsidR="008D4B2E" w:rsidRPr="002B59B9" w:rsidRDefault="008D4B2E" w:rsidP="00B818D2">
      <w:pPr>
        <w:pStyle w:val="a3"/>
        <w:spacing w:before="0" w:beforeAutospacing="0" w:after="0" w:afterAutospacing="0"/>
        <w:ind w:firstLine="400"/>
        <w:jc w:val="both"/>
        <w:divId w:val="1726097854"/>
        <w:rPr>
          <w:rFonts w:cs="Times New Roman"/>
          <w:sz w:val="18"/>
          <w:szCs w:val="18"/>
        </w:rPr>
      </w:pPr>
      <w:r w:rsidRPr="002B59B9">
        <w:rPr>
          <w:rFonts w:cs="Times New Roman"/>
          <w:sz w:val="18"/>
          <w:szCs w:val="18"/>
        </w:rPr>
        <w:t>5</w:t>
      </w:r>
      <w:r w:rsidRPr="002B59B9">
        <w:rPr>
          <w:rFonts w:cs="Times New Roman" w:hint="eastAsia"/>
          <w:sz w:val="18"/>
          <w:szCs w:val="18"/>
        </w:rPr>
        <w:t>）</w:t>
      </w:r>
      <w:r w:rsidRPr="002B59B9">
        <w:rPr>
          <w:rFonts w:cs="Times New Roman"/>
          <w:sz w:val="18"/>
          <w:szCs w:val="18"/>
        </w:rPr>
        <w:t xml:space="preserve">  </w:t>
      </w:r>
      <w:r w:rsidRPr="002B59B9">
        <w:rPr>
          <w:rFonts w:cs="Times New Roman" w:hint="eastAsia"/>
          <w:sz w:val="18"/>
          <w:szCs w:val="18"/>
        </w:rPr>
        <w:t>发行方或债务人财务困难导致该金融资产的活跃市场消失；</w:t>
      </w:r>
    </w:p>
    <w:p w:rsidR="008D4B2E" w:rsidRPr="002B59B9" w:rsidRDefault="008D4B2E" w:rsidP="00B818D2">
      <w:pPr>
        <w:pStyle w:val="a3"/>
        <w:spacing w:before="0" w:beforeAutospacing="0" w:after="0" w:afterAutospacing="0"/>
        <w:ind w:firstLine="400"/>
        <w:jc w:val="both"/>
        <w:divId w:val="1726097854"/>
        <w:rPr>
          <w:rFonts w:cs="Times New Roman"/>
          <w:sz w:val="18"/>
          <w:szCs w:val="18"/>
        </w:rPr>
      </w:pPr>
      <w:r w:rsidRPr="002B59B9">
        <w:rPr>
          <w:rFonts w:cs="Times New Roman"/>
          <w:sz w:val="18"/>
          <w:szCs w:val="18"/>
        </w:rPr>
        <w:t>6</w:t>
      </w:r>
      <w:r w:rsidRPr="002B59B9">
        <w:rPr>
          <w:rFonts w:cs="Times New Roman" w:hint="eastAsia"/>
          <w:sz w:val="18"/>
          <w:szCs w:val="18"/>
        </w:rPr>
        <w:t>）</w:t>
      </w:r>
      <w:r w:rsidRPr="002B59B9">
        <w:rPr>
          <w:rFonts w:cs="Times New Roman"/>
          <w:sz w:val="18"/>
          <w:szCs w:val="18"/>
        </w:rPr>
        <w:t xml:space="preserve">  </w:t>
      </w:r>
      <w:r w:rsidRPr="002B59B9">
        <w:rPr>
          <w:rFonts w:cs="Times New Roman" w:hint="eastAsia"/>
          <w:sz w:val="18"/>
          <w:szCs w:val="18"/>
        </w:rPr>
        <w:t>以大幅折扣</w:t>
      </w:r>
      <w:proofErr w:type="gramStart"/>
      <w:r w:rsidRPr="002B59B9">
        <w:rPr>
          <w:rFonts w:cs="Times New Roman" w:hint="eastAsia"/>
          <w:sz w:val="18"/>
          <w:szCs w:val="18"/>
        </w:rPr>
        <w:t>购买或源生</w:t>
      </w:r>
      <w:proofErr w:type="gramEnd"/>
      <w:r w:rsidRPr="002B59B9">
        <w:rPr>
          <w:rFonts w:cs="Times New Roman" w:hint="eastAsia"/>
          <w:sz w:val="18"/>
          <w:szCs w:val="18"/>
        </w:rPr>
        <w:t>一项金融资产，该折扣反映了发生信用损失的事实。</w:t>
      </w:r>
    </w:p>
    <w:p w:rsidR="008D4B2E" w:rsidRPr="002B59B9" w:rsidRDefault="008D4B2E" w:rsidP="00B818D2">
      <w:pPr>
        <w:pStyle w:val="a3"/>
        <w:spacing w:before="0" w:beforeAutospacing="0" w:after="0" w:afterAutospacing="0"/>
        <w:ind w:firstLine="400"/>
        <w:jc w:val="both"/>
        <w:divId w:val="1726097854"/>
        <w:rPr>
          <w:rFonts w:cs="Times New Roman"/>
          <w:sz w:val="18"/>
          <w:szCs w:val="18"/>
        </w:rPr>
      </w:pPr>
      <w:r w:rsidRPr="002B59B9">
        <w:rPr>
          <w:rFonts w:cs="Times New Roman" w:hint="eastAsia"/>
          <w:sz w:val="18"/>
          <w:szCs w:val="18"/>
        </w:rPr>
        <w:t>金融资产发生信用减值，有可能是多个事件的共同作用所致，未必是可单独识别的事件所致。</w:t>
      </w:r>
    </w:p>
    <w:p w:rsidR="008D4B2E" w:rsidRPr="002B59B9" w:rsidRDefault="008D4B2E" w:rsidP="00B818D2">
      <w:pPr>
        <w:pStyle w:val="a3"/>
        <w:spacing w:before="0" w:beforeAutospacing="0" w:after="0" w:afterAutospacing="0"/>
        <w:ind w:firstLine="400"/>
        <w:divId w:val="1726097854"/>
        <w:rPr>
          <w:rFonts w:cs="Times New Roman"/>
          <w:sz w:val="18"/>
          <w:szCs w:val="18"/>
        </w:rPr>
      </w:pPr>
      <w:r w:rsidRPr="002B59B9">
        <w:rPr>
          <w:rFonts w:cs="Times New Roman" w:hint="eastAsia"/>
          <w:sz w:val="18"/>
          <w:szCs w:val="18"/>
        </w:rPr>
        <w:t>（</w:t>
      </w:r>
      <w:r w:rsidRPr="002B59B9">
        <w:rPr>
          <w:rFonts w:cs="Times New Roman"/>
          <w:sz w:val="18"/>
          <w:szCs w:val="18"/>
        </w:rPr>
        <w:t>4</w:t>
      </w:r>
      <w:r w:rsidRPr="002B59B9">
        <w:rPr>
          <w:rFonts w:cs="Times New Roman" w:hint="eastAsia"/>
          <w:sz w:val="18"/>
          <w:szCs w:val="18"/>
        </w:rPr>
        <w:t>）以组合为基础评估预期信用风险的组合方法</w:t>
      </w:r>
    </w:p>
    <w:p w:rsidR="008D4B2E" w:rsidRPr="002B59B9" w:rsidRDefault="008D4B2E" w:rsidP="00B818D2">
      <w:pPr>
        <w:pStyle w:val="a3"/>
        <w:spacing w:before="0" w:beforeAutospacing="0" w:after="0" w:afterAutospacing="0"/>
        <w:ind w:firstLine="400"/>
        <w:divId w:val="1726097854"/>
        <w:rPr>
          <w:rFonts w:cs="Times New Roman"/>
          <w:sz w:val="18"/>
          <w:szCs w:val="18"/>
        </w:rPr>
      </w:pPr>
      <w:r w:rsidRPr="002B59B9">
        <w:rPr>
          <w:rFonts w:cs="Times New Roman" w:hint="eastAsia"/>
          <w:sz w:val="18"/>
          <w:szCs w:val="18"/>
        </w:rPr>
        <w:t>本公司对信用风险显著不同的金融资产单项评价信用风险，如：应收关联方款项；与对方存在争议或涉及诉讼、仲裁的应收款项；已有明显迹象表明债务人很可能无法履行还款义务的应收款项等。</w:t>
      </w:r>
    </w:p>
    <w:p w:rsidR="008D4B2E" w:rsidRPr="002B59B9" w:rsidRDefault="008D4B2E" w:rsidP="00B818D2">
      <w:pPr>
        <w:pStyle w:val="a3"/>
        <w:spacing w:before="0" w:beforeAutospacing="0" w:after="0" w:afterAutospacing="0"/>
        <w:ind w:firstLine="400"/>
        <w:divId w:val="1726097854"/>
        <w:rPr>
          <w:rFonts w:cs="Times New Roman"/>
          <w:sz w:val="18"/>
          <w:szCs w:val="18"/>
        </w:rPr>
      </w:pPr>
      <w:r w:rsidRPr="002B59B9">
        <w:rPr>
          <w:rFonts w:cs="Times New Roman" w:hint="eastAsia"/>
          <w:sz w:val="18"/>
          <w:szCs w:val="18"/>
        </w:rPr>
        <w:t>除了单项评估信用风险的金融资产外，本公司基于共同风险特征将金融资产划分为不同的组别，本公司采用的共同信用风险特征包括：金融工具类型、信用风险评级、账龄组合等，在组合的基础上评估信用风险。</w:t>
      </w:r>
    </w:p>
    <w:p w:rsidR="008D4B2E" w:rsidRPr="002B59B9" w:rsidRDefault="008D4B2E" w:rsidP="00B818D2">
      <w:pPr>
        <w:pStyle w:val="a3"/>
        <w:spacing w:before="0" w:beforeAutospacing="0" w:after="0" w:afterAutospacing="0"/>
        <w:ind w:firstLine="400"/>
        <w:divId w:val="1726097854"/>
        <w:rPr>
          <w:rFonts w:cs="Times New Roman"/>
          <w:sz w:val="18"/>
          <w:szCs w:val="18"/>
        </w:rPr>
      </w:pPr>
      <w:r w:rsidRPr="002B59B9">
        <w:rPr>
          <w:rFonts w:cs="Times New Roman" w:hint="eastAsia"/>
          <w:sz w:val="18"/>
          <w:szCs w:val="18"/>
        </w:rPr>
        <w:t>（</w:t>
      </w:r>
      <w:r w:rsidRPr="002B59B9">
        <w:rPr>
          <w:rFonts w:cs="Times New Roman"/>
          <w:sz w:val="18"/>
          <w:szCs w:val="18"/>
        </w:rPr>
        <w:t>5</w:t>
      </w:r>
      <w:r w:rsidRPr="002B59B9">
        <w:rPr>
          <w:rFonts w:cs="Times New Roman" w:hint="eastAsia"/>
          <w:sz w:val="18"/>
          <w:szCs w:val="18"/>
        </w:rPr>
        <w:t>）金融资产减值的会计处理方法</w:t>
      </w:r>
    </w:p>
    <w:p w:rsidR="008D4B2E" w:rsidRPr="002B59B9" w:rsidRDefault="008D4B2E" w:rsidP="00B818D2">
      <w:pPr>
        <w:pStyle w:val="a3"/>
        <w:spacing w:before="0" w:beforeAutospacing="0" w:after="0" w:afterAutospacing="0"/>
        <w:ind w:firstLine="400"/>
        <w:divId w:val="1726097854"/>
        <w:rPr>
          <w:rFonts w:cs="Times New Roman"/>
          <w:sz w:val="18"/>
          <w:szCs w:val="18"/>
        </w:rPr>
      </w:pPr>
      <w:r w:rsidRPr="002B59B9">
        <w:rPr>
          <w:rFonts w:cs="Times New Roman" w:hint="eastAsia"/>
          <w:sz w:val="18"/>
          <w:szCs w:val="18"/>
        </w:rPr>
        <w:t>期末，本公司计算各类金融资产的预计信用损失，如果该预计信用损失大于其当前减值准备的账面金额，将其差额确认为减值损失；如果小于当前减值准备的账面金额，则将差额确认为减值利得。</w:t>
      </w:r>
    </w:p>
    <w:p w:rsidR="008D4B2E" w:rsidRPr="002B59B9" w:rsidRDefault="008D4B2E" w:rsidP="00B818D2">
      <w:pPr>
        <w:pStyle w:val="a3"/>
        <w:spacing w:before="0" w:beforeAutospacing="0" w:after="0" w:afterAutospacing="0"/>
        <w:ind w:firstLine="400"/>
        <w:divId w:val="1726097854"/>
        <w:rPr>
          <w:rFonts w:cs="Times New Roman"/>
          <w:sz w:val="18"/>
          <w:szCs w:val="18"/>
        </w:rPr>
      </w:pPr>
      <w:r w:rsidRPr="002B59B9">
        <w:rPr>
          <w:rFonts w:cs="Times New Roman" w:hint="eastAsia"/>
          <w:sz w:val="18"/>
          <w:szCs w:val="18"/>
        </w:rPr>
        <w:t>（</w:t>
      </w:r>
      <w:r w:rsidRPr="002B59B9">
        <w:rPr>
          <w:rFonts w:cs="Times New Roman"/>
          <w:sz w:val="18"/>
          <w:szCs w:val="18"/>
        </w:rPr>
        <w:t>6</w:t>
      </w:r>
      <w:r w:rsidRPr="002B59B9">
        <w:rPr>
          <w:rFonts w:cs="Times New Roman" w:hint="eastAsia"/>
          <w:sz w:val="18"/>
          <w:szCs w:val="18"/>
        </w:rPr>
        <w:t>）各类金融资产信用损失的确定方法</w:t>
      </w:r>
    </w:p>
    <w:p w:rsidR="00BA0365" w:rsidRDefault="008D4B2E" w:rsidP="00B818D2">
      <w:pPr>
        <w:pStyle w:val="3"/>
        <w:spacing w:line="240" w:lineRule="auto"/>
        <w:jc w:val="left"/>
        <w:rPr>
          <w:rFonts w:ascii="宋体" w:hAnsi="宋体" w:cs="宋体"/>
          <w:b/>
          <w:bCs/>
        </w:rPr>
      </w:pPr>
      <w:bookmarkStart w:id="177" w:name="_Toc989065"/>
      <w:r>
        <w:rPr>
          <w:rFonts w:ascii="宋体" w:hAnsi="宋体" w:cs="宋体"/>
          <w:b/>
          <w:bCs/>
        </w:rPr>
        <w:lastRenderedPageBreak/>
        <w:t>12、应收票据</w:t>
      </w:r>
      <w:bookmarkEnd w:id="177"/>
    </w:p>
    <w:p w:rsidR="008D4B2E" w:rsidRPr="002B59B9" w:rsidRDefault="008D4B2E" w:rsidP="00B818D2">
      <w:pPr>
        <w:pStyle w:val="a3"/>
        <w:spacing w:before="0" w:beforeAutospacing="0" w:after="0" w:afterAutospacing="0"/>
        <w:ind w:firstLine="400"/>
        <w:jc w:val="both"/>
        <w:divId w:val="994257869"/>
        <w:rPr>
          <w:rFonts w:cs="Times New Roman"/>
          <w:sz w:val="18"/>
          <w:szCs w:val="18"/>
        </w:rPr>
      </w:pPr>
      <w:r w:rsidRPr="002B59B9">
        <w:rPr>
          <w:rFonts w:cs="Times New Roman" w:hint="eastAsia"/>
          <w:sz w:val="18"/>
          <w:szCs w:val="18"/>
        </w:rPr>
        <w:t>本公司对于应收票据按照相当于整个存续期内的预期信用损失金额计量损失准备。基于应收票据的信用风险特征，将其划分为不同组合：</w:t>
      </w:r>
    </w:p>
    <w:tbl>
      <w:tblPr>
        <w:tblW w:w="9747" w:type="dxa"/>
        <w:tblCellMar>
          <w:left w:w="0" w:type="dxa"/>
          <w:right w:w="0" w:type="dxa"/>
        </w:tblCellMar>
        <w:tblLook w:val="04A0" w:firstRow="1" w:lastRow="0" w:firstColumn="1" w:lastColumn="0" w:noHBand="0" w:noVBand="1"/>
      </w:tblPr>
      <w:tblGrid>
        <w:gridCol w:w="1951"/>
        <w:gridCol w:w="7796"/>
      </w:tblGrid>
      <w:tr w:rsidR="008D4B2E" w:rsidTr="007E0ED4">
        <w:trPr>
          <w:divId w:val="994257869"/>
          <w:trHeight w:val="378"/>
          <w:tblHeader/>
        </w:trPr>
        <w:tc>
          <w:tcPr>
            <w:tcW w:w="1951"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8D4B2E" w:rsidRPr="002B59B9" w:rsidRDefault="008D4B2E" w:rsidP="00B818D2">
            <w:pPr>
              <w:pStyle w:val="a3"/>
              <w:spacing w:before="0" w:beforeAutospacing="0" w:after="0" w:afterAutospacing="0"/>
              <w:jc w:val="center"/>
              <w:rPr>
                <w:rFonts w:cs="Times New Roman"/>
                <w:sz w:val="18"/>
                <w:szCs w:val="18"/>
              </w:rPr>
            </w:pPr>
            <w:r w:rsidRPr="002B59B9">
              <w:rPr>
                <w:rFonts w:cs="Times New Roman" w:hint="eastAsia"/>
                <w:sz w:val="18"/>
                <w:szCs w:val="18"/>
              </w:rPr>
              <w:t>项</w:t>
            </w:r>
            <w:r w:rsidRPr="002B59B9">
              <w:rPr>
                <w:rFonts w:cs="Times New Roman"/>
                <w:sz w:val="18"/>
                <w:szCs w:val="18"/>
              </w:rPr>
              <w:t xml:space="preserve">  </w:t>
            </w:r>
            <w:r w:rsidRPr="002B59B9">
              <w:rPr>
                <w:rFonts w:cs="Times New Roman" w:hint="eastAsia"/>
                <w:sz w:val="18"/>
                <w:szCs w:val="18"/>
              </w:rPr>
              <w:t>目</w:t>
            </w:r>
          </w:p>
        </w:tc>
        <w:tc>
          <w:tcPr>
            <w:tcW w:w="7796" w:type="dxa"/>
            <w:tcBorders>
              <w:top w:val="single" w:sz="8" w:space="0" w:color="auto"/>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rsidR="008D4B2E" w:rsidRPr="002B59B9" w:rsidRDefault="008D4B2E" w:rsidP="00B818D2">
            <w:pPr>
              <w:pStyle w:val="a3"/>
              <w:spacing w:before="0" w:beforeAutospacing="0" w:after="0" w:afterAutospacing="0"/>
              <w:ind w:firstLine="400"/>
              <w:jc w:val="center"/>
              <w:rPr>
                <w:rFonts w:cs="Times New Roman"/>
                <w:sz w:val="18"/>
                <w:szCs w:val="18"/>
              </w:rPr>
            </w:pPr>
            <w:r w:rsidRPr="002B59B9">
              <w:rPr>
                <w:rFonts w:cs="Times New Roman" w:hint="eastAsia"/>
                <w:sz w:val="18"/>
                <w:szCs w:val="18"/>
              </w:rPr>
              <w:t>确定组合的依据</w:t>
            </w:r>
          </w:p>
        </w:tc>
      </w:tr>
      <w:tr w:rsidR="008D4B2E" w:rsidTr="007E0ED4">
        <w:trPr>
          <w:divId w:val="994257869"/>
          <w:trHeight w:val="300"/>
        </w:trPr>
        <w:tc>
          <w:tcPr>
            <w:tcW w:w="1951" w:type="dxa"/>
            <w:tcBorders>
              <w:top w:val="nil"/>
              <w:left w:val="single" w:sz="8" w:space="0" w:color="auto"/>
              <w:bottom w:val="single" w:sz="8" w:space="0" w:color="auto"/>
              <w:right w:val="single" w:sz="8" w:space="0" w:color="auto"/>
            </w:tcBorders>
            <w:shd w:val="clear" w:color="auto" w:fill="D3D3D3"/>
            <w:noWrap/>
            <w:tcMar>
              <w:top w:w="0" w:type="dxa"/>
              <w:left w:w="108" w:type="dxa"/>
              <w:bottom w:w="0" w:type="dxa"/>
              <w:right w:w="108" w:type="dxa"/>
            </w:tcMar>
            <w:vAlign w:val="center"/>
            <w:hideMark/>
          </w:tcPr>
          <w:p w:rsidR="008D4B2E" w:rsidRPr="002B59B9" w:rsidRDefault="008D4B2E" w:rsidP="00B818D2">
            <w:pPr>
              <w:pStyle w:val="a3"/>
              <w:spacing w:before="0" w:beforeAutospacing="0" w:after="0" w:afterAutospacing="0"/>
              <w:rPr>
                <w:rFonts w:cs="Times New Roman"/>
                <w:sz w:val="18"/>
                <w:szCs w:val="18"/>
              </w:rPr>
            </w:pPr>
            <w:r w:rsidRPr="002B59B9">
              <w:rPr>
                <w:rFonts w:cs="Times New Roman" w:hint="eastAsia"/>
                <w:sz w:val="18"/>
                <w:szCs w:val="18"/>
              </w:rPr>
              <w:t>银行承兑汇票</w:t>
            </w:r>
          </w:p>
        </w:tc>
        <w:tc>
          <w:tcPr>
            <w:tcW w:w="77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D4B2E" w:rsidRPr="002B59B9" w:rsidRDefault="008D4B2E" w:rsidP="00B818D2">
            <w:pPr>
              <w:pStyle w:val="a3"/>
              <w:spacing w:before="0" w:beforeAutospacing="0" w:after="0" w:afterAutospacing="0"/>
              <w:rPr>
                <w:rFonts w:cs="Times New Roman"/>
                <w:sz w:val="18"/>
                <w:szCs w:val="18"/>
              </w:rPr>
            </w:pPr>
            <w:r w:rsidRPr="002B59B9">
              <w:rPr>
                <w:rFonts w:cs="Times New Roman" w:hint="eastAsia"/>
                <w:sz w:val="18"/>
                <w:szCs w:val="18"/>
              </w:rPr>
              <w:t>承兑人为信用风险较小的银行</w:t>
            </w:r>
          </w:p>
        </w:tc>
      </w:tr>
      <w:tr w:rsidR="008D4B2E" w:rsidTr="007E0ED4">
        <w:trPr>
          <w:divId w:val="994257869"/>
          <w:trHeight w:val="300"/>
        </w:trPr>
        <w:tc>
          <w:tcPr>
            <w:tcW w:w="1951" w:type="dxa"/>
            <w:tcBorders>
              <w:top w:val="nil"/>
              <w:left w:val="single" w:sz="8" w:space="0" w:color="auto"/>
              <w:bottom w:val="single" w:sz="8" w:space="0" w:color="auto"/>
              <w:right w:val="single" w:sz="8" w:space="0" w:color="auto"/>
            </w:tcBorders>
            <w:shd w:val="clear" w:color="auto" w:fill="D3D3D3"/>
            <w:noWrap/>
            <w:tcMar>
              <w:top w:w="0" w:type="dxa"/>
              <w:left w:w="108" w:type="dxa"/>
              <w:bottom w:w="0" w:type="dxa"/>
              <w:right w:w="108" w:type="dxa"/>
            </w:tcMar>
            <w:vAlign w:val="center"/>
            <w:hideMark/>
          </w:tcPr>
          <w:p w:rsidR="008D4B2E" w:rsidRPr="002B59B9" w:rsidRDefault="008D4B2E" w:rsidP="00B818D2">
            <w:pPr>
              <w:pStyle w:val="a3"/>
              <w:spacing w:before="0" w:beforeAutospacing="0" w:after="0" w:afterAutospacing="0"/>
              <w:rPr>
                <w:rFonts w:cs="Times New Roman"/>
                <w:sz w:val="18"/>
                <w:szCs w:val="18"/>
              </w:rPr>
            </w:pPr>
            <w:r w:rsidRPr="002B59B9">
              <w:rPr>
                <w:rFonts w:cs="Times New Roman" w:hint="eastAsia"/>
                <w:sz w:val="18"/>
                <w:szCs w:val="18"/>
              </w:rPr>
              <w:t>商业承兑汇票</w:t>
            </w:r>
          </w:p>
        </w:tc>
        <w:tc>
          <w:tcPr>
            <w:tcW w:w="77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D4B2E" w:rsidRPr="002B59B9" w:rsidRDefault="008D4B2E" w:rsidP="00B818D2">
            <w:pPr>
              <w:pStyle w:val="a3"/>
              <w:spacing w:before="0" w:beforeAutospacing="0" w:after="0" w:afterAutospacing="0"/>
              <w:rPr>
                <w:rFonts w:cs="Times New Roman"/>
                <w:sz w:val="18"/>
                <w:szCs w:val="18"/>
              </w:rPr>
            </w:pPr>
            <w:r w:rsidRPr="002B59B9">
              <w:rPr>
                <w:rFonts w:cs="Times New Roman" w:hint="eastAsia"/>
                <w:sz w:val="18"/>
                <w:szCs w:val="18"/>
              </w:rPr>
              <w:t>与</w:t>
            </w:r>
            <w:r w:rsidRPr="002B59B9">
              <w:rPr>
                <w:rFonts w:cs="Times New Roman"/>
                <w:sz w:val="18"/>
                <w:szCs w:val="18"/>
              </w:rPr>
              <w:t>“</w:t>
            </w:r>
            <w:r w:rsidRPr="002B59B9">
              <w:rPr>
                <w:rFonts w:cs="Times New Roman" w:hint="eastAsia"/>
                <w:sz w:val="18"/>
                <w:szCs w:val="18"/>
              </w:rPr>
              <w:t>应收账款</w:t>
            </w:r>
            <w:r w:rsidRPr="002B59B9">
              <w:rPr>
                <w:rFonts w:cs="Times New Roman"/>
                <w:sz w:val="18"/>
                <w:szCs w:val="18"/>
              </w:rPr>
              <w:t>”</w:t>
            </w:r>
            <w:r w:rsidRPr="002B59B9">
              <w:rPr>
                <w:rFonts w:cs="Times New Roman" w:hint="eastAsia"/>
                <w:sz w:val="18"/>
                <w:szCs w:val="18"/>
              </w:rPr>
              <w:t>组合划分相同</w:t>
            </w:r>
          </w:p>
        </w:tc>
      </w:tr>
    </w:tbl>
    <w:p w:rsidR="008D4B2E" w:rsidRDefault="008D4B2E" w:rsidP="00B818D2">
      <w:pPr>
        <w:divId w:val="994257869"/>
      </w:pPr>
    </w:p>
    <w:p w:rsidR="00BA0365" w:rsidRDefault="008D4B2E" w:rsidP="00B818D2">
      <w:pPr>
        <w:pStyle w:val="3"/>
        <w:spacing w:line="240" w:lineRule="auto"/>
        <w:jc w:val="left"/>
        <w:rPr>
          <w:rFonts w:ascii="宋体" w:hAnsi="宋体" w:cs="宋体"/>
          <w:b/>
          <w:bCs/>
        </w:rPr>
      </w:pPr>
      <w:bookmarkStart w:id="178" w:name="_Toc989066"/>
      <w:r>
        <w:rPr>
          <w:rFonts w:ascii="宋体" w:hAnsi="宋体" w:cs="宋体"/>
          <w:b/>
          <w:bCs/>
        </w:rPr>
        <w:t>13、应收账款</w:t>
      </w:r>
      <w:bookmarkEnd w:id="178"/>
    </w:p>
    <w:p w:rsidR="008D4B2E" w:rsidRDefault="008D4B2E" w:rsidP="00B818D2">
      <w:pPr>
        <w:pStyle w:val="a3"/>
        <w:spacing w:before="0" w:beforeAutospacing="0" w:after="0" w:afterAutospacing="0"/>
        <w:ind w:firstLine="400"/>
        <w:jc w:val="both"/>
        <w:divId w:val="1576894161"/>
        <w:rPr>
          <w:rFonts w:ascii="Arial" w:hAnsi="Arial" w:cs="Arial"/>
          <w:sz w:val="20"/>
          <w:szCs w:val="20"/>
        </w:rPr>
      </w:pPr>
      <w:r>
        <w:rPr>
          <w:rFonts w:cs="Arial" w:hint="eastAsia"/>
          <w:sz w:val="20"/>
          <w:szCs w:val="20"/>
        </w:rPr>
        <w:t>对于不含重大融资成分的应收款项，本公司按照相当于整个存续期内的预期信用损失金额计量损失准备。</w:t>
      </w:r>
    </w:p>
    <w:p w:rsidR="008D4B2E" w:rsidRDefault="008D4B2E" w:rsidP="00B818D2">
      <w:pPr>
        <w:pStyle w:val="a3"/>
        <w:spacing w:before="0" w:beforeAutospacing="0" w:after="0" w:afterAutospacing="0"/>
        <w:ind w:firstLine="400"/>
        <w:jc w:val="both"/>
        <w:divId w:val="1576894161"/>
        <w:rPr>
          <w:rFonts w:ascii="Arial" w:hAnsi="Arial" w:cs="Arial"/>
          <w:sz w:val="20"/>
          <w:szCs w:val="20"/>
        </w:rPr>
      </w:pPr>
      <w:r>
        <w:rPr>
          <w:rFonts w:cs="Arial" w:hint="eastAsia"/>
          <w:sz w:val="20"/>
          <w:szCs w:val="20"/>
        </w:rPr>
        <w:t>对于包含重大融资成分的应收款项，本公司选择始终按照相当于存续期内预期信用损失的金额计量损失准备。</w:t>
      </w:r>
    </w:p>
    <w:p w:rsidR="008D4B2E" w:rsidRDefault="008D4B2E" w:rsidP="00B818D2">
      <w:pPr>
        <w:pStyle w:val="a3"/>
        <w:spacing w:before="0" w:beforeAutospacing="0" w:after="0" w:afterAutospacing="0"/>
        <w:ind w:firstLine="400"/>
        <w:jc w:val="both"/>
        <w:divId w:val="1576894161"/>
        <w:rPr>
          <w:rFonts w:ascii="Arial" w:hAnsi="Arial" w:cs="Arial"/>
          <w:sz w:val="20"/>
          <w:szCs w:val="20"/>
        </w:rPr>
      </w:pPr>
      <w:r>
        <w:rPr>
          <w:rFonts w:cs="Arial" w:hint="eastAsia"/>
          <w:sz w:val="20"/>
          <w:szCs w:val="20"/>
        </w:rPr>
        <w:t>对于存在客观证据表明存在减值，以及其他适用于单项评估的应收账款，单独进行减值测试，确认预期信用损失，计提单项减值准备。对于不存在减值客观证据的应收账款或当单项应收账款无法以合理成本评估预期信用损失的信息时，本公司依据信用风险特征将应收账款划分为若干组合，在组合基础上计算预期信用损失，确定组合的依据如下：</w:t>
      </w:r>
    </w:p>
    <w:tbl>
      <w:tblPr>
        <w:tblW w:w="9747" w:type="dxa"/>
        <w:tblCellMar>
          <w:left w:w="0" w:type="dxa"/>
          <w:right w:w="0" w:type="dxa"/>
        </w:tblCellMar>
        <w:tblLook w:val="04A0" w:firstRow="1" w:lastRow="0" w:firstColumn="1" w:lastColumn="0" w:noHBand="0" w:noVBand="1"/>
      </w:tblPr>
      <w:tblGrid>
        <w:gridCol w:w="1951"/>
        <w:gridCol w:w="7796"/>
      </w:tblGrid>
      <w:tr w:rsidR="008D4B2E" w:rsidTr="007E0ED4">
        <w:trPr>
          <w:divId w:val="1576894161"/>
          <w:trHeight w:val="378"/>
          <w:tblHeader/>
        </w:trPr>
        <w:tc>
          <w:tcPr>
            <w:tcW w:w="1951"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8D4B2E" w:rsidRPr="002B59B9" w:rsidRDefault="008D4B2E" w:rsidP="00B818D2">
            <w:pPr>
              <w:pStyle w:val="a3"/>
              <w:spacing w:before="0" w:beforeAutospacing="0" w:after="0" w:afterAutospacing="0"/>
              <w:jc w:val="center"/>
              <w:rPr>
                <w:rFonts w:cs="Times New Roman"/>
                <w:sz w:val="18"/>
                <w:szCs w:val="18"/>
              </w:rPr>
            </w:pPr>
            <w:r w:rsidRPr="002B59B9">
              <w:rPr>
                <w:rFonts w:cs="Times New Roman" w:hint="eastAsia"/>
                <w:sz w:val="18"/>
                <w:szCs w:val="18"/>
              </w:rPr>
              <w:t>项</w:t>
            </w:r>
            <w:r w:rsidRPr="002B59B9">
              <w:rPr>
                <w:rFonts w:cs="Times New Roman"/>
                <w:sz w:val="18"/>
                <w:szCs w:val="18"/>
              </w:rPr>
              <w:t xml:space="preserve">  </w:t>
            </w:r>
            <w:r w:rsidRPr="002B59B9">
              <w:rPr>
                <w:rFonts w:cs="Times New Roman" w:hint="eastAsia"/>
                <w:sz w:val="18"/>
                <w:szCs w:val="18"/>
              </w:rPr>
              <w:t>目</w:t>
            </w:r>
          </w:p>
        </w:tc>
        <w:tc>
          <w:tcPr>
            <w:tcW w:w="7796" w:type="dxa"/>
            <w:tcBorders>
              <w:top w:val="single" w:sz="8" w:space="0" w:color="auto"/>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rsidR="008D4B2E" w:rsidRPr="002B59B9" w:rsidRDefault="008D4B2E" w:rsidP="00B818D2">
            <w:pPr>
              <w:pStyle w:val="a3"/>
              <w:spacing w:before="0" w:beforeAutospacing="0" w:after="0" w:afterAutospacing="0"/>
              <w:ind w:firstLine="400"/>
              <w:rPr>
                <w:rFonts w:cs="Times New Roman"/>
                <w:sz w:val="18"/>
                <w:szCs w:val="18"/>
              </w:rPr>
            </w:pPr>
            <w:r w:rsidRPr="002B59B9">
              <w:rPr>
                <w:rFonts w:cs="Times New Roman" w:hint="eastAsia"/>
                <w:sz w:val="18"/>
                <w:szCs w:val="18"/>
              </w:rPr>
              <w:t>确定组合的依据</w:t>
            </w:r>
          </w:p>
        </w:tc>
      </w:tr>
      <w:tr w:rsidR="008D4B2E" w:rsidTr="007E0ED4">
        <w:trPr>
          <w:divId w:val="1576894161"/>
          <w:trHeight w:val="300"/>
        </w:trPr>
        <w:tc>
          <w:tcPr>
            <w:tcW w:w="1951" w:type="dxa"/>
            <w:tcBorders>
              <w:top w:val="nil"/>
              <w:left w:val="single" w:sz="8" w:space="0" w:color="auto"/>
              <w:bottom w:val="single" w:sz="8" w:space="0" w:color="auto"/>
              <w:right w:val="single" w:sz="8" w:space="0" w:color="auto"/>
            </w:tcBorders>
            <w:shd w:val="clear" w:color="auto" w:fill="D3D3D3"/>
            <w:noWrap/>
            <w:tcMar>
              <w:top w:w="0" w:type="dxa"/>
              <w:left w:w="108" w:type="dxa"/>
              <w:bottom w:w="0" w:type="dxa"/>
              <w:right w:w="108" w:type="dxa"/>
            </w:tcMar>
            <w:vAlign w:val="center"/>
            <w:hideMark/>
          </w:tcPr>
          <w:p w:rsidR="008D4B2E" w:rsidRPr="002B59B9" w:rsidRDefault="008D4B2E" w:rsidP="00B818D2">
            <w:pPr>
              <w:pStyle w:val="a3"/>
              <w:spacing w:before="0" w:beforeAutospacing="0" w:after="0" w:afterAutospacing="0"/>
              <w:rPr>
                <w:rFonts w:cs="Times New Roman"/>
                <w:sz w:val="18"/>
                <w:szCs w:val="18"/>
              </w:rPr>
            </w:pPr>
            <w:r w:rsidRPr="002B59B9">
              <w:rPr>
                <w:rFonts w:cs="Times New Roman" w:hint="eastAsia"/>
                <w:sz w:val="18"/>
                <w:szCs w:val="18"/>
              </w:rPr>
              <w:t>合并范围内关联方</w:t>
            </w:r>
          </w:p>
        </w:tc>
        <w:tc>
          <w:tcPr>
            <w:tcW w:w="77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D4B2E" w:rsidRPr="002B59B9" w:rsidRDefault="008D4B2E" w:rsidP="00B818D2">
            <w:pPr>
              <w:pStyle w:val="a3"/>
              <w:spacing w:before="0" w:beforeAutospacing="0" w:after="0" w:afterAutospacing="0"/>
              <w:rPr>
                <w:rFonts w:cs="Times New Roman"/>
                <w:sz w:val="18"/>
                <w:szCs w:val="18"/>
              </w:rPr>
            </w:pPr>
            <w:r w:rsidRPr="002B59B9">
              <w:rPr>
                <w:rFonts w:cs="Times New Roman" w:hint="eastAsia"/>
                <w:sz w:val="18"/>
                <w:szCs w:val="18"/>
              </w:rPr>
              <w:t>合并报表范围内公司间应收款项（个别报表）</w:t>
            </w:r>
          </w:p>
        </w:tc>
      </w:tr>
      <w:tr w:rsidR="008D4B2E" w:rsidTr="007E0ED4">
        <w:trPr>
          <w:divId w:val="1576894161"/>
          <w:trHeight w:val="300"/>
        </w:trPr>
        <w:tc>
          <w:tcPr>
            <w:tcW w:w="1951" w:type="dxa"/>
            <w:tcBorders>
              <w:top w:val="nil"/>
              <w:left w:val="single" w:sz="8" w:space="0" w:color="auto"/>
              <w:bottom w:val="single" w:sz="8" w:space="0" w:color="auto"/>
              <w:right w:val="single" w:sz="8" w:space="0" w:color="auto"/>
            </w:tcBorders>
            <w:shd w:val="clear" w:color="auto" w:fill="D3D3D3"/>
            <w:noWrap/>
            <w:tcMar>
              <w:top w:w="0" w:type="dxa"/>
              <w:left w:w="108" w:type="dxa"/>
              <w:bottom w:w="0" w:type="dxa"/>
              <w:right w:w="108" w:type="dxa"/>
            </w:tcMar>
            <w:vAlign w:val="center"/>
            <w:hideMark/>
          </w:tcPr>
          <w:p w:rsidR="008D4B2E" w:rsidRPr="002B59B9" w:rsidRDefault="008D4B2E" w:rsidP="00B818D2">
            <w:pPr>
              <w:pStyle w:val="a3"/>
              <w:spacing w:before="0" w:beforeAutospacing="0" w:after="0" w:afterAutospacing="0"/>
              <w:rPr>
                <w:rFonts w:cs="Times New Roman"/>
                <w:sz w:val="18"/>
                <w:szCs w:val="18"/>
              </w:rPr>
            </w:pPr>
            <w:r w:rsidRPr="002B59B9">
              <w:rPr>
                <w:rFonts w:cs="Times New Roman" w:hint="eastAsia"/>
                <w:sz w:val="18"/>
                <w:szCs w:val="18"/>
              </w:rPr>
              <w:t>采用账龄的组合</w:t>
            </w:r>
          </w:p>
        </w:tc>
        <w:tc>
          <w:tcPr>
            <w:tcW w:w="77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D4B2E" w:rsidRPr="002B59B9" w:rsidRDefault="008D4B2E" w:rsidP="00B818D2">
            <w:pPr>
              <w:pStyle w:val="a3"/>
              <w:spacing w:before="0" w:beforeAutospacing="0" w:after="0" w:afterAutospacing="0"/>
              <w:rPr>
                <w:rFonts w:cs="Times New Roman"/>
                <w:sz w:val="18"/>
                <w:szCs w:val="18"/>
              </w:rPr>
            </w:pPr>
            <w:r w:rsidRPr="002B59B9">
              <w:rPr>
                <w:rFonts w:cs="Times New Roman" w:hint="eastAsia"/>
                <w:sz w:val="18"/>
                <w:szCs w:val="18"/>
              </w:rPr>
              <w:t>合并报表范围外的境内各公司账面的应收款项，本组合以应收款项的账</w:t>
            </w:r>
            <w:proofErr w:type="gramStart"/>
            <w:r w:rsidRPr="002B59B9">
              <w:rPr>
                <w:rFonts w:cs="Times New Roman" w:hint="eastAsia"/>
                <w:sz w:val="18"/>
                <w:szCs w:val="18"/>
              </w:rPr>
              <w:t>龄作为</w:t>
            </w:r>
            <w:proofErr w:type="gramEnd"/>
            <w:r w:rsidRPr="002B59B9">
              <w:rPr>
                <w:rFonts w:cs="Times New Roman" w:hint="eastAsia"/>
                <w:sz w:val="18"/>
                <w:szCs w:val="18"/>
              </w:rPr>
              <w:t>信用风险特征。</w:t>
            </w:r>
          </w:p>
        </w:tc>
      </w:tr>
      <w:tr w:rsidR="008D4B2E" w:rsidTr="007E0ED4">
        <w:trPr>
          <w:divId w:val="1576894161"/>
          <w:trHeight w:val="300"/>
        </w:trPr>
        <w:tc>
          <w:tcPr>
            <w:tcW w:w="1951" w:type="dxa"/>
            <w:tcBorders>
              <w:top w:val="nil"/>
              <w:left w:val="single" w:sz="8" w:space="0" w:color="auto"/>
              <w:bottom w:val="single" w:sz="8" w:space="0" w:color="auto"/>
              <w:right w:val="single" w:sz="8" w:space="0" w:color="auto"/>
            </w:tcBorders>
            <w:shd w:val="clear" w:color="auto" w:fill="D3D3D3"/>
            <w:noWrap/>
            <w:tcMar>
              <w:top w:w="0" w:type="dxa"/>
              <w:left w:w="108" w:type="dxa"/>
              <w:bottom w:w="0" w:type="dxa"/>
              <w:right w:w="108" w:type="dxa"/>
            </w:tcMar>
            <w:vAlign w:val="center"/>
            <w:hideMark/>
          </w:tcPr>
          <w:p w:rsidR="008D4B2E" w:rsidRPr="002B59B9" w:rsidRDefault="008D4B2E" w:rsidP="00B818D2">
            <w:pPr>
              <w:pStyle w:val="a3"/>
              <w:spacing w:before="0" w:beforeAutospacing="0" w:after="0" w:afterAutospacing="0"/>
              <w:rPr>
                <w:rFonts w:cs="Times New Roman"/>
                <w:sz w:val="18"/>
                <w:szCs w:val="18"/>
              </w:rPr>
            </w:pPr>
            <w:r w:rsidRPr="002B59B9">
              <w:rPr>
                <w:rFonts w:cs="Times New Roman" w:hint="eastAsia"/>
                <w:sz w:val="18"/>
                <w:szCs w:val="18"/>
              </w:rPr>
              <w:t>采用个别认定的组合</w:t>
            </w:r>
          </w:p>
        </w:tc>
        <w:tc>
          <w:tcPr>
            <w:tcW w:w="77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D4B2E" w:rsidRPr="002B59B9" w:rsidRDefault="008D4B2E" w:rsidP="00B818D2">
            <w:pPr>
              <w:pStyle w:val="a3"/>
              <w:spacing w:before="0" w:beforeAutospacing="0" w:after="0" w:afterAutospacing="0"/>
              <w:rPr>
                <w:rFonts w:cs="Times New Roman"/>
                <w:sz w:val="18"/>
                <w:szCs w:val="18"/>
              </w:rPr>
            </w:pPr>
            <w:r w:rsidRPr="002B59B9">
              <w:rPr>
                <w:rFonts w:cs="Times New Roman" w:hint="eastAsia"/>
                <w:sz w:val="18"/>
                <w:szCs w:val="18"/>
              </w:rPr>
              <w:t>管理手段可以用个别现金流量来判断，包括境外公司的单位或个人，以及对有确凿证据表明可收回性存在明显差异的应收款项，单独进行减值测试</w:t>
            </w:r>
          </w:p>
        </w:tc>
      </w:tr>
    </w:tbl>
    <w:p w:rsidR="00BA0365" w:rsidRDefault="008D4B2E" w:rsidP="00B818D2">
      <w:pPr>
        <w:pStyle w:val="3"/>
        <w:spacing w:line="240" w:lineRule="auto"/>
        <w:jc w:val="left"/>
        <w:rPr>
          <w:rFonts w:ascii="宋体" w:hAnsi="宋体" w:cs="宋体"/>
          <w:b/>
          <w:bCs/>
        </w:rPr>
      </w:pPr>
      <w:bookmarkStart w:id="179" w:name="_Toc989067"/>
      <w:r>
        <w:rPr>
          <w:rFonts w:ascii="宋体" w:hAnsi="宋体" w:cs="宋体"/>
          <w:b/>
          <w:bCs/>
        </w:rPr>
        <w:t>14、应收款项融资</w:t>
      </w:r>
      <w:bookmarkEnd w:id="179"/>
    </w:p>
    <w:p w:rsidR="008D4B2E" w:rsidRPr="002B59B9" w:rsidRDefault="008D4B2E" w:rsidP="00B818D2">
      <w:pPr>
        <w:pStyle w:val="a3"/>
        <w:divId w:val="986323029"/>
        <w:rPr>
          <w:rFonts w:cs="Times New Roman"/>
          <w:sz w:val="18"/>
          <w:szCs w:val="18"/>
        </w:rPr>
      </w:pPr>
      <w:r w:rsidRPr="002B59B9">
        <w:rPr>
          <w:rFonts w:cs="Times New Roman" w:hint="eastAsia"/>
          <w:sz w:val="18"/>
          <w:szCs w:val="18"/>
        </w:rPr>
        <w:t>详见“金融工具”。</w:t>
      </w:r>
    </w:p>
    <w:p w:rsidR="00BA0365" w:rsidRDefault="008D4B2E" w:rsidP="00B818D2">
      <w:pPr>
        <w:pStyle w:val="3"/>
        <w:spacing w:line="240" w:lineRule="auto"/>
        <w:jc w:val="left"/>
        <w:rPr>
          <w:rFonts w:ascii="宋体" w:hAnsi="宋体" w:cs="宋体"/>
          <w:b/>
          <w:bCs/>
        </w:rPr>
      </w:pPr>
      <w:bookmarkStart w:id="180" w:name="_Toc989068"/>
      <w:r>
        <w:rPr>
          <w:rFonts w:ascii="宋体" w:hAnsi="宋体" w:cs="宋体"/>
          <w:b/>
          <w:bCs/>
        </w:rPr>
        <w:t>15、其他应收款</w:t>
      </w:r>
      <w:bookmarkEnd w:id="180"/>
    </w:p>
    <w:p w:rsidR="008D4B2E" w:rsidRPr="002B59B9" w:rsidRDefault="008D4B2E" w:rsidP="00B818D2">
      <w:pPr>
        <w:pStyle w:val="a3"/>
        <w:spacing w:before="0" w:beforeAutospacing="0" w:after="0" w:afterAutospacing="0"/>
        <w:ind w:firstLine="400"/>
        <w:divId w:val="387455544"/>
        <w:rPr>
          <w:rFonts w:cs="Times New Roman"/>
          <w:sz w:val="18"/>
          <w:szCs w:val="18"/>
        </w:rPr>
      </w:pPr>
      <w:r w:rsidRPr="002B59B9">
        <w:rPr>
          <w:rFonts w:cs="Times New Roman" w:hint="eastAsia"/>
          <w:sz w:val="18"/>
          <w:szCs w:val="18"/>
        </w:rPr>
        <w:t>本公司依据其他应收款信用风险自初始确认后是否已经显著增加，采用相当于未来</w:t>
      </w:r>
      <w:r w:rsidRPr="002B59B9">
        <w:rPr>
          <w:rFonts w:cs="Times New Roman"/>
          <w:sz w:val="18"/>
          <w:szCs w:val="18"/>
        </w:rPr>
        <w:t>12</w:t>
      </w:r>
      <w:r w:rsidRPr="002B59B9">
        <w:rPr>
          <w:rFonts w:cs="Times New Roman" w:hint="eastAsia"/>
          <w:sz w:val="18"/>
          <w:szCs w:val="18"/>
        </w:rPr>
        <w:t>个月内、或整个存续期的预期信用损失的金额计量减值损失。除了单项评估信用风险的其他应收款外，基于其信用风险特征，将其划分为不同组合：</w:t>
      </w:r>
    </w:p>
    <w:tbl>
      <w:tblPr>
        <w:tblW w:w="9747" w:type="dxa"/>
        <w:tblCellMar>
          <w:left w:w="0" w:type="dxa"/>
          <w:right w:w="0" w:type="dxa"/>
        </w:tblCellMar>
        <w:tblLook w:val="04A0" w:firstRow="1" w:lastRow="0" w:firstColumn="1" w:lastColumn="0" w:noHBand="0" w:noVBand="1"/>
      </w:tblPr>
      <w:tblGrid>
        <w:gridCol w:w="1951"/>
        <w:gridCol w:w="7796"/>
      </w:tblGrid>
      <w:tr w:rsidR="008D4B2E" w:rsidTr="007E0ED4">
        <w:trPr>
          <w:divId w:val="387455544"/>
          <w:trHeight w:val="378"/>
          <w:tblHeader/>
        </w:trPr>
        <w:tc>
          <w:tcPr>
            <w:tcW w:w="1951"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8D4B2E" w:rsidRPr="002B59B9" w:rsidRDefault="008D4B2E" w:rsidP="00B818D2">
            <w:pPr>
              <w:pStyle w:val="a3"/>
              <w:spacing w:before="0" w:beforeAutospacing="0" w:after="0" w:afterAutospacing="0"/>
              <w:jc w:val="center"/>
              <w:rPr>
                <w:rFonts w:cs="Times New Roman"/>
                <w:sz w:val="18"/>
                <w:szCs w:val="18"/>
              </w:rPr>
            </w:pPr>
            <w:r w:rsidRPr="002B59B9">
              <w:rPr>
                <w:rFonts w:cs="Times New Roman" w:hint="eastAsia"/>
                <w:sz w:val="18"/>
                <w:szCs w:val="18"/>
              </w:rPr>
              <w:t>项</w:t>
            </w:r>
            <w:r w:rsidRPr="002B59B9">
              <w:rPr>
                <w:rFonts w:cs="Times New Roman"/>
                <w:sz w:val="18"/>
                <w:szCs w:val="18"/>
              </w:rPr>
              <w:t xml:space="preserve">  </w:t>
            </w:r>
            <w:r w:rsidRPr="002B59B9">
              <w:rPr>
                <w:rFonts w:cs="Times New Roman" w:hint="eastAsia"/>
                <w:sz w:val="18"/>
                <w:szCs w:val="18"/>
              </w:rPr>
              <w:t>目</w:t>
            </w:r>
          </w:p>
        </w:tc>
        <w:tc>
          <w:tcPr>
            <w:tcW w:w="7796" w:type="dxa"/>
            <w:tcBorders>
              <w:top w:val="single" w:sz="8" w:space="0" w:color="auto"/>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rsidR="008D4B2E" w:rsidRPr="002B59B9" w:rsidRDefault="008D4B2E" w:rsidP="00B818D2">
            <w:pPr>
              <w:pStyle w:val="a3"/>
              <w:spacing w:before="0" w:beforeAutospacing="0" w:after="0" w:afterAutospacing="0"/>
              <w:ind w:firstLine="420"/>
              <w:rPr>
                <w:rFonts w:cs="Times New Roman"/>
                <w:sz w:val="18"/>
                <w:szCs w:val="18"/>
              </w:rPr>
            </w:pPr>
            <w:r w:rsidRPr="002B59B9">
              <w:rPr>
                <w:rFonts w:cs="Times New Roman" w:hint="eastAsia"/>
                <w:sz w:val="18"/>
                <w:szCs w:val="18"/>
              </w:rPr>
              <w:t>确定组合的依据</w:t>
            </w:r>
          </w:p>
        </w:tc>
      </w:tr>
      <w:tr w:rsidR="008D4B2E" w:rsidTr="007E0ED4">
        <w:trPr>
          <w:divId w:val="387455544"/>
          <w:trHeight w:val="300"/>
        </w:trPr>
        <w:tc>
          <w:tcPr>
            <w:tcW w:w="1951" w:type="dxa"/>
            <w:tcBorders>
              <w:top w:val="nil"/>
              <w:left w:val="single" w:sz="8" w:space="0" w:color="auto"/>
              <w:bottom w:val="single" w:sz="8" w:space="0" w:color="auto"/>
              <w:right w:val="single" w:sz="8" w:space="0" w:color="auto"/>
            </w:tcBorders>
            <w:shd w:val="clear" w:color="auto" w:fill="D3D3D3"/>
            <w:noWrap/>
            <w:tcMar>
              <w:top w:w="0" w:type="dxa"/>
              <w:left w:w="108" w:type="dxa"/>
              <w:bottom w:w="0" w:type="dxa"/>
              <w:right w:w="108" w:type="dxa"/>
            </w:tcMar>
            <w:vAlign w:val="center"/>
            <w:hideMark/>
          </w:tcPr>
          <w:p w:rsidR="008D4B2E" w:rsidRPr="002B59B9" w:rsidRDefault="008D4B2E" w:rsidP="00B818D2">
            <w:pPr>
              <w:pStyle w:val="a3"/>
              <w:spacing w:before="0" w:beforeAutospacing="0" w:after="0" w:afterAutospacing="0"/>
              <w:jc w:val="center"/>
              <w:rPr>
                <w:rFonts w:cs="Times New Roman"/>
                <w:sz w:val="18"/>
                <w:szCs w:val="18"/>
              </w:rPr>
            </w:pPr>
            <w:r w:rsidRPr="002B59B9">
              <w:rPr>
                <w:rFonts w:cs="Times New Roman" w:hint="eastAsia"/>
                <w:sz w:val="18"/>
                <w:szCs w:val="18"/>
              </w:rPr>
              <w:t>合并范围内关联方</w:t>
            </w:r>
          </w:p>
        </w:tc>
        <w:tc>
          <w:tcPr>
            <w:tcW w:w="77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D4B2E" w:rsidRPr="002B59B9" w:rsidRDefault="008D4B2E" w:rsidP="00B818D2">
            <w:pPr>
              <w:pStyle w:val="a3"/>
              <w:spacing w:before="0" w:beforeAutospacing="0" w:after="0" w:afterAutospacing="0"/>
              <w:rPr>
                <w:rFonts w:cs="Times New Roman"/>
                <w:sz w:val="18"/>
                <w:szCs w:val="18"/>
              </w:rPr>
            </w:pPr>
            <w:r w:rsidRPr="002B59B9">
              <w:rPr>
                <w:rFonts w:cs="Times New Roman" w:hint="eastAsia"/>
                <w:sz w:val="18"/>
                <w:szCs w:val="18"/>
              </w:rPr>
              <w:t>合并报表范围内公司间应收款项（个别报表）</w:t>
            </w:r>
          </w:p>
        </w:tc>
      </w:tr>
      <w:tr w:rsidR="008D4B2E" w:rsidTr="007E0ED4">
        <w:trPr>
          <w:divId w:val="387455544"/>
          <w:trHeight w:val="300"/>
        </w:trPr>
        <w:tc>
          <w:tcPr>
            <w:tcW w:w="1951" w:type="dxa"/>
            <w:tcBorders>
              <w:top w:val="nil"/>
              <w:left w:val="single" w:sz="8" w:space="0" w:color="auto"/>
              <w:bottom w:val="single" w:sz="8" w:space="0" w:color="auto"/>
              <w:right w:val="single" w:sz="8" w:space="0" w:color="auto"/>
            </w:tcBorders>
            <w:shd w:val="clear" w:color="auto" w:fill="D3D3D3"/>
            <w:noWrap/>
            <w:tcMar>
              <w:top w:w="0" w:type="dxa"/>
              <w:left w:w="108" w:type="dxa"/>
              <w:bottom w:w="0" w:type="dxa"/>
              <w:right w:w="108" w:type="dxa"/>
            </w:tcMar>
            <w:vAlign w:val="center"/>
            <w:hideMark/>
          </w:tcPr>
          <w:p w:rsidR="008D4B2E" w:rsidRPr="002B59B9" w:rsidRDefault="008D4B2E" w:rsidP="00B818D2">
            <w:pPr>
              <w:pStyle w:val="a3"/>
              <w:spacing w:before="0" w:beforeAutospacing="0" w:after="0" w:afterAutospacing="0"/>
              <w:jc w:val="center"/>
              <w:rPr>
                <w:rFonts w:cs="Times New Roman"/>
                <w:sz w:val="18"/>
                <w:szCs w:val="18"/>
              </w:rPr>
            </w:pPr>
            <w:r w:rsidRPr="002B59B9">
              <w:rPr>
                <w:rFonts w:cs="Times New Roman" w:hint="eastAsia"/>
                <w:sz w:val="18"/>
                <w:szCs w:val="18"/>
              </w:rPr>
              <w:t>采用账龄的组合</w:t>
            </w:r>
          </w:p>
        </w:tc>
        <w:tc>
          <w:tcPr>
            <w:tcW w:w="77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D4B2E" w:rsidRPr="002B59B9" w:rsidRDefault="008D4B2E" w:rsidP="00B818D2">
            <w:pPr>
              <w:pStyle w:val="a3"/>
              <w:spacing w:before="0" w:beforeAutospacing="0" w:after="0" w:afterAutospacing="0"/>
              <w:rPr>
                <w:rFonts w:cs="Times New Roman"/>
                <w:sz w:val="18"/>
                <w:szCs w:val="18"/>
              </w:rPr>
            </w:pPr>
            <w:r w:rsidRPr="002B59B9">
              <w:rPr>
                <w:rFonts w:cs="Times New Roman" w:hint="eastAsia"/>
                <w:sz w:val="18"/>
                <w:szCs w:val="18"/>
              </w:rPr>
              <w:t>合并报表范围外的境内各公司账面的应收款项，本组合以应收款项的账</w:t>
            </w:r>
            <w:proofErr w:type="gramStart"/>
            <w:r w:rsidRPr="002B59B9">
              <w:rPr>
                <w:rFonts w:cs="Times New Roman" w:hint="eastAsia"/>
                <w:sz w:val="18"/>
                <w:szCs w:val="18"/>
              </w:rPr>
              <w:t>龄作为</w:t>
            </w:r>
            <w:proofErr w:type="gramEnd"/>
            <w:r w:rsidRPr="002B59B9">
              <w:rPr>
                <w:rFonts w:cs="Times New Roman" w:hint="eastAsia"/>
                <w:sz w:val="18"/>
                <w:szCs w:val="18"/>
              </w:rPr>
              <w:t>信用风险特征。</w:t>
            </w:r>
          </w:p>
        </w:tc>
      </w:tr>
      <w:tr w:rsidR="008D4B2E" w:rsidTr="007E0ED4">
        <w:trPr>
          <w:divId w:val="387455544"/>
          <w:trHeight w:val="300"/>
        </w:trPr>
        <w:tc>
          <w:tcPr>
            <w:tcW w:w="1951" w:type="dxa"/>
            <w:tcBorders>
              <w:top w:val="nil"/>
              <w:left w:val="single" w:sz="8" w:space="0" w:color="auto"/>
              <w:bottom w:val="single" w:sz="8" w:space="0" w:color="auto"/>
              <w:right w:val="single" w:sz="8" w:space="0" w:color="auto"/>
            </w:tcBorders>
            <w:shd w:val="clear" w:color="auto" w:fill="D3D3D3"/>
            <w:noWrap/>
            <w:tcMar>
              <w:top w:w="0" w:type="dxa"/>
              <w:left w:w="108" w:type="dxa"/>
              <w:bottom w:w="0" w:type="dxa"/>
              <w:right w:w="108" w:type="dxa"/>
            </w:tcMar>
            <w:vAlign w:val="center"/>
            <w:hideMark/>
          </w:tcPr>
          <w:p w:rsidR="008D4B2E" w:rsidRPr="002B59B9" w:rsidRDefault="008D4B2E" w:rsidP="00B818D2">
            <w:pPr>
              <w:pStyle w:val="a3"/>
              <w:spacing w:before="0" w:beforeAutospacing="0" w:after="0" w:afterAutospacing="0"/>
              <w:jc w:val="center"/>
              <w:rPr>
                <w:rFonts w:cs="Times New Roman"/>
                <w:sz w:val="18"/>
                <w:szCs w:val="18"/>
              </w:rPr>
            </w:pPr>
            <w:r w:rsidRPr="002B59B9">
              <w:rPr>
                <w:rFonts w:cs="Times New Roman" w:hint="eastAsia"/>
                <w:sz w:val="18"/>
                <w:szCs w:val="18"/>
              </w:rPr>
              <w:t>采用个别认定的组合</w:t>
            </w:r>
          </w:p>
        </w:tc>
        <w:tc>
          <w:tcPr>
            <w:tcW w:w="77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D4B2E" w:rsidRPr="002B59B9" w:rsidRDefault="008D4B2E" w:rsidP="00B818D2">
            <w:pPr>
              <w:pStyle w:val="a3"/>
              <w:spacing w:before="0" w:beforeAutospacing="0" w:after="0" w:afterAutospacing="0"/>
              <w:rPr>
                <w:rFonts w:cs="Times New Roman"/>
                <w:sz w:val="18"/>
                <w:szCs w:val="18"/>
              </w:rPr>
            </w:pPr>
            <w:r w:rsidRPr="002B59B9">
              <w:rPr>
                <w:rFonts w:cs="Times New Roman" w:hint="eastAsia"/>
                <w:sz w:val="18"/>
                <w:szCs w:val="18"/>
              </w:rPr>
              <w:t>管理手段可以用个别现金流量来判断，包括境外公司的单位或个人，以及对有确凿证据表明可收回性存在明显差异的应收款项，单独进行减值测试</w:t>
            </w:r>
          </w:p>
        </w:tc>
      </w:tr>
    </w:tbl>
    <w:p w:rsidR="008D4B2E" w:rsidRDefault="008D4B2E" w:rsidP="00B818D2">
      <w:pPr>
        <w:divId w:val="387455544"/>
      </w:pPr>
    </w:p>
    <w:p w:rsidR="00BA0365" w:rsidRDefault="008D4B2E" w:rsidP="00B818D2">
      <w:pPr>
        <w:pStyle w:val="3"/>
        <w:spacing w:line="240" w:lineRule="auto"/>
        <w:jc w:val="left"/>
        <w:rPr>
          <w:rFonts w:ascii="宋体" w:hAnsi="宋体" w:cs="宋体"/>
          <w:b/>
          <w:bCs/>
        </w:rPr>
      </w:pPr>
      <w:bookmarkStart w:id="181" w:name="_Toc989069"/>
      <w:r>
        <w:rPr>
          <w:rFonts w:ascii="宋体" w:hAnsi="宋体" w:cs="宋体"/>
          <w:b/>
          <w:bCs/>
        </w:rPr>
        <w:t>16、合同资产</w:t>
      </w:r>
      <w:bookmarkEnd w:id="181"/>
    </w:p>
    <w:p w:rsidR="008D4B2E" w:rsidRPr="002B59B9" w:rsidRDefault="008D4B2E" w:rsidP="00B818D2">
      <w:pPr>
        <w:pStyle w:val="a3"/>
        <w:spacing w:before="0" w:beforeAutospacing="0" w:after="0" w:afterAutospacing="0"/>
        <w:ind w:firstLine="400"/>
        <w:divId w:val="1804807151"/>
        <w:rPr>
          <w:rFonts w:cs="Times New Roman"/>
          <w:color w:val="000000"/>
          <w:sz w:val="18"/>
          <w:szCs w:val="18"/>
        </w:rPr>
      </w:pPr>
      <w:r w:rsidRPr="002B59B9">
        <w:rPr>
          <w:rFonts w:cs="Times New Roman" w:hint="eastAsia"/>
          <w:color w:val="000000"/>
          <w:sz w:val="18"/>
          <w:szCs w:val="18"/>
        </w:rPr>
        <w:t>本公司将客户尚未支付合同对价，但本公司已经依据合同履行了履约义务，且不属于无条件（即仅取决于时间流逝）向客户收款的权利，在资产负债表中列示为合同资产。同一合同下的合同资产和合同负债以净额列示，不同合同下的合同资产和合同负债不予</w:t>
      </w:r>
      <w:proofErr w:type="gramStart"/>
      <w:r w:rsidRPr="002B59B9">
        <w:rPr>
          <w:rFonts w:cs="Times New Roman" w:hint="eastAsia"/>
          <w:color w:val="000000"/>
          <w:sz w:val="18"/>
          <w:szCs w:val="18"/>
        </w:rPr>
        <w:t>抵销</w:t>
      </w:r>
      <w:proofErr w:type="gramEnd"/>
      <w:r w:rsidRPr="002B59B9">
        <w:rPr>
          <w:rFonts w:cs="Times New Roman" w:hint="eastAsia"/>
          <w:color w:val="000000"/>
          <w:sz w:val="18"/>
          <w:szCs w:val="18"/>
        </w:rPr>
        <w:t>。</w:t>
      </w:r>
    </w:p>
    <w:p w:rsidR="008D4B2E" w:rsidRPr="002B59B9" w:rsidRDefault="008D4B2E" w:rsidP="00B818D2">
      <w:pPr>
        <w:pStyle w:val="a3"/>
        <w:spacing w:before="0" w:beforeAutospacing="0" w:after="0" w:afterAutospacing="0"/>
        <w:ind w:firstLine="400"/>
        <w:jc w:val="both"/>
        <w:divId w:val="1804807151"/>
        <w:rPr>
          <w:rFonts w:cs="Times New Roman"/>
          <w:color w:val="000000"/>
          <w:sz w:val="18"/>
          <w:szCs w:val="18"/>
        </w:rPr>
      </w:pPr>
      <w:r w:rsidRPr="002B59B9">
        <w:rPr>
          <w:rFonts w:cs="Times New Roman" w:hint="eastAsia"/>
          <w:color w:val="000000"/>
          <w:sz w:val="18"/>
          <w:szCs w:val="18"/>
        </w:rPr>
        <w:lastRenderedPageBreak/>
        <w:t>合同资产预期信用损失的确定方法和会计处理方法参见附注四、金融资产减值。</w:t>
      </w:r>
    </w:p>
    <w:p w:rsidR="00BA0365" w:rsidRDefault="008D4B2E" w:rsidP="00B818D2">
      <w:pPr>
        <w:pStyle w:val="3"/>
        <w:spacing w:line="240" w:lineRule="auto"/>
        <w:jc w:val="left"/>
        <w:rPr>
          <w:rFonts w:ascii="宋体" w:hAnsi="宋体" w:cs="宋体"/>
          <w:b/>
          <w:bCs/>
        </w:rPr>
      </w:pPr>
      <w:bookmarkStart w:id="182" w:name="_Toc989070"/>
      <w:r>
        <w:rPr>
          <w:rFonts w:ascii="宋体" w:hAnsi="宋体" w:cs="宋体"/>
          <w:b/>
          <w:bCs/>
        </w:rPr>
        <w:t>17、存货</w:t>
      </w:r>
      <w:bookmarkEnd w:id="182"/>
    </w:p>
    <w:p w:rsidR="008D4B2E" w:rsidRPr="002B59B9" w:rsidRDefault="008D4B2E" w:rsidP="00B818D2">
      <w:pPr>
        <w:pStyle w:val="a3"/>
        <w:spacing w:before="0" w:beforeAutospacing="0" w:after="0" w:afterAutospacing="0"/>
        <w:ind w:firstLine="420"/>
        <w:divId w:val="2126926668"/>
        <w:rPr>
          <w:rFonts w:cs="Times New Roman"/>
          <w:color w:val="000000"/>
          <w:sz w:val="18"/>
          <w:szCs w:val="18"/>
        </w:rPr>
      </w:pPr>
      <w:r w:rsidRPr="002B59B9">
        <w:rPr>
          <w:rFonts w:cs="Times New Roman" w:hint="eastAsia"/>
          <w:color w:val="000000"/>
          <w:sz w:val="18"/>
          <w:szCs w:val="18"/>
        </w:rPr>
        <w:t>（</w:t>
      </w:r>
      <w:r w:rsidRPr="002B59B9">
        <w:rPr>
          <w:rFonts w:cs="Times New Roman"/>
          <w:color w:val="000000"/>
          <w:sz w:val="18"/>
          <w:szCs w:val="18"/>
        </w:rPr>
        <w:t>1</w:t>
      </w:r>
      <w:r w:rsidRPr="002B59B9">
        <w:rPr>
          <w:rFonts w:cs="Times New Roman" w:hint="eastAsia"/>
          <w:color w:val="000000"/>
          <w:sz w:val="18"/>
          <w:szCs w:val="18"/>
        </w:rPr>
        <w:t>）存货的分类</w:t>
      </w:r>
    </w:p>
    <w:p w:rsidR="008D4B2E" w:rsidRPr="002B59B9" w:rsidRDefault="008D4B2E" w:rsidP="00B818D2">
      <w:pPr>
        <w:pStyle w:val="a3"/>
        <w:spacing w:before="0" w:beforeAutospacing="0" w:after="0" w:afterAutospacing="0"/>
        <w:ind w:firstLine="420"/>
        <w:divId w:val="2126926668"/>
        <w:rPr>
          <w:rFonts w:cs="Times New Roman"/>
          <w:color w:val="000000"/>
          <w:sz w:val="18"/>
          <w:szCs w:val="18"/>
        </w:rPr>
      </w:pPr>
      <w:r w:rsidRPr="002B59B9">
        <w:rPr>
          <w:rFonts w:cs="Times New Roman" w:hint="eastAsia"/>
          <w:color w:val="000000"/>
          <w:sz w:val="18"/>
          <w:szCs w:val="18"/>
        </w:rPr>
        <w:t>存货主要包括原材料、自制半成品、库存商品、周转材料等。</w:t>
      </w:r>
    </w:p>
    <w:p w:rsidR="008D4B2E" w:rsidRPr="002B59B9" w:rsidRDefault="008D4B2E" w:rsidP="00B818D2">
      <w:pPr>
        <w:pStyle w:val="a3"/>
        <w:spacing w:before="0" w:beforeAutospacing="0" w:after="0" w:afterAutospacing="0"/>
        <w:ind w:firstLine="420"/>
        <w:divId w:val="2126926668"/>
        <w:rPr>
          <w:rFonts w:cs="Times New Roman"/>
          <w:color w:val="000000"/>
          <w:sz w:val="18"/>
          <w:szCs w:val="18"/>
        </w:rPr>
      </w:pPr>
      <w:r w:rsidRPr="002B59B9">
        <w:rPr>
          <w:rFonts w:cs="Times New Roman" w:hint="eastAsia"/>
          <w:color w:val="000000"/>
          <w:sz w:val="18"/>
          <w:szCs w:val="18"/>
        </w:rPr>
        <w:t>（</w:t>
      </w:r>
      <w:r w:rsidRPr="002B59B9">
        <w:rPr>
          <w:rFonts w:cs="Times New Roman"/>
          <w:color w:val="000000"/>
          <w:sz w:val="18"/>
          <w:szCs w:val="18"/>
        </w:rPr>
        <w:t>2</w:t>
      </w:r>
      <w:r w:rsidRPr="002B59B9">
        <w:rPr>
          <w:rFonts w:cs="Times New Roman" w:hint="eastAsia"/>
          <w:color w:val="000000"/>
          <w:sz w:val="18"/>
          <w:szCs w:val="18"/>
        </w:rPr>
        <w:t>）存货取得和发出的计价方法</w:t>
      </w:r>
    </w:p>
    <w:p w:rsidR="008D4B2E" w:rsidRPr="002B59B9" w:rsidRDefault="008D4B2E" w:rsidP="00B818D2">
      <w:pPr>
        <w:pStyle w:val="a3"/>
        <w:spacing w:before="0" w:beforeAutospacing="0" w:after="0" w:afterAutospacing="0"/>
        <w:ind w:firstLine="420"/>
        <w:divId w:val="2126926668"/>
        <w:rPr>
          <w:rFonts w:cs="Times New Roman"/>
          <w:color w:val="000000"/>
          <w:sz w:val="18"/>
          <w:szCs w:val="18"/>
        </w:rPr>
      </w:pPr>
      <w:r w:rsidRPr="002B59B9">
        <w:rPr>
          <w:rFonts w:cs="Times New Roman" w:hint="eastAsia"/>
          <w:color w:val="000000"/>
          <w:sz w:val="18"/>
          <w:szCs w:val="18"/>
        </w:rPr>
        <w:t>存货在取得时按实际成本计价，存货成本包括采购成本、加工成本和其他成本。领用和发出时按加权平均法计价。</w:t>
      </w:r>
    </w:p>
    <w:p w:rsidR="008D4B2E" w:rsidRPr="002B59B9" w:rsidRDefault="008D4B2E" w:rsidP="00B818D2">
      <w:pPr>
        <w:pStyle w:val="a3"/>
        <w:spacing w:before="0" w:beforeAutospacing="0" w:after="0" w:afterAutospacing="0"/>
        <w:ind w:firstLine="420"/>
        <w:divId w:val="2126926668"/>
        <w:rPr>
          <w:rFonts w:cs="Times New Roman"/>
          <w:color w:val="000000"/>
          <w:sz w:val="18"/>
          <w:szCs w:val="18"/>
        </w:rPr>
      </w:pPr>
      <w:r w:rsidRPr="002B59B9">
        <w:rPr>
          <w:rFonts w:cs="Times New Roman" w:hint="eastAsia"/>
          <w:color w:val="000000"/>
          <w:sz w:val="18"/>
          <w:szCs w:val="18"/>
        </w:rPr>
        <w:t>（</w:t>
      </w:r>
      <w:r w:rsidRPr="002B59B9">
        <w:rPr>
          <w:rFonts w:cs="Times New Roman"/>
          <w:color w:val="000000"/>
          <w:sz w:val="18"/>
          <w:szCs w:val="18"/>
        </w:rPr>
        <w:t>3</w:t>
      </w:r>
      <w:r w:rsidRPr="002B59B9">
        <w:rPr>
          <w:rFonts w:cs="Times New Roman" w:hint="eastAsia"/>
          <w:color w:val="000000"/>
          <w:sz w:val="18"/>
          <w:szCs w:val="18"/>
        </w:rPr>
        <w:t>）存货可变现净值的确认和跌价准备的计提方法</w:t>
      </w:r>
    </w:p>
    <w:p w:rsidR="008D4B2E" w:rsidRPr="002B59B9" w:rsidRDefault="008D4B2E" w:rsidP="00B818D2">
      <w:pPr>
        <w:pStyle w:val="a3"/>
        <w:spacing w:before="0" w:beforeAutospacing="0" w:after="0" w:afterAutospacing="0"/>
        <w:ind w:firstLine="420"/>
        <w:divId w:val="2126926668"/>
        <w:rPr>
          <w:rFonts w:cs="Times New Roman"/>
          <w:color w:val="000000"/>
          <w:sz w:val="18"/>
          <w:szCs w:val="18"/>
        </w:rPr>
      </w:pPr>
      <w:r w:rsidRPr="002B59B9">
        <w:rPr>
          <w:rFonts w:cs="Times New Roman" w:hint="eastAsia"/>
          <w:color w:val="000000"/>
          <w:sz w:val="18"/>
          <w:szCs w:val="18"/>
        </w:rPr>
        <w:t>可变现净值是指在日常活动中，存货的估计售价减去至完工时估计将要发生的成本、估计的销售费用以及相关税费后的金额。在确定存货的可变现净值时，以取得的确凿证据为基础，同时考虑持有存货的目的以及资产负债表日后事项的影响。</w:t>
      </w:r>
    </w:p>
    <w:p w:rsidR="008D4B2E" w:rsidRPr="002B59B9" w:rsidRDefault="008D4B2E" w:rsidP="00B818D2">
      <w:pPr>
        <w:pStyle w:val="a3"/>
        <w:spacing w:before="0" w:beforeAutospacing="0" w:after="0" w:afterAutospacing="0"/>
        <w:ind w:firstLine="420"/>
        <w:divId w:val="2126926668"/>
        <w:rPr>
          <w:rFonts w:cs="Times New Roman"/>
          <w:color w:val="000000"/>
          <w:sz w:val="18"/>
          <w:szCs w:val="18"/>
        </w:rPr>
      </w:pPr>
      <w:r w:rsidRPr="002B59B9">
        <w:rPr>
          <w:rFonts w:cs="Times New Roman" w:hint="eastAsia"/>
          <w:color w:val="000000"/>
          <w:sz w:val="18"/>
          <w:szCs w:val="18"/>
        </w:rPr>
        <w:t>在资产负债表日，存货按照成本与可变现净值孰低计量。当其可变现净值低于成本时，提取存货跌价准备。存货跌价准备按单个存货项目的成本高于其可变现净值的差额提取。</w:t>
      </w:r>
    </w:p>
    <w:p w:rsidR="008D4B2E" w:rsidRPr="002B59B9" w:rsidRDefault="008D4B2E" w:rsidP="00B818D2">
      <w:pPr>
        <w:pStyle w:val="a3"/>
        <w:spacing w:before="0" w:beforeAutospacing="0" w:after="0" w:afterAutospacing="0"/>
        <w:ind w:firstLine="420"/>
        <w:divId w:val="2126926668"/>
        <w:rPr>
          <w:rFonts w:cs="Times New Roman"/>
          <w:color w:val="000000"/>
          <w:sz w:val="18"/>
          <w:szCs w:val="18"/>
        </w:rPr>
      </w:pPr>
      <w:r w:rsidRPr="002B59B9">
        <w:rPr>
          <w:rFonts w:cs="Times New Roman" w:hint="eastAsia"/>
          <w:color w:val="000000"/>
          <w:sz w:val="18"/>
          <w:szCs w:val="18"/>
        </w:rPr>
        <w:t>计提存货跌价准备后，如果</w:t>
      </w:r>
      <w:proofErr w:type="gramStart"/>
      <w:r w:rsidRPr="002B59B9">
        <w:rPr>
          <w:rFonts w:cs="Times New Roman" w:hint="eastAsia"/>
          <w:color w:val="000000"/>
          <w:sz w:val="18"/>
          <w:szCs w:val="18"/>
        </w:rPr>
        <w:t>以前减记</w:t>
      </w:r>
      <w:proofErr w:type="gramEnd"/>
      <w:r w:rsidRPr="002B59B9">
        <w:rPr>
          <w:rFonts w:cs="Times New Roman" w:hint="eastAsia"/>
          <w:color w:val="000000"/>
          <w:sz w:val="18"/>
          <w:szCs w:val="18"/>
        </w:rPr>
        <w:t>存货价值的影响因素已经消失，导致存货的可变现净值高于其账面价值的，在原已计提的存货跌价准备金额内予以转回，转回的金额计入当期损益。</w:t>
      </w:r>
    </w:p>
    <w:p w:rsidR="008D4B2E" w:rsidRPr="002B59B9" w:rsidRDefault="008D4B2E" w:rsidP="00B818D2">
      <w:pPr>
        <w:pStyle w:val="a3"/>
        <w:spacing w:before="0" w:beforeAutospacing="0" w:after="0" w:afterAutospacing="0"/>
        <w:ind w:firstLine="420"/>
        <w:divId w:val="2126926668"/>
        <w:rPr>
          <w:rFonts w:cs="Times New Roman"/>
          <w:color w:val="000000"/>
          <w:sz w:val="18"/>
          <w:szCs w:val="18"/>
        </w:rPr>
      </w:pPr>
      <w:r w:rsidRPr="002B59B9">
        <w:rPr>
          <w:rFonts w:cs="Times New Roman" w:hint="eastAsia"/>
          <w:color w:val="000000"/>
          <w:sz w:val="18"/>
          <w:szCs w:val="18"/>
        </w:rPr>
        <w:t>（</w:t>
      </w:r>
      <w:r w:rsidRPr="002B59B9">
        <w:rPr>
          <w:rFonts w:cs="Times New Roman"/>
          <w:color w:val="000000"/>
          <w:sz w:val="18"/>
          <w:szCs w:val="18"/>
        </w:rPr>
        <w:t>4</w:t>
      </w:r>
      <w:r w:rsidRPr="002B59B9">
        <w:rPr>
          <w:rFonts w:cs="Times New Roman" w:hint="eastAsia"/>
          <w:color w:val="000000"/>
          <w:sz w:val="18"/>
          <w:szCs w:val="18"/>
        </w:rPr>
        <w:t>）存货的盘存制度为永续盘存制。</w:t>
      </w:r>
    </w:p>
    <w:p w:rsidR="008D4B2E" w:rsidRPr="002B59B9" w:rsidRDefault="008D4B2E" w:rsidP="00B818D2">
      <w:pPr>
        <w:pStyle w:val="a3"/>
        <w:spacing w:before="0" w:beforeAutospacing="0" w:after="0" w:afterAutospacing="0"/>
        <w:ind w:firstLine="420"/>
        <w:divId w:val="2126926668"/>
        <w:rPr>
          <w:rFonts w:cs="Times New Roman"/>
          <w:color w:val="000000"/>
          <w:sz w:val="18"/>
          <w:szCs w:val="18"/>
        </w:rPr>
      </w:pPr>
      <w:r w:rsidRPr="002B59B9">
        <w:rPr>
          <w:rFonts w:cs="Times New Roman" w:hint="eastAsia"/>
          <w:color w:val="000000"/>
          <w:sz w:val="18"/>
          <w:szCs w:val="18"/>
        </w:rPr>
        <w:t>（</w:t>
      </w:r>
      <w:r w:rsidRPr="002B59B9">
        <w:rPr>
          <w:rFonts w:cs="Times New Roman"/>
          <w:color w:val="000000"/>
          <w:sz w:val="18"/>
          <w:szCs w:val="18"/>
        </w:rPr>
        <w:t>5</w:t>
      </w:r>
      <w:r w:rsidRPr="002B59B9">
        <w:rPr>
          <w:rFonts w:cs="Times New Roman" w:hint="eastAsia"/>
          <w:color w:val="000000"/>
          <w:sz w:val="18"/>
          <w:szCs w:val="18"/>
        </w:rPr>
        <w:t>）低值易耗品的摊销方法</w:t>
      </w:r>
    </w:p>
    <w:p w:rsidR="008D4B2E" w:rsidRPr="002B59B9" w:rsidRDefault="008D4B2E" w:rsidP="00B818D2">
      <w:pPr>
        <w:pStyle w:val="a3"/>
        <w:spacing w:before="0" w:beforeAutospacing="0" w:after="0" w:afterAutospacing="0"/>
        <w:ind w:firstLine="420"/>
        <w:divId w:val="2126926668"/>
        <w:rPr>
          <w:rFonts w:cs="Times New Roman"/>
          <w:color w:val="000000"/>
          <w:sz w:val="18"/>
          <w:szCs w:val="18"/>
        </w:rPr>
      </w:pPr>
      <w:r w:rsidRPr="002B59B9">
        <w:rPr>
          <w:rFonts w:cs="Times New Roman" w:hint="eastAsia"/>
          <w:color w:val="000000"/>
          <w:sz w:val="18"/>
          <w:szCs w:val="18"/>
        </w:rPr>
        <w:t>低值易耗品于领用时按一次摊销法摊销。</w:t>
      </w:r>
    </w:p>
    <w:p w:rsidR="00BA0365" w:rsidRDefault="008D4B2E" w:rsidP="00B818D2">
      <w:pPr>
        <w:pStyle w:val="3"/>
        <w:spacing w:line="240" w:lineRule="auto"/>
        <w:jc w:val="left"/>
        <w:rPr>
          <w:rFonts w:ascii="宋体" w:hAnsi="宋体" w:cs="宋体"/>
          <w:b/>
          <w:bCs/>
        </w:rPr>
      </w:pPr>
      <w:bookmarkStart w:id="183" w:name="_Toc989071"/>
      <w:r>
        <w:rPr>
          <w:rFonts w:ascii="宋体" w:hAnsi="宋体" w:cs="宋体"/>
          <w:b/>
          <w:bCs/>
        </w:rPr>
        <w:t>18、持有待售资产</w:t>
      </w:r>
      <w:bookmarkEnd w:id="183"/>
    </w:p>
    <w:p w:rsidR="008D4B2E" w:rsidRPr="002B59B9" w:rsidRDefault="008D4B2E" w:rsidP="00B818D2">
      <w:pPr>
        <w:pStyle w:val="a3"/>
        <w:spacing w:before="0" w:beforeAutospacing="0" w:after="0" w:afterAutospacing="0"/>
        <w:ind w:firstLineChars="200" w:firstLine="360"/>
        <w:divId w:val="1006858449"/>
        <w:rPr>
          <w:rFonts w:cs="Times New Roman"/>
          <w:color w:val="000000"/>
          <w:sz w:val="18"/>
          <w:szCs w:val="18"/>
        </w:rPr>
      </w:pPr>
      <w:r w:rsidRPr="002B59B9">
        <w:rPr>
          <w:rFonts w:cs="Times New Roman" w:hint="eastAsia"/>
          <w:color w:val="000000"/>
          <w:sz w:val="18"/>
          <w:szCs w:val="18"/>
        </w:rPr>
        <w:t>本公司若主要通过出售（包括具有商业实质的非货币性资产交换，下同）而非持续使用一项非流动资产或</w:t>
      </w:r>
      <w:proofErr w:type="gramStart"/>
      <w:r w:rsidRPr="002B59B9">
        <w:rPr>
          <w:rFonts w:cs="Times New Roman" w:hint="eastAsia"/>
          <w:color w:val="000000"/>
          <w:sz w:val="18"/>
          <w:szCs w:val="18"/>
        </w:rPr>
        <w:t>处置组</w:t>
      </w:r>
      <w:proofErr w:type="gramEnd"/>
      <w:r w:rsidRPr="002B59B9">
        <w:rPr>
          <w:rFonts w:cs="Times New Roman" w:hint="eastAsia"/>
          <w:color w:val="000000"/>
          <w:sz w:val="18"/>
          <w:szCs w:val="18"/>
        </w:rPr>
        <w:t>收回其账面价值的，则将其划分为持有待售类别。具体标准为同时满足以下条件：某项非流动资产或</w:t>
      </w:r>
      <w:proofErr w:type="gramStart"/>
      <w:r w:rsidRPr="002B59B9">
        <w:rPr>
          <w:rFonts w:cs="Times New Roman" w:hint="eastAsia"/>
          <w:color w:val="000000"/>
          <w:sz w:val="18"/>
          <w:szCs w:val="18"/>
        </w:rPr>
        <w:t>处置组</w:t>
      </w:r>
      <w:proofErr w:type="gramEnd"/>
      <w:r w:rsidRPr="002B59B9">
        <w:rPr>
          <w:rFonts w:cs="Times New Roman" w:hint="eastAsia"/>
          <w:color w:val="000000"/>
          <w:sz w:val="18"/>
          <w:szCs w:val="18"/>
        </w:rPr>
        <w:t>根据类似交易中出售此类资产或</w:t>
      </w:r>
      <w:proofErr w:type="gramStart"/>
      <w:r w:rsidRPr="002B59B9">
        <w:rPr>
          <w:rFonts w:cs="Times New Roman" w:hint="eastAsia"/>
          <w:color w:val="000000"/>
          <w:sz w:val="18"/>
          <w:szCs w:val="18"/>
        </w:rPr>
        <w:t>处置组</w:t>
      </w:r>
      <w:proofErr w:type="gramEnd"/>
      <w:r w:rsidRPr="002B59B9">
        <w:rPr>
          <w:rFonts w:cs="Times New Roman" w:hint="eastAsia"/>
          <w:color w:val="000000"/>
          <w:sz w:val="18"/>
          <w:szCs w:val="18"/>
        </w:rPr>
        <w:t>的惯例，在当前状况下即可立即出售；本公司已经就出售计划</w:t>
      </w:r>
      <w:proofErr w:type="gramStart"/>
      <w:r w:rsidRPr="002B59B9">
        <w:rPr>
          <w:rFonts w:cs="Times New Roman" w:hint="eastAsia"/>
          <w:color w:val="000000"/>
          <w:sz w:val="18"/>
          <w:szCs w:val="18"/>
        </w:rPr>
        <w:t>作出</w:t>
      </w:r>
      <w:proofErr w:type="gramEnd"/>
      <w:r w:rsidRPr="002B59B9">
        <w:rPr>
          <w:rFonts w:cs="Times New Roman" w:hint="eastAsia"/>
          <w:color w:val="000000"/>
          <w:sz w:val="18"/>
          <w:szCs w:val="18"/>
        </w:rPr>
        <w:t>决议且获得确定的购买承诺；预计出售将在一年内完成。其中，</w:t>
      </w:r>
      <w:proofErr w:type="gramStart"/>
      <w:r w:rsidRPr="002B59B9">
        <w:rPr>
          <w:rFonts w:cs="Times New Roman" w:hint="eastAsia"/>
          <w:color w:val="000000"/>
          <w:sz w:val="18"/>
          <w:szCs w:val="18"/>
        </w:rPr>
        <w:t>处置组</w:t>
      </w:r>
      <w:proofErr w:type="gramEnd"/>
      <w:r w:rsidRPr="002B59B9">
        <w:rPr>
          <w:rFonts w:cs="Times New Roman" w:hint="eastAsia"/>
          <w:color w:val="000000"/>
          <w:sz w:val="18"/>
          <w:szCs w:val="18"/>
        </w:rPr>
        <w:t>是指在一项交易中作为整体通过出售或其他方式一并处置的一组资产，以及在该交易中转让的与这些资产直接相关的负债。</w:t>
      </w:r>
      <w:proofErr w:type="gramStart"/>
      <w:r w:rsidRPr="002B59B9">
        <w:rPr>
          <w:rFonts w:cs="Times New Roman" w:hint="eastAsia"/>
          <w:color w:val="000000"/>
          <w:sz w:val="18"/>
          <w:szCs w:val="18"/>
        </w:rPr>
        <w:t>处置组所属</w:t>
      </w:r>
      <w:proofErr w:type="gramEnd"/>
      <w:r w:rsidRPr="002B59B9">
        <w:rPr>
          <w:rFonts w:cs="Times New Roman" w:hint="eastAsia"/>
          <w:color w:val="000000"/>
          <w:sz w:val="18"/>
          <w:szCs w:val="18"/>
        </w:rPr>
        <w:t>的资产组或资产组组合按照《企业会计准则第</w:t>
      </w:r>
      <w:r w:rsidRPr="002B59B9">
        <w:rPr>
          <w:rFonts w:cs="Times New Roman"/>
          <w:color w:val="000000"/>
          <w:sz w:val="18"/>
          <w:szCs w:val="18"/>
        </w:rPr>
        <w:t xml:space="preserve"> 8 </w:t>
      </w:r>
      <w:r w:rsidRPr="002B59B9">
        <w:rPr>
          <w:rFonts w:cs="Times New Roman" w:hint="eastAsia"/>
          <w:color w:val="000000"/>
          <w:sz w:val="18"/>
          <w:szCs w:val="18"/>
        </w:rPr>
        <w:t>号</w:t>
      </w:r>
      <w:r w:rsidRPr="002B59B9">
        <w:rPr>
          <w:rFonts w:cs="Times New Roman"/>
          <w:color w:val="000000"/>
          <w:sz w:val="18"/>
          <w:szCs w:val="18"/>
        </w:rPr>
        <w:t>——</w:t>
      </w:r>
      <w:r w:rsidRPr="002B59B9">
        <w:rPr>
          <w:rFonts w:cs="Times New Roman" w:hint="eastAsia"/>
          <w:color w:val="000000"/>
          <w:sz w:val="18"/>
          <w:szCs w:val="18"/>
        </w:rPr>
        <w:t>资产减值》分摊了企业合并中取得的商誉的，该</w:t>
      </w:r>
      <w:proofErr w:type="gramStart"/>
      <w:r w:rsidRPr="002B59B9">
        <w:rPr>
          <w:rFonts w:cs="Times New Roman" w:hint="eastAsia"/>
          <w:color w:val="000000"/>
          <w:sz w:val="18"/>
          <w:szCs w:val="18"/>
        </w:rPr>
        <w:t>处置组</w:t>
      </w:r>
      <w:proofErr w:type="gramEnd"/>
      <w:r w:rsidRPr="002B59B9">
        <w:rPr>
          <w:rFonts w:cs="Times New Roman" w:hint="eastAsia"/>
          <w:color w:val="000000"/>
          <w:sz w:val="18"/>
          <w:szCs w:val="18"/>
        </w:rPr>
        <w:t>应当包含分摊至</w:t>
      </w:r>
      <w:proofErr w:type="gramStart"/>
      <w:r w:rsidRPr="002B59B9">
        <w:rPr>
          <w:rFonts w:cs="Times New Roman" w:hint="eastAsia"/>
          <w:color w:val="000000"/>
          <w:sz w:val="18"/>
          <w:szCs w:val="18"/>
        </w:rPr>
        <w:t>处置组</w:t>
      </w:r>
      <w:proofErr w:type="gramEnd"/>
      <w:r w:rsidRPr="002B59B9">
        <w:rPr>
          <w:rFonts w:cs="Times New Roman" w:hint="eastAsia"/>
          <w:color w:val="000000"/>
          <w:sz w:val="18"/>
          <w:szCs w:val="18"/>
        </w:rPr>
        <w:t>的商誉。</w:t>
      </w:r>
    </w:p>
    <w:p w:rsidR="008D4B2E" w:rsidRPr="002B59B9" w:rsidRDefault="008D4B2E" w:rsidP="00B818D2">
      <w:pPr>
        <w:pStyle w:val="a3"/>
        <w:spacing w:before="0" w:beforeAutospacing="0" w:after="0" w:afterAutospacing="0"/>
        <w:ind w:firstLineChars="200" w:firstLine="360"/>
        <w:divId w:val="1006858449"/>
        <w:rPr>
          <w:rFonts w:cs="Times New Roman"/>
          <w:color w:val="000000"/>
          <w:sz w:val="18"/>
          <w:szCs w:val="18"/>
        </w:rPr>
      </w:pPr>
      <w:r w:rsidRPr="002B59B9">
        <w:rPr>
          <w:rFonts w:cs="Times New Roman" w:hint="eastAsia"/>
          <w:color w:val="000000"/>
          <w:sz w:val="18"/>
          <w:szCs w:val="18"/>
        </w:rPr>
        <w:t>本公司初始计量或在资产负债表日重新计量划分为持有待售的非流动资产和</w:t>
      </w:r>
      <w:proofErr w:type="gramStart"/>
      <w:r w:rsidRPr="002B59B9">
        <w:rPr>
          <w:rFonts w:cs="Times New Roman" w:hint="eastAsia"/>
          <w:color w:val="000000"/>
          <w:sz w:val="18"/>
          <w:szCs w:val="18"/>
        </w:rPr>
        <w:t>处置组</w:t>
      </w:r>
      <w:proofErr w:type="gramEnd"/>
      <w:r w:rsidRPr="002B59B9">
        <w:rPr>
          <w:rFonts w:cs="Times New Roman" w:hint="eastAsia"/>
          <w:color w:val="000000"/>
          <w:sz w:val="18"/>
          <w:szCs w:val="18"/>
        </w:rPr>
        <w:t>时，其账面价值高于公允价值减去出售费用后的净额的，将账面价值</w:t>
      </w:r>
      <w:proofErr w:type="gramStart"/>
      <w:r w:rsidRPr="002B59B9">
        <w:rPr>
          <w:rFonts w:cs="Times New Roman" w:hint="eastAsia"/>
          <w:color w:val="000000"/>
          <w:sz w:val="18"/>
          <w:szCs w:val="18"/>
        </w:rPr>
        <w:t>减记至</w:t>
      </w:r>
      <w:proofErr w:type="gramEnd"/>
      <w:r w:rsidRPr="002B59B9">
        <w:rPr>
          <w:rFonts w:cs="Times New Roman" w:hint="eastAsia"/>
          <w:color w:val="000000"/>
          <w:sz w:val="18"/>
          <w:szCs w:val="18"/>
        </w:rPr>
        <w:t>公允价值减去出售费用后的净额，</w:t>
      </w:r>
      <w:proofErr w:type="gramStart"/>
      <w:r w:rsidRPr="002B59B9">
        <w:rPr>
          <w:rFonts w:cs="Times New Roman" w:hint="eastAsia"/>
          <w:color w:val="000000"/>
          <w:sz w:val="18"/>
          <w:szCs w:val="18"/>
        </w:rPr>
        <w:t>减记的</w:t>
      </w:r>
      <w:proofErr w:type="gramEnd"/>
      <w:r w:rsidRPr="002B59B9">
        <w:rPr>
          <w:rFonts w:cs="Times New Roman" w:hint="eastAsia"/>
          <w:color w:val="000000"/>
          <w:sz w:val="18"/>
          <w:szCs w:val="18"/>
        </w:rPr>
        <w:t>金额确认为资产减值损失，计入当期损益，同时计提持有待售资产减值准备。对于处置组，所确认的资产减值损失先抵减处置组中商誉的账面价值，再按比例抵减该处置组内适用《企业会计准则第</w:t>
      </w:r>
      <w:r w:rsidRPr="002B59B9">
        <w:rPr>
          <w:rFonts w:cs="Times New Roman"/>
          <w:color w:val="000000"/>
          <w:sz w:val="18"/>
          <w:szCs w:val="18"/>
        </w:rPr>
        <w:t>42</w:t>
      </w:r>
      <w:r w:rsidRPr="002B59B9">
        <w:rPr>
          <w:rFonts w:cs="Times New Roman" w:hint="eastAsia"/>
          <w:color w:val="000000"/>
          <w:sz w:val="18"/>
          <w:szCs w:val="18"/>
        </w:rPr>
        <w:t>号</w:t>
      </w:r>
      <w:r w:rsidRPr="002B59B9">
        <w:rPr>
          <w:rFonts w:cs="Times New Roman"/>
          <w:color w:val="000000"/>
          <w:sz w:val="18"/>
          <w:szCs w:val="18"/>
        </w:rPr>
        <w:t>——</w:t>
      </w:r>
      <w:r w:rsidRPr="002B59B9">
        <w:rPr>
          <w:rFonts w:cs="Times New Roman" w:hint="eastAsia"/>
          <w:color w:val="000000"/>
          <w:sz w:val="18"/>
          <w:szCs w:val="18"/>
        </w:rPr>
        <w:t>持有待售的非流动资产、处置组和终止经营》（以下简称</w:t>
      </w:r>
      <w:r w:rsidRPr="002B59B9">
        <w:rPr>
          <w:rFonts w:cs="Times New Roman"/>
          <w:color w:val="000000"/>
          <w:sz w:val="18"/>
          <w:szCs w:val="18"/>
        </w:rPr>
        <w:t>“</w:t>
      </w:r>
      <w:r w:rsidRPr="002B59B9">
        <w:rPr>
          <w:rFonts w:cs="Times New Roman" w:hint="eastAsia"/>
          <w:color w:val="000000"/>
          <w:sz w:val="18"/>
          <w:szCs w:val="18"/>
        </w:rPr>
        <w:t>持有待售准则</w:t>
      </w:r>
      <w:r w:rsidRPr="002B59B9">
        <w:rPr>
          <w:rFonts w:cs="Times New Roman"/>
          <w:color w:val="000000"/>
          <w:sz w:val="18"/>
          <w:szCs w:val="18"/>
        </w:rPr>
        <w:t>”</w:t>
      </w:r>
      <w:r w:rsidRPr="002B59B9">
        <w:rPr>
          <w:rFonts w:cs="Times New Roman" w:hint="eastAsia"/>
          <w:color w:val="000000"/>
          <w:sz w:val="18"/>
          <w:szCs w:val="18"/>
        </w:rPr>
        <w:t>）的计量规定的各项非流动资产的账面价值。后续资产负债表日持有待售的</w:t>
      </w:r>
      <w:proofErr w:type="gramStart"/>
      <w:r w:rsidRPr="002B59B9">
        <w:rPr>
          <w:rFonts w:cs="Times New Roman" w:hint="eastAsia"/>
          <w:color w:val="000000"/>
          <w:sz w:val="18"/>
          <w:szCs w:val="18"/>
        </w:rPr>
        <w:t>处置组</w:t>
      </w:r>
      <w:proofErr w:type="gramEnd"/>
      <w:r w:rsidRPr="002B59B9">
        <w:rPr>
          <w:rFonts w:cs="Times New Roman" w:hint="eastAsia"/>
          <w:color w:val="000000"/>
          <w:sz w:val="18"/>
          <w:szCs w:val="18"/>
        </w:rPr>
        <w:t>公允价值减去出售费用后的净额增加的，</w:t>
      </w:r>
      <w:proofErr w:type="gramStart"/>
      <w:r w:rsidRPr="002B59B9">
        <w:rPr>
          <w:rFonts w:cs="Times New Roman" w:hint="eastAsia"/>
          <w:color w:val="000000"/>
          <w:sz w:val="18"/>
          <w:szCs w:val="18"/>
        </w:rPr>
        <w:t>以前减记</w:t>
      </w:r>
      <w:proofErr w:type="gramEnd"/>
      <w:r w:rsidRPr="002B59B9">
        <w:rPr>
          <w:rFonts w:cs="Times New Roman" w:hint="eastAsia"/>
          <w:color w:val="000000"/>
          <w:sz w:val="18"/>
          <w:szCs w:val="18"/>
        </w:rPr>
        <w:t>的金额应当予以恢复，并在划分为持有待售类别后适用持有待售准则计量规定的非流动资产确认的资产减值损失金额内转回，转回金额计入当期损益，并根据处置组中除商誉外适用持有待售准则计量规定的各项非流动资产账面价值所占比重按比例增加其账面价值；已抵减的商誉账面价值，以及适用持有待售准则计量规定的非流动资产在划分为持有待售类别前确认的资产减值损失不得转回。</w:t>
      </w:r>
    </w:p>
    <w:p w:rsidR="008D4B2E" w:rsidRPr="002B59B9" w:rsidRDefault="008D4B2E" w:rsidP="00B818D2">
      <w:pPr>
        <w:pStyle w:val="a3"/>
        <w:spacing w:before="0" w:beforeAutospacing="0" w:after="0" w:afterAutospacing="0"/>
        <w:ind w:firstLineChars="200" w:firstLine="360"/>
        <w:divId w:val="1006858449"/>
        <w:rPr>
          <w:rFonts w:cs="Times New Roman"/>
          <w:color w:val="000000"/>
          <w:sz w:val="18"/>
          <w:szCs w:val="18"/>
        </w:rPr>
      </w:pPr>
      <w:r w:rsidRPr="002B59B9">
        <w:rPr>
          <w:rFonts w:cs="Times New Roman" w:hint="eastAsia"/>
          <w:color w:val="000000"/>
          <w:sz w:val="18"/>
          <w:szCs w:val="18"/>
        </w:rPr>
        <w:t>持有待售的非流动资产或处置组中的非流动资产不计提折旧或摊销，持有待售的处置组中负债的利息和其他费用继续予以确认。</w:t>
      </w:r>
    </w:p>
    <w:p w:rsidR="008D4B2E" w:rsidRPr="002B59B9" w:rsidRDefault="008D4B2E" w:rsidP="00B818D2">
      <w:pPr>
        <w:pStyle w:val="a3"/>
        <w:spacing w:before="0" w:beforeAutospacing="0" w:after="0" w:afterAutospacing="0"/>
        <w:ind w:firstLineChars="200" w:firstLine="360"/>
        <w:divId w:val="1006858449"/>
        <w:rPr>
          <w:rFonts w:cs="Times New Roman"/>
          <w:color w:val="000000"/>
          <w:sz w:val="18"/>
          <w:szCs w:val="18"/>
        </w:rPr>
      </w:pPr>
      <w:r w:rsidRPr="002B59B9">
        <w:rPr>
          <w:rFonts w:cs="Times New Roman" w:hint="eastAsia"/>
          <w:color w:val="000000"/>
          <w:sz w:val="18"/>
          <w:szCs w:val="18"/>
        </w:rPr>
        <w:t>非流动资产或</w:t>
      </w:r>
      <w:proofErr w:type="gramStart"/>
      <w:r w:rsidRPr="002B59B9">
        <w:rPr>
          <w:rFonts w:cs="Times New Roman" w:hint="eastAsia"/>
          <w:color w:val="000000"/>
          <w:sz w:val="18"/>
          <w:szCs w:val="18"/>
        </w:rPr>
        <w:t>处置组不再</w:t>
      </w:r>
      <w:proofErr w:type="gramEnd"/>
      <w:r w:rsidRPr="002B59B9">
        <w:rPr>
          <w:rFonts w:cs="Times New Roman" w:hint="eastAsia"/>
          <w:color w:val="000000"/>
          <w:sz w:val="18"/>
          <w:szCs w:val="18"/>
        </w:rPr>
        <w:t>满足持有待售类别的划分条件时，本公司不再将其继续划分为持有待售类别或将非流动资产从持有待售的处置组中移除，并按照以下两者孰低计量：（</w:t>
      </w:r>
      <w:r w:rsidRPr="002B59B9">
        <w:rPr>
          <w:rFonts w:cs="Times New Roman"/>
          <w:color w:val="000000"/>
          <w:sz w:val="18"/>
          <w:szCs w:val="18"/>
        </w:rPr>
        <w:t>1</w:t>
      </w:r>
      <w:r w:rsidRPr="002B59B9">
        <w:rPr>
          <w:rFonts w:cs="Times New Roman" w:hint="eastAsia"/>
          <w:color w:val="000000"/>
          <w:sz w:val="18"/>
          <w:szCs w:val="18"/>
        </w:rPr>
        <w:t>）划分为持有待售类别前的账面价值，按照假定不划分为持有待售类别情况下本应确认的折旧、摊销或减值等进行调整后的金额；（</w:t>
      </w:r>
      <w:r w:rsidRPr="002B59B9">
        <w:rPr>
          <w:rFonts w:cs="Times New Roman"/>
          <w:color w:val="000000"/>
          <w:sz w:val="18"/>
          <w:szCs w:val="18"/>
        </w:rPr>
        <w:t>2</w:t>
      </w:r>
      <w:r w:rsidRPr="002B59B9">
        <w:rPr>
          <w:rFonts w:cs="Times New Roman" w:hint="eastAsia"/>
          <w:color w:val="000000"/>
          <w:sz w:val="18"/>
          <w:szCs w:val="18"/>
        </w:rPr>
        <w:t>）可收回金额。</w:t>
      </w:r>
    </w:p>
    <w:p w:rsidR="00BA0365" w:rsidRDefault="008D4B2E" w:rsidP="00B818D2">
      <w:pPr>
        <w:pStyle w:val="3"/>
        <w:spacing w:line="240" w:lineRule="auto"/>
        <w:jc w:val="left"/>
        <w:rPr>
          <w:rFonts w:ascii="宋体" w:hAnsi="宋体" w:cs="宋体"/>
          <w:b/>
          <w:bCs/>
        </w:rPr>
      </w:pPr>
      <w:bookmarkStart w:id="184" w:name="_Toc989072"/>
      <w:r>
        <w:rPr>
          <w:rFonts w:ascii="宋体" w:hAnsi="宋体" w:cs="宋体"/>
          <w:b/>
          <w:bCs/>
        </w:rPr>
        <w:lastRenderedPageBreak/>
        <w:t>19、债权投资</w:t>
      </w:r>
      <w:bookmarkEnd w:id="184"/>
    </w:p>
    <w:p w:rsidR="008D4B2E" w:rsidRDefault="008D4B2E" w:rsidP="00B818D2">
      <w:pPr>
        <w:pStyle w:val="a3"/>
        <w:divId w:val="452360895"/>
        <w:rPr>
          <w:sz w:val="18"/>
          <w:szCs w:val="18"/>
        </w:rPr>
      </w:pPr>
      <w:r>
        <w:rPr>
          <w:rFonts w:hint="eastAsia"/>
          <w:sz w:val="18"/>
          <w:szCs w:val="18"/>
        </w:rPr>
        <w:t>详见“金融工具”。</w:t>
      </w:r>
    </w:p>
    <w:p w:rsidR="00BA0365" w:rsidRDefault="008D4B2E" w:rsidP="00B818D2">
      <w:pPr>
        <w:pStyle w:val="3"/>
        <w:spacing w:line="240" w:lineRule="auto"/>
        <w:jc w:val="left"/>
        <w:rPr>
          <w:rFonts w:ascii="宋体" w:hAnsi="宋体" w:cs="宋体"/>
          <w:b/>
          <w:bCs/>
        </w:rPr>
      </w:pPr>
      <w:bookmarkStart w:id="185" w:name="_Toc989073"/>
      <w:r>
        <w:rPr>
          <w:rFonts w:ascii="宋体" w:hAnsi="宋体" w:cs="宋体"/>
          <w:b/>
          <w:bCs/>
        </w:rPr>
        <w:t>20、其他债权投资</w:t>
      </w:r>
      <w:bookmarkEnd w:id="185"/>
    </w:p>
    <w:p w:rsidR="008D4B2E" w:rsidRDefault="008D4B2E" w:rsidP="00B818D2">
      <w:pPr>
        <w:pStyle w:val="a3"/>
        <w:divId w:val="686248230"/>
        <w:rPr>
          <w:sz w:val="18"/>
          <w:szCs w:val="18"/>
        </w:rPr>
      </w:pPr>
      <w:r>
        <w:rPr>
          <w:rFonts w:hint="eastAsia"/>
          <w:sz w:val="18"/>
          <w:szCs w:val="18"/>
        </w:rPr>
        <w:t>详见“金融工具”。</w:t>
      </w:r>
    </w:p>
    <w:p w:rsidR="00BA0365" w:rsidRDefault="008D4B2E" w:rsidP="00B818D2">
      <w:pPr>
        <w:pStyle w:val="3"/>
        <w:spacing w:line="240" w:lineRule="auto"/>
        <w:jc w:val="left"/>
        <w:rPr>
          <w:rFonts w:ascii="宋体" w:hAnsi="宋体" w:cs="宋体"/>
          <w:b/>
          <w:bCs/>
        </w:rPr>
      </w:pPr>
      <w:bookmarkStart w:id="186" w:name="_Toc989074"/>
      <w:r>
        <w:rPr>
          <w:rFonts w:ascii="宋体" w:hAnsi="宋体" w:cs="宋体"/>
          <w:b/>
          <w:bCs/>
        </w:rPr>
        <w:t>21、长期股权投资</w:t>
      </w:r>
      <w:bookmarkEnd w:id="186"/>
    </w:p>
    <w:p w:rsidR="008D4B2E" w:rsidRPr="002B59B9" w:rsidRDefault="008D4B2E" w:rsidP="00B818D2">
      <w:pPr>
        <w:pStyle w:val="a3"/>
        <w:spacing w:before="0" w:beforeAutospacing="0" w:after="0" w:afterAutospacing="0"/>
        <w:ind w:firstLineChars="200" w:firstLine="360"/>
        <w:divId w:val="926888792"/>
        <w:rPr>
          <w:rFonts w:cs="Times New Roman"/>
          <w:color w:val="000000"/>
          <w:sz w:val="18"/>
          <w:szCs w:val="18"/>
        </w:rPr>
      </w:pPr>
      <w:r w:rsidRPr="002B59B9">
        <w:rPr>
          <w:rFonts w:cs="Times New Roman" w:hint="eastAsia"/>
          <w:color w:val="000000"/>
          <w:sz w:val="18"/>
          <w:szCs w:val="18"/>
        </w:rPr>
        <w:t>本部分所指的长期股权投资是指本公司对被投资单位具有控制、共同控制或重大影响的长期股权投资。本公司对被投资单位不具有控制、共同控制或重大影响的长期股权投资，作为以公允价值计量且其变动计入当期损益的金融资产核算，其中如果属于</w:t>
      </w:r>
      <w:proofErr w:type="gramStart"/>
      <w:r w:rsidRPr="002B59B9">
        <w:rPr>
          <w:rFonts w:cs="Times New Roman" w:hint="eastAsia"/>
          <w:color w:val="000000"/>
          <w:sz w:val="18"/>
          <w:szCs w:val="18"/>
        </w:rPr>
        <w:t>非交易</w:t>
      </w:r>
      <w:proofErr w:type="gramEnd"/>
      <w:r w:rsidRPr="002B59B9">
        <w:rPr>
          <w:rFonts w:cs="Times New Roman" w:hint="eastAsia"/>
          <w:color w:val="000000"/>
          <w:sz w:val="18"/>
          <w:szCs w:val="18"/>
        </w:rPr>
        <w:t>性的，本公司在初始确认时可选择将其指定为以公允价值计量且其变动计入其他综合收益的金融资产核算，其会计政策详见附注四、</w:t>
      </w:r>
      <w:r w:rsidRPr="002B59B9">
        <w:rPr>
          <w:rFonts w:cs="Times New Roman"/>
          <w:color w:val="000000"/>
          <w:sz w:val="18"/>
          <w:szCs w:val="18"/>
        </w:rPr>
        <w:t>“</w:t>
      </w:r>
      <w:r w:rsidRPr="002B59B9">
        <w:rPr>
          <w:rFonts w:cs="Times New Roman" w:hint="eastAsia"/>
          <w:color w:val="000000"/>
          <w:sz w:val="18"/>
          <w:szCs w:val="18"/>
        </w:rPr>
        <w:t>金融工具</w:t>
      </w:r>
      <w:r w:rsidRPr="002B59B9">
        <w:rPr>
          <w:rFonts w:cs="Times New Roman"/>
          <w:color w:val="000000"/>
          <w:sz w:val="18"/>
          <w:szCs w:val="18"/>
        </w:rPr>
        <w:t>”</w:t>
      </w:r>
      <w:r w:rsidRPr="002B59B9">
        <w:rPr>
          <w:rFonts w:cs="Times New Roman" w:hint="eastAsia"/>
          <w:color w:val="000000"/>
          <w:sz w:val="18"/>
          <w:szCs w:val="18"/>
        </w:rPr>
        <w:t>。</w:t>
      </w:r>
    </w:p>
    <w:p w:rsidR="008D4B2E" w:rsidRPr="002B59B9" w:rsidRDefault="008D4B2E" w:rsidP="00B818D2">
      <w:pPr>
        <w:pStyle w:val="a3"/>
        <w:spacing w:before="0" w:beforeAutospacing="0" w:after="0" w:afterAutospacing="0"/>
        <w:ind w:firstLineChars="200" w:firstLine="360"/>
        <w:divId w:val="926888792"/>
        <w:rPr>
          <w:rFonts w:cs="Times New Roman"/>
          <w:color w:val="000000"/>
          <w:sz w:val="18"/>
          <w:szCs w:val="18"/>
        </w:rPr>
      </w:pPr>
      <w:r w:rsidRPr="002B59B9">
        <w:rPr>
          <w:rFonts w:cs="Times New Roman" w:hint="eastAsia"/>
          <w:color w:val="000000"/>
          <w:sz w:val="18"/>
          <w:szCs w:val="18"/>
        </w:rPr>
        <w:t>共同控制，是指本公司按照相关约定对某项安排所共有的控制，并且该安排的相关活动必须经过分享控制权的参与方一致同意后才能决策。重大影响，是指本公司对被投资单位的财务和经营政策有参与决策的权力，但并不能够控制或者与其他方一起共同控制这些政策的制定。</w:t>
      </w:r>
    </w:p>
    <w:p w:rsidR="008D4B2E" w:rsidRPr="002B59B9" w:rsidRDefault="008D4B2E" w:rsidP="00B818D2">
      <w:pPr>
        <w:pStyle w:val="a3"/>
        <w:spacing w:before="0" w:beforeAutospacing="0" w:after="0" w:afterAutospacing="0"/>
        <w:ind w:firstLineChars="200" w:firstLine="360"/>
        <w:divId w:val="926888792"/>
        <w:rPr>
          <w:rFonts w:cs="Times New Roman"/>
          <w:color w:val="000000"/>
          <w:sz w:val="18"/>
          <w:szCs w:val="18"/>
        </w:rPr>
      </w:pPr>
      <w:r w:rsidRPr="002B59B9">
        <w:rPr>
          <w:rFonts w:cs="Times New Roman" w:hint="eastAsia"/>
          <w:color w:val="000000"/>
          <w:sz w:val="18"/>
          <w:szCs w:val="18"/>
        </w:rPr>
        <w:t>（</w:t>
      </w:r>
      <w:r w:rsidRPr="002B59B9">
        <w:rPr>
          <w:rFonts w:cs="Times New Roman"/>
          <w:color w:val="000000"/>
          <w:sz w:val="18"/>
          <w:szCs w:val="18"/>
        </w:rPr>
        <w:t>1</w:t>
      </w:r>
      <w:r w:rsidRPr="002B59B9">
        <w:rPr>
          <w:rFonts w:cs="Times New Roman" w:hint="eastAsia"/>
          <w:color w:val="000000"/>
          <w:sz w:val="18"/>
          <w:szCs w:val="18"/>
        </w:rPr>
        <w:t>）投资成本的确定</w:t>
      </w:r>
    </w:p>
    <w:p w:rsidR="00B818D2" w:rsidRDefault="008D4B2E" w:rsidP="00B818D2">
      <w:pPr>
        <w:pStyle w:val="a3"/>
        <w:spacing w:before="0" w:beforeAutospacing="0" w:after="0" w:afterAutospacing="0"/>
        <w:ind w:firstLineChars="200" w:firstLine="360"/>
        <w:divId w:val="926888792"/>
        <w:rPr>
          <w:rFonts w:cs="Times New Roman"/>
          <w:color w:val="000000"/>
          <w:sz w:val="18"/>
          <w:szCs w:val="18"/>
        </w:rPr>
      </w:pPr>
      <w:r w:rsidRPr="002B59B9">
        <w:rPr>
          <w:rFonts w:cs="Times New Roman" w:hint="eastAsia"/>
          <w:color w:val="000000"/>
          <w:sz w:val="18"/>
          <w:szCs w:val="18"/>
        </w:rPr>
        <w:t>对于同</w:t>
      </w:r>
      <w:proofErr w:type="gramStart"/>
      <w:r w:rsidRPr="002B59B9">
        <w:rPr>
          <w:rFonts w:cs="Times New Roman" w:hint="eastAsia"/>
          <w:color w:val="000000"/>
          <w:sz w:val="18"/>
          <w:szCs w:val="18"/>
        </w:rPr>
        <w:t>一控制</w:t>
      </w:r>
      <w:proofErr w:type="gramEnd"/>
      <w:r w:rsidRPr="002B59B9">
        <w:rPr>
          <w:rFonts w:cs="Times New Roman" w:hint="eastAsia"/>
          <w:color w:val="000000"/>
          <w:sz w:val="18"/>
          <w:szCs w:val="18"/>
        </w:rPr>
        <w:t>下的企业合并取得的长期股权投资，在</w:t>
      </w:r>
      <w:proofErr w:type="gramStart"/>
      <w:r w:rsidRPr="002B59B9">
        <w:rPr>
          <w:rFonts w:cs="Times New Roman" w:hint="eastAsia"/>
          <w:color w:val="000000"/>
          <w:sz w:val="18"/>
          <w:szCs w:val="18"/>
        </w:rPr>
        <w:t>合并日按照</w:t>
      </w:r>
      <w:proofErr w:type="gramEnd"/>
      <w:r w:rsidRPr="002B59B9">
        <w:rPr>
          <w:rFonts w:cs="Times New Roman" w:hint="eastAsia"/>
          <w:color w:val="000000"/>
          <w:sz w:val="18"/>
          <w:szCs w:val="18"/>
        </w:rPr>
        <w:t>被合并方股东权益在最终控制方合并财务报表中的账面价值的份额作为长期股权投资的初始投资成本。长期股权投资初始投资成本与支付的现金、转让的非现金资产以及所承担债务账面价值之间的差额，调整资本公积；资本公</w:t>
      </w:r>
      <w:proofErr w:type="gramStart"/>
      <w:r w:rsidRPr="002B59B9">
        <w:rPr>
          <w:rFonts w:cs="Times New Roman" w:hint="eastAsia"/>
          <w:color w:val="000000"/>
          <w:sz w:val="18"/>
          <w:szCs w:val="18"/>
        </w:rPr>
        <w:t>积不足</w:t>
      </w:r>
      <w:proofErr w:type="gramEnd"/>
      <w:r w:rsidRPr="002B59B9">
        <w:rPr>
          <w:rFonts w:cs="Times New Roman" w:hint="eastAsia"/>
          <w:color w:val="000000"/>
          <w:sz w:val="18"/>
          <w:szCs w:val="18"/>
        </w:rPr>
        <w:t>冲减的，调整留存收益。以发行权益</w:t>
      </w:r>
      <w:proofErr w:type="gramStart"/>
      <w:r w:rsidRPr="002B59B9">
        <w:rPr>
          <w:rFonts w:cs="Times New Roman" w:hint="eastAsia"/>
          <w:color w:val="000000"/>
          <w:sz w:val="18"/>
          <w:szCs w:val="18"/>
        </w:rPr>
        <w:t>性证券</w:t>
      </w:r>
      <w:proofErr w:type="gramEnd"/>
      <w:r w:rsidRPr="002B59B9">
        <w:rPr>
          <w:rFonts w:cs="Times New Roman" w:hint="eastAsia"/>
          <w:color w:val="000000"/>
          <w:sz w:val="18"/>
          <w:szCs w:val="18"/>
        </w:rPr>
        <w:t>作为合并对价的，在</w:t>
      </w:r>
      <w:proofErr w:type="gramStart"/>
      <w:r w:rsidRPr="002B59B9">
        <w:rPr>
          <w:rFonts w:cs="Times New Roman" w:hint="eastAsia"/>
          <w:color w:val="000000"/>
          <w:sz w:val="18"/>
          <w:szCs w:val="18"/>
        </w:rPr>
        <w:t>合并日按照</w:t>
      </w:r>
      <w:proofErr w:type="gramEnd"/>
      <w:r w:rsidRPr="002B59B9">
        <w:rPr>
          <w:rFonts w:cs="Times New Roman" w:hint="eastAsia"/>
          <w:color w:val="000000"/>
          <w:sz w:val="18"/>
          <w:szCs w:val="18"/>
        </w:rPr>
        <w:t>被合并方股东权益在最终控制方合并财务报表中的账面价值的份额作为长期股权投资的初始投资成本，按照发行股份的面值总额作为股本，长期股权投资初始投资成本与所发行股份面值总额之间的差额，调整资本公积；资本公</w:t>
      </w:r>
      <w:proofErr w:type="gramStart"/>
      <w:r w:rsidRPr="002B59B9">
        <w:rPr>
          <w:rFonts w:cs="Times New Roman" w:hint="eastAsia"/>
          <w:color w:val="000000"/>
          <w:sz w:val="18"/>
          <w:szCs w:val="18"/>
        </w:rPr>
        <w:t>积不足</w:t>
      </w:r>
      <w:proofErr w:type="gramEnd"/>
      <w:r w:rsidRPr="002B59B9">
        <w:rPr>
          <w:rFonts w:cs="Times New Roman" w:hint="eastAsia"/>
          <w:color w:val="000000"/>
          <w:sz w:val="18"/>
          <w:szCs w:val="18"/>
        </w:rPr>
        <w:t>冲减的，调整留存收益。通过多次交易分步取得同</w:t>
      </w:r>
      <w:proofErr w:type="gramStart"/>
      <w:r w:rsidRPr="002B59B9">
        <w:rPr>
          <w:rFonts w:cs="Times New Roman" w:hint="eastAsia"/>
          <w:color w:val="000000"/>
          <w:sz w:val="18"/>
          <w:szCs w:val="18"/>
        </w:rPr>
        <w:t>一控制</w:t>
      </w:r>
      <w:proofErr w:type="gramEnd"/>
      <w:r w:rsidRPr="002B59B9">
        <w:rPr>
          <w:rFonts w:cs="Times New Roman" w:hint="eastAsia"/>
          <w:color w:val="000000"/>
          <w:sz w:val="18"/>
          <w:szCs w:val="18"/>
        </w:rPr>
        <w:t>下被合并方的股权，最终形成同</w:t>
      </w:r>
      <w:proofErr w:type="gramStart"/>
      <w:r w:rsidRPr="002B59B9">
        <w:rPr>
          <w:rFonts w:cs="Times New Roman" w:hint="eastAsia"/>
          <w:color w:val="000000"/>
          <w:sz w:val="18"/>
          <w:szCs w:val="18"/>
        </w:rPr>
        <w:t>一控制</w:t>
      </w:r>
      <w:proofErr w:type="gramEnd"/>
      <w:r w:rsidRPr="002B59B9">
        <w:rPr>
          <w:rFonts w:cs="Times New Roman" w:hint="eastAsia"/>
          <w:color w:val="000000"/>
          <w:sz w:val="18"/>
          <w:szCs w:val="18"/>
        </w:rPr>
        <w:t>下企业合并的，应分别是否属于</w:t>
      </w:r>
      <w:r w:rsidRPr="002B59B9">
        <w:rPr>
          <w:rFonts w:cs="Times New Roman"/>
          <w:color w:val="000000"/>
          <w:sz w:val="18"/>
          <w:szCs w:val="18"/>
        </w:rPr>
        <w:t>“</w:t>
      </w:r>
      <w:r w:rsidRPr="002B59B9">
        <w:rPr>
          <w:rFonts w:cs="Times New Roman" w:hint="eastAsia"/>
          <w:color w:val="000000"/>
          <w:sz w:val="18"/>
          <w:szCs w:val="18"/>
        </w:rPr>
        <w:t>一揽子交易</w:t>
      </w:r>
      <w:r w:rsidRPr="002B59B9">
        <w:rPr>
          <w:rFonts w:cs="Times New Roman"/>
          <w:color w:val="000000"/>
          <w:sz w:val="18"/>
          <w:szCs w:val="18"/>
        </w:rPr>
        <w:t>”</w:t>
      </w:r>
      <w:r w:rsidRPr="002B59B9">
        <w:rPr>
          <w:rFonts w:cs="Times New Roman" w:hint="eastAsia"/>
          <w:color w:val="000000"/>
          <w:sz w:val="18"/>
          <w:szCs w:val="18"/>
        </w:rPr>
        <w:t>进行处理：属于</w:t>
      </w:r>
      <w:r w:rsidRPr="002B59B9">
        <w:rPr>
          <w:rFonts w:cs="Times New Roman"/>
          <w:color w:val="000000"/>
          <w:sz w:val="18"/>
          <w:szCs w:val="18"/>
        </w:rPr>
        <w:t>“</w:t>
      </w:r>
      <w:r w:rsidRPr="002B59B9">
        <w:rPr>
          <w:rFonts w:cs="Times New Roman" w:hint="eastAsia"/>
          <w:color w:val="000000"/>
          <w:sz w:val="18"/>
          <w:szCs w:val="18"/>
        </w:rPr>
        <w:t>一揽子交易</w:t>
      </w:r>
      <w:r w:rsidRPr="002B59B9">
        <w:rPr>
          <w:rFonts w:cs="Times New Roman"/>
          <w:color w:val="000000"/>
          <w:sz w:val="18"/>
          <w:szCs w:val="18"/>
        </w:rPr>
        <w:t>”</w:t>
      </w:r>
      <w:r w:rsidRPr="002B59B9">
        <w:rPr>
          <w:rFonts w:cs="Times New Roman" w:hint="eastAsia"/>
          <w:color w:val="000000"/>
          <w:sz w:val="18"/>
          <w:szCs w:val="18"/>
        </w:rPr>
        <w:t>的，将各项交易作为一项取得控制权的交易进行会计处理。不属于</w:t>
      </w:r>
      <w:r w:rsidRPr="002B59B9">
        <w:rPr>
          <w:rFonts w:cs="Times New Roman"/>
          <w:color w:val="000000"/>
          <w:sz w:val="18"/>
          <w:szCs w:val="18"/>
        </w:rPr>
        <w:t>“</w:t>
      </w:r>
      <w:r w:rsidRPr="002B59B9">
        <w:rPr>
          <w:rFonts w:cs="Times New Roman" w:hint="eastAsia"/>
          <w:color w:val="000000"/>
          <w:sz w:val="18"/>
          <w:szCs w:val="18"/>
        </w:rPr>
        <w:t>一揽子交易</w:t>
      </w:r>
      <w:r w:rsidRPr="002B59B9">
        <w:rPr>
          <w:rFonts w:cs="Times New Roman"/>
          <w:color w:val="000000"/>
          <w:sz w:val="18"/>
          <w:szCs w:val="18"/>
        </w:rPr>
        <w:t>”</w:t>
      </w:r>
      <w:r w:rsidRPr="002B59B9">
        <w:rPr>
          <w:rFonts w:cs="Times New Roman" w:hint="eastAsia"/>
          <w:color w:val="000000"/>
          <w:sz w:val="18"/>
          <w:szCs w:val="18"/>
        </w:rPr>
        <w:t>的，在</w:t>
      </w:r>
      <w:proofErr w:type="gramStart"/>
      <w:r w:rsidRPr="002B59B9">
        <w:rPr>
          <w:rFonts w:cs="Times New Roman" w:hint="eastAsia"/>
          <w:color w:val="000000"/>
          <w:sz w:val="18"/>
          <w:szCs w:val="18"/>
        </w:rPr>
        <w:t>合并日</w:t>
      </w:r>
      <w:proofErr w:type="gramEnd"/>
      <w:r w:rsidRPr="002B59B9">
        <w:rPr>
          <w:rFonts w:cs="Times New Roman" w:hint="eastAsia"/>
          <w:color w:val="000000"/>
          <w:sz w:val="18"/>
          <w:szCs w:val="18"/>
        </w:rPr>
        <w:t>按照应享有被合并方股东权益在最终控制方合并财务报表中的账面价值的份额作为长期股权投资的初始投资成本，长期股权投资初始投资成本与达到合并前的长期股权投资账面价值加上</w:t>
      </w:r>
      <w:proofErr w:type="gramStart"/>
      <w:r w:rsidRPr="002B59B9">
        <w:rPr>
          <w:rFonts w:cs="Times New Roman" w:hint="eastAsia"/>
          <w:color w:val="000000"/>
          <w:sz w:val="18"/>
          <w:szCs w:val="18"/>
        </w:rPr>
        <w:t>合并日</w:t>
      </w:r>
      <w:proofErr w:type="gramEnd"/>
      <w:r w:rsidRPr="002B59B9">
        <w:rPr>
          <w:rFonts w:cs="Times New Roman" w:hint="eastAsia"/>
          <w:color w:val="000000"/>
          <w:sz w:val="18"/>
          <w:szCs w:val="18"/>
        </w:rPr>
        <w:t>进一步取得股份新支付对价的账面价值之和的差额，调整资本公积；资本公</w:t>
      </w:r>
      <w:proofErr w:type="gramStart"/>
      <w:r w:rsidRPr="002B59B9">
        <w:rPr>
          <w:rFonts w:cs="Times New Roman" w:hint="eastAsia"/>
          <w:color w:val="000000"/>
          <w:sz w:val="18"/>
          <w:szCs w:val="18"/>
        </w:rPr>
        <w:t>积不足</w:t>
      </w:r>
      <w:proofErr w:type="gramEnd"/>
      <w:r w:rsidRPr="002B59B9">
        <w:rPr>
          <w:rFonts w:cs="Times New Roman" w:hint="eastAsia"/>
          <w:color w:val="000000"/>
          <w:sz w:val="18"/>
          <w:szCs w:val="18"/>
        </w:rPr>
        <w:t>冲减的，调整留存收益。</w:t>
      </w:r>
      <w:proofErr w:type="gramStart"/>
      <w:r w:rsidRPr="002B59B9">
        <w:rPr>
          <w:rFonts w:cs="Times New Roman" w:hint="eastAsia"/>
          <w:color w:val="000000"/>
          <w:sz w:val="18"/>
          <w:szCs w:val="18"/>
        </w:rPr>
        <w:t>合并日</w:t>
      </w:r>
      <w:proofErr w:type="gramEnd"/>
      <w:r w:rsidRPr="002B59B9">
        <w:rPr>
          <w:rFonts w:cs="Times New Roman" w:hint="eastAsia"/>
          <w:color w:val="000000"/>
          <w:sz w:val="18"/>
          <w:szCs w:val="18"/>
        </w:rPr>
        <w:t>之前持有的股权投资因采用权益法核算或作为以公允价值计量且其变动计入其他综合收益的金融资产而确认的其他综合收益，暂不进行会计处理。</w:t>
      </w:r>
    </w:p>
    <w:p w:rsidR="00B818D2" w:rsidRDefault="008D4B2E" w:rsidP="00B818D2">
      <w:pPr>
        <w:pStyle w:val="a3"/>
        <w:spacing w:before="0" w:beforeAutospacing="0" w:after="0" w:afterAutospacing="0"/>
        <w:ind w:firstLineChars="200" w:firstLine="360"/>
        <w:divId w:val="926888792"/>
        <w:rPr>
          <w:rFonts w:cs="Times New Roman"/>
          <w:color w:val="000000"/>
          <w:sz w:val="18"/>
          <w:szCs w:val="18"/>
        </w:rPr>
      </w:pPr>
      <w:r w:rsidRPr="002B59B9">
        <w:rPr>
          <w:rFonts w:cs="Times New Roman" w:hint="eastAsia"/>
          <w:color w:val="000000"/>
          <w:sz w:val="18"/>
          <w:szCs w:val="18"/>
        </w:rPr>
        <w:t>对于非同</w:t>
      </w:r>
      <w:proofErr w:type="gramStart"/>
      <w:r w:rsidRPr="002B59B9">
        <w:rPr>
          <w:rFonts w:cs="Times New Roman" w:hint="eastAsia"/>
          <w:color w:val="000000"/>
          <w:sz w:val="18"/>
          <w:szCs w:val="18"/>
        </w:rPr>
        <w:t>一控制</w:t>
      </w:r>
      <w:proofErr w:type="gramEnd"/>
      <w:r w:rsidRPr="002B59B9">
        <w:rPr>
          <w:rFonts w:cs="Times New Roman" w:hint="eastAsia"/>
          <w:color w:val="000000"/>
          <w:sz w:val="18"/>
          <w:szCs w:val="18"/>
        </w:rPr>
        <w:t>下的企业合并取得的长期股权投资，在购买</w:t>
      </w:r>
      <w:proofErr w:type="gramStart"/>
      <w:r w:rsidRPr="002B59B9">
        <w:rPr>
          <w:rFonts w:cs="Times New Roman" w:hint="eastAsia"/>
          <w:color w:val="000000"/>
          <w:sz w:val="18"/>
          <w:szCs w:val="18"/>
        </w:rPr>
        <w:t>日按照</w:t>
      </w:r>
      <w:proofErr w:type="gramEnd"/>
      <w:r w:rsidRPr="002B59B9">
        <w:rPr>
          <w:rFonts w:cs="Times New Roman" w:hint="eastAsia"/>
          <w:color w:val="000000"/>
          <w:sz w:val="18"/>
          <w:szCs w:val="18"/>
        </w:rPr>
        <w:t>合并成本作为长期股权投资的初始投资成本，合并成本包括购买方付出的资产、发生或承担的负债、发行的权益</w:t>
      </w:r>
      <w:proofErr w:type="gramStart"/>
      <w:r w:rsidRPr="002B59B9">
        <w:rPr>
          <w:rFonts w:cs="Times New Roman" w:hint="eastAsia"/>
          <w:color w:val="000000"/>
          <w:sz w:val="18"/>
          <w:szCs w:val="18"/>
        </w:rPr>
        <w:t>性证券</w:t>
      </w:r>
      <w:proofErr w:type="gramEnd"/>
      <w:r w:rsidRPr="002B59B9">
        <w:rPr>
          <w:rFonts w:cs="Times New Roman" w:hint="eastAsia"/>
          <w:color w:val="000000"/>
          <w:sz w:val="18"/>
          <w:szCs w:val="18"/>
        </w:rPr>
        <w:t>的公允价值之</w:t>
      </w:r>
      <w:proofErr w:type="gramStart"/>
      <w:r w:rsidRPr="002B59B9">
        <w:rPr>
          <w:rFonts w:cs="Times New Roman" w:hint="eastAsia"/>
          <w:color w:val="000000"/>
          <w:sz w:val="18"/>
          <w:szCs w:val="18"/>
        </w:rPr>
        <w:t>和</w:t>
      </w:r>
      <w:proofErr w:type="gramEnd"/>
      <w:r w:rsidRPr="002B59B9">
        <w:rPr>
          <w:rFonts w:cs="Times New Roman" w:hint="eastAsia"/>
          <w:color w:val="000000"/>
          <w:sz w:val="18"/>
          <w:szCs w:val="18"/>
        </w:rPr>
        <w:t>。通过多次交易分步取得被购买方的股权，最终形成非同</w:t>
      </w:r>
      <w:proofErr w:type="gramStart"/>
      <w:r w:rsidRPr="002B59B9">
        <w:rPr>
          <w:rFonts w:cs="Times New Roman" w:hint="eastAsia"/>
          <w:color w:val="000000"/>
          <w:sz w:val="18"/>
          <w:szCs w:val="18"/>
        </w:rPr>
        <w:t>一控制</w:t>
      </w:r>
      <w:proofErr w:type="gramEnd"/>
      <w:r w:rsidRPr="002B59B9">
        <w:rPr>
          <w:rFonts w:cs="Times New Roman" w:hint="eastAsia"/>
          <w:color w:val="000000"/>
          <w:sz w:val="18"/>
          <w:szCs w:val="18"/>
        </w:rPr>
        <w:t>下的企业合并的，应分别是否属于</w:t>
      </w:r>
      <w:r w:rsidRPr="002B59B9">
        <w:rPr>
          <w:rFonts w:cs="Times New Roman"/>
          <w:color w:val="000000"/>
          <w:sz w:val="18"/>
          <w:szCs w:val="18"/>
        </w:rPr>
        <w:t>“</w:t>
      </w:r>
      <w:r w:rsidRPr="002B59B9">
        <w:rPr>
          <w:rFonts w:cs="Times New Roman" w:hint="eastAsia"/>
          <w:color w:val="000000"/>
          <w:sz w:val="18"/>
          <w:szCs w:val="18"/>
        </w:rPr>
        <w:t>一揽子交易</w:t>
      </w:r>
      <w:r w:rsidRPr="002B59B9">
        <w:rPr>
          <w:rFonts w:cs="Times New Roman"/>
          <w:color w:val="000000"/>
          <w:sz w:val="18"/>
          <w:szCs w:val="18"/>
        </w:rPr>
        <w:t>”</w:t>
      </w:r>
      <w:r w:rsidRPr="002B59B9">
        <w:rPr>
          <w:rFonts w:cs="Times New Roman" w:hint="eastAsia"/>
          <w:color w:val="000000"/>
          <w:sz w:val="18"/>
          <w:szCs w:val="18"/>
        </w:rPr>
        <w:t>进行处理：属于</w:t>
      </w:r>
      <w:r w:rsidRPr="002B59B9">
        <w:rPr>
          <w:rFonts w:cs="Times New Roman"/>
          <w:color w:val="000000"/>
          <w:sz w:val="18"/>
          <w:szCs w:val="18"/>
        </w:rPr>
        <w:t>“</w:t>
      </w:r>
      <w:r w:rsidRPr="002B59B9">
        <w:rPr>
          <w:rFonts w:cs="Times New Roman" w:hint="eastAsia"/>
          <w:color w:val="000000"/>
          <w:sz w:val="18"/>
          <w:szCs w:val="18"/>
        </w:rPr>
        <w:t>一揽子交易</w:t>
      </w:r>
      <w:r w:rsidRPr="002B59B9">
        <w:rPr>
          <w:rFonts w:cs="Times New Roman"/>
          <w:color w:val="000000"/>
          <w:sz w:val="18"/>
          <w:szCs w:val="18"/>
        </w:rPr>
        <w:t>”</w:t>
      </w:r>
      <w:r w:rsidRPr="002B59B9">
        <w:rPr>
          <w:rFonts w:cs="Times New Roman" w:hint="eastAsia"/>
          <w:color w:val="000000"/>
          <w:sz w:val="18"/>
          <w:szCs w:val="18"/>
        </w:rPr>
        <w:t>的，将各项交易作为一项取得控制权的交易进行会计处理。不属于</w:t>
      </w:r>
      <w:r w:rsidRPr="002B59B9">
        <w:rPr>
          <w:rFonts w:cs="Times New Roman"/>
          <w:color w:val="000000"/>
          <w:sz w:val="18"/>
          <w:szCs w:val="18"/>
        </w:rPr>
        <w:t>“</w:t>
      </w:r>
      <w:r w:rsidRPr="002B59B9">
        <w:rPr>
          <w:rFonts w:cs="Times New Roman" w:hint="eastAsia"/>
          <w:color w:val="000000"/>
          <w:sz w:val="18"/>
          <w:szCs w:val="18"/>
        </w:rPr>
        <w:t>一揽子交易</w:t>
      </w:r>
      <w:r w:rsidRPr="002B59B9">
        <w:rPr>
          <w:rFonts w:cs="Times New Roman"/>
          <w:color w:val="000000"/>
          <w:sz w:val="18"/>
          <w:szCs w:val="18"/>
        </w:rPr>
        <w:t>”</w:t>
      </w:r>
      <w:r w:rsidRPr="002B59B9">
        <w:rPr>
          <w:rFonts w:cs="Times New Roman" w:hint="eastAsia"/>
          <w:color w:val="000000"/>
          <w:sz w:val="18"/>
          <w:szCs w:val="18"/>
        </w:rPr>
        <w:t>的，按照原持有被购买方的股权投资账面价值加上新增投资成本之和，作为改按成本法核算的长期股权投资的初始投资成本。原持有的股权采用权益法核算的，相关其他综合收益暂不进行会计处理。</w:t>
      </w:r>
    </w:p>
    <w:p w:rsidR="00B818D2" w:rsidRDefault="008D4B2E" w:rsidP="00B818D2">
      <w:pPr>
        <w:pStyle w:val="a3"/>
        <w:spacing w:before="0" w:beforeAutospacing="0" w:after="0" w:afterAutospacing="0"/>
        <w:ind w:firstLineChars="200" w:firstLine="360"/>
        <w:divId w:val="926888792"/>
        <w:rPr>
          <w:rFonts w:cs="Times New Roman"/>
          <w:color w:val="000000"/>
          <w:sz w:val="18"/>
          <w:szCs w:val="18"/>
        </w:rPr>
      </w:pPr>
      <w:r w:rsidRPr="002B59B9">
        <w:rPr>
          <w:rFonts w:cs="Times New Roman" w:hint="eastAsia"/>
          <w:color w:val="000000"/>
          <w:sz w:val="18"/>
          <w:szCs w:val="18"/>
        </w:rPr>
        <w:t>合并方或购买方为企业合并发生的审计、法律服务、评估咨询等中介费用以及其他相关管理费用，于发生时计入当期损益。</w:t>
      </w:r>
    </w:p>
    <w:p w:rsidR="00B818D2" w:rsidRDefault="008D4B2E" w:rsidP="00B818D2">
      <w:pPr>
        <w:pStyle w:val="a3"/>
        <w:spacing w:before="0" w:beforeAutospacing="0" w:after="0" w:afterAutospacing="0"/>
        <w:ind w:firstLineChars="200" w:firstLine="360"/>
        <w:divId w:val="926888792"/>
        <w:rPr>
          <w:rFonts w:cs="Times New Roman"/>
          <w:color w:val="000000"/>
          <w:sz w:val="18"/>
          <w:szCs w:val="18"/>
        </w:rPr>
      </w:pPr>
      <w:r w:rsidRPr="002B59B9">
        <w:rPr>
          <w:rFonts w:cs="Times New Roman" w:hint="eastAsia"/>
          <w:color w:val="000000"/>
          <w:sz w:val="18"/>
          <w:szCs w:val="18"/>
        </w:rPr>
        <w:t>除企业合并形成的长期股权投资外的其他股权投资，按成本进行初始计量，</w:t>
      </w:r>
      <w:proofErr w:type="gramStart"/>
      <w:r w:rsidRPr="002B59B9">
        <w:rPr>
          <w:rFonts w:cs="Times New Roman" w:hint="eastAsia"/>
          <w:color w:val="000000"/>
          <w:sz w:val="18"/>
          <w:szCs w:val="18"/>
        </w:rPr>
        <w:t>该成本视长期</w:t>
      </w:r>
      <w:proofErr w:type="gramEnd"/>
      <w:r w:rsidRPr="002B59B9">
        <w:rPr>
          <w:rFonts w:cs="Times New Roman" w:hint="eastAsia"/>
          <w:color w:val="000000"/>
          <w:sz w:val="18"/>
          <w:szCs w:val="18"/>
        </w:rPr>
        <w:t>股权投资取得方式的不同，分别按照本公司实际支付的现金购买价款、本公司发行的权益</w:t>
      </w:r>
      <w:proofErr w:type="gramStart"/>
      <w:r w:rsidRPr="002B59B9">
        <w:rPr>
          <w:rFonts w:cs="Times New Roman" w:hint="eastAsia"/>
          <w:color w:val="000000"/>
          <w:sz w:val="18"/>
          <w:szCs w:val="18"/>
        </w:rPr>
        <w:t>性证券</w:t>
      </w:r>
      <w:proofErr w:type="gramEnd"/>
      <w:r w:rsidRPr="002B59B9">
        <w:rPr>
          <w:rFonts w:cs="Times New Roman" w:hint="eastAsia"/>
          <w:color w:val="000000"/>
          <w:sz w:val="18"/>
          <w:szCs w:val="18"/>
        </w:rPr>
        <w:t>的公允价值、投资合同或协议约定的价值、非货币性资产交换交易中换出资产的公允价值或原账面价值、该项长期股权投资自身的公允价值等方式确定。与取得长期股权投资直接相关的费用、税金及其他必要支出也计入投资成本。对于因追加投资能够对被投资单位实施重大影响或实施共同控制但不构成控制的，长期股权投资成本为按照《企业会计准则第</w:t>
      </w:r>
      <w:r w:rsidRPr="002B59B9">
        <w:rPr>
          <w:rFonts w:cs="Times New Roman"/>
          <w:color w:val="000000"/>
          <w:sz w:val="18"/>
          <w:szCs w:val="18"/>
        </w:rPr>
        <w:t>22</w:t>
      </w:r>
      <w:r w:rsidRPr="002B59B9">
        <w:rPr>
          <w:rFonts w:cs="Times New Roman" w:hint="eastAsia"/>
          <w:color w:val="000000"/>
          <w:sz w:val="18"/>
          <w:szCs w:val="18"/>
        </w:rPr>
        <w:t>号</w:t>
      </w:r>
      <w:r w:rsidRPr="002B59B9">
        <w:rPr>
          <w:rFonts w:cs="Times New Roman"/>
          <w:color w:val="000000"/>
          <w:sz w:val="18"/>
          <w:szCs w:val="18"/>
        </w:rPr>
        <w:t>——</w:t>
      </w:r>
      <w:r w:rsidRPr="002B59B9">
        <w:rPr>
          <w:rFonts w:cs="Times New Roman" w:hint="eastAsia"/>
          <w:color w:val="000000"/>
          <w:sz w:val="18"/>
          <w:szCs w:val="18"/>
        </w:rPr>
        <w:t>金融工具确认和计量》确定的原持有股权投资的公允价值加上新增投资成本之</w:t>
      </w:r>
      <w:proofErr w:type="gramStart"/>
      <w:r w:rsidRPr="002B59B9">
        <w:rPr>
          <w:rFonts w:cs="Times New Roman" w:hint="eastAsia"/>
          <w:color w:val="000000"/>
          <w:sz w:val="18"/>
          <w:szCs w:val="18"/>
        </w:rPr>
        <w:t>和</w:t>
      </w:r>
      <w:proofErr w:type="gramEnd"/>
      <w:r w:rsidRPr="002B59B9">
        <w:rPr>
          <w:rFonts w:cs="Times New Roman" w:hint="eastAsia"/>
          <w:color w:val="000000"/>
          <w:sz w:val="18"/>
          <w:szCs w:val="18"/>
        </w:rPr>
        <w:t>。</w:t>
      </w:r>
    </w:p>
    <w:p w:rsidR="00B818D2" w:rsidRDefault="008D4B2E" w:rsidP="00B818D2">
      <w:pPr>
        <w:pStyle w:val="a3"/>
        <w:spacing w:before="0" w:beforeAutospacing="0" w:after="0" w:afterAutospacing="0"/>
        <w:ind w:firstLineChars="200" w:firstLine="360"/>
        <w:divId w:val="926888792"/>
        <w:rPr>
          <w:rFonts w:cs="Times New Roman"/>
          <w:color w:val="000000"/>
          <w:sz w:val="18"/>
          <w:szCs w:val="18"/>
        </w:rPr>
      </w:pPr>
      <w:r w:rsidRPr="002B59B9">
        <w:rPr>
          <w:rFonts w:cs="Times New Roman" w:hint="eastAsia"/>
          <w:color w:val="000000"/>
          <w:sz w:val="18"/>
          <w:szCs w:val="18"/>
        </w:rPr>
        <w:t>（</w:t>
      </w:r>
      <w:r w:rsidRPr="002B59B9">
        <w:rPr>
          <w:rFonts w:cs="Times New Roman"/>
          <w:color w:val="000000"/>
          <w:sz w:val="18"/>
          <w:szCs w:val="18"/>
        </w:rPr>
        <w:t>2</w:t>
      </w:r>
      <w:r w:rsidRPr="002B59B9">
        <w:rPr>
          <w:rFonts w:cs="Times New Roman" w:hint="eastAsia"/>
          <w:color w:val="000000"/>
          <w:sz w:val="18"/>
          <w:szCs w:val="18"/>
        </w:rPr>
        <w:t>）后续计量及损益确认方法</w:t>
      </w:r>
    </w:p>
    <w:p w:rsidR="008D4B2E" w:rsidRPr="002B59B9" w:rsidRDefault="008D4B2E" w:rsidP="00B818D2">
      <w:pPr>
        <w:pStyle w:val="a3"/>
        <w:spacing w:before="0" w:beforeAutospacing="0" w:after="0" w:afterAutospacing="0"/>
        <w:ind w:firstLineChars="200" w:firstLine="360"/>
        <w:divId w:val="926888792"/>
        <w:rPr>
          <w:rFonts w:cs="Times New Roman"/>
          <w:color w:val="000000"/>
          <w:sz w:val="18"/>
          <w:szCs w:val="18"/>
        </w:rPr>
      </w:pPr>
      <w:r w:rsidRPr="002B59B9">
        <w:rPr>
          <w:rFonts w:cs="Times New Roman" w:hint="eastAsia"/>
          <w:color w:val="000000"/>
          <w:sz w:val="18"/>
          <w:szCs w:val="18"/>
        </w:rPr>
        <w:lastRenderedPageBreak/>
        <w:t>对被投资单位具有共同控制（构成共同经营者除外）或重大影响的长期股权投资，采用权益法核算。此外，公司财务报表采用成本法核算能够对被投资单位实施控制的长期股权投资。</w:t>
      </w:r>
    </w:p>
    <w:p w:rsidR="008D4B2E" w:rsidRPr="002B59B9" w:rsidRDefault="008D4B2E" w:rsidP="00B818D2">
      <w:pPr>
        <w:pStyle w:val="a3"/>
        <w:spacing w:before="0" w:beforeAutospacing="0" w:after="0" w:afterAutospacing="0"/>
        <w:ind w:firstLine="420"/>
        <w:divId w:val="926888792"/>
        <w:rPr>
          <w:rFonts w:cs="Times New Roman"/>
          <w:color w:val="000000"/>
          <w:sz w:val="18"/>
          <w:szCs w:val="18"/>
        </w:rPr>
      </w:pPr>
      <w:r w:rsidRPr="002B59B9">
        <w:rPr>
          <w:rFonts w:cs="Times New Roman" w:hint="eastAsia"/>
          <w:color w:val="000000"/>
          <w:sz w:val="18"/>
          <w:szCs w:val="18"/>
        </w:rPr>
        <w:t>①</w:t>
      </w:r>
      <w:r w:rsidRPr="002B59B9">
        <w:rPr>
          <w:rFonts w:cs="Times New Roman"/>
          <w:color w:val="000000"/>
          <w:sz w:val="18"/>
          <w:szCs w:val="18"/>
        </w:rPr>
        <w:t> </w:t>
      </w:r>
      <w:r w:rsidRPr="002B59B9">
        <w:rPr>
          <w:rFonts w:cs="Times New Roman" w:hint="eastAsia"/>
          <w:color w:val="000000"/>
          <w:sz w:val="18"/>
          <w:szCs w:val="18"/>
        </w:rPr>
        <w:t>成本法核算的长期股权投资</w:t>
      </w:r>
    </w:p>
    <w:p w:rsidR="008D4B2E" w:rsidRPr="002B59B9" w:rsidRDefault="008D4B2E" w:rsidP="00B818D2">
      <w:pPr>
        <w:pStyle w:val="a3"/>
        <w:spacing w:before="0" w:beforeAutospacing="0" w:after="0" w:afterAutospacing="0"/>
        <w:ind w:firstLine="420"/>
        <w:divId w:val="926888792"/>
        <w:rPr>
          <w:rFonts w:cs="Times New Roman"/>
          <w:color w:val="000000"/>
          <w:sz w:val="18"/>
          <w:szCs w:val="18"/>
        </w:rPr>
      </w:pPr>
      <w:r w:rsidRPr="002B59B9">
        <w:rPr>
          <w:rFonts w:cs="Times New Roman" w:hint="eastAsia"/>
          <w:color w:val="000000"/>
          <w:sz w:val="18"/>
          <w:szCs w:val="18"/>
        </w:rPr>
        <w:t>采用成本法核算时，长期股权投资按初始投资成本计价，追加或收回投资调整长期股权投资的成本。除取得投资时实际支付的价款或者对价中包含的已宣告但尚未发放的现金股利或者利润外，当期投资收益按照享有被投资单位宣告发放的现金股利或利润确认。</w:t>
      </w:r>
    </w:p>
    <w:p w:rsidR="008D4B2E" w:rsidRPr="002B59B9" w:rsidRDefault="008D4B2E" w:rsidP="00B818D2">
      <w:pPr>
        <w:pStyle w:val="a3"/>
        <w:spacing w:before="0" w:beforeAutospacing="0" w:after="0" w:afterAutospacing="0"/>
        <w:ind w:firstLine="420"/>
        <w:divId w:val="926888792"/>
        <w:rPr>
          <w:rFonts w:cs="Times New Roman"/>
          <w:color w:val="000000"/>
          <w:sz w:val="18"/>
          <w:szCs w:val="18"/>
        </w:rPr>
      </w:pPr>
      <w:r w:rsidRPr="002B59B9">
        <w:rPr>
          <w:rFonts w:cs="Times New Roman" w:hint="eastAsia"/>
          <w:color w:val="000000"/>
          <w:sz w:val="18"/>
          <w:szCs w:val="18"/>
        </w:rPr>
        <w:t>②</w:t>
      </w:r>
      <w:r w:rsidRPr="002B59B9">
        <w:rPr>
          <w:rFonts w:cs="Times New Roman"/>
          <w:color w:val="000000"/>
          <w:sz w:val="18"/>
          <w:szCs w:val="18"/>
        </w:rPr>
        <w:t> </w:t>
      </w:r>
      <w:r w:rsidRPr="002B59B9">
        <w:rPr>
          <w:rFonts w:cs="Times New Roman" w:hint="eastAsia"/>
          <w:color w:val="000000"/>
          <w:sz w:val="18"/>
          <w:szCs w:val="18"/>
        </w:rPr>
        <w:t>权益法核算的长期股权投资</w:t>
      </w:r>
    </w:p>
    <w:p w:rsidR="008D4B2E" w:rsidRPr="002B59B9" w:rsidRDefault="008D4B2E" w:rsidP="00B818D2">
      <w:pPr>
        <w:pStyle w:val="a3"/>
        <w:spacing w:before="0" w:beforeAutospacing="0" w:after="0" w:afterAutospacing="0"/>
        <w:ind w:firstLine="420"/>
        <w:divId w:val="926888792"/>
        <w:rPr>
          <w:rFonts w:cs="Times New Roman"/>
          <w:color w:val="000000"/>
          <w:sz w:val="18"/>
          <w:szCs w:val="18"/>
        </w:rPr>
      </w:pPr>
      <w:r w:rsidRPr="002B59B9">
        <w:rPr>
          <w:rFonts w:cs="Times New Roman" w:hint="eastAsia"/>
          <w:color w:val="000000"/>
          <w:sz w:val="18"/>
          <w:szCs w:val="18"/>
        </w:rPr>
        <w:t>采用权益法核算时，长期股权投资的初始投资成本大于投资时应享有被投资单位可辨认净资产公允价值份额的，不调整长期股权投资的初始投资成本；初始投资成本小于投资时应享有被投资单位可辨认净资产公允价值份额的，其差额计入当期损益，同时调整长期股权投资的成本。</w:t>
      </w:r>
    </w:p>
    <w:p w:rsidR="008D4B2E" w:rsidRPr="002B59B9" w:rsidRDefault="008D4B2E" w:rsidP="00B818D2">
      <w:pPr>
        <w:pStyle w:val="a3"/>
        <w:spacing w:before="0" w:beforeAutospacing="0" w:after="0" w:afterAutospacing="0"/>
        <w:ind w:firstLine="420"/>
        <w:divId w:val="926888792"/>
        <w:rPr>
          <w:rFonts w:cs="Times New Roman"/>
          <w:color w:val="000000"/>
          <w:sz w:val="18"/>
          <w:szCs w:val="18"/>
        </w:rPr>
      </w:pPr>
      <w:r w:rsidRPr="002B59B9">
        <w:rPr>
          <w:rFonts w:cs="Times New Roman" w:hint="eastAsia"/>
          <w:color w:val="000000"/>
          <w:sz w:val="18"/>
          <w:szCs w:val="18"/>
        </w:rPr>
        <w:t>采用权益法核算时，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对于被投资单位除净损益、其他综合收益和利润分配以外所有者权益的其他变动，调整长期股权投资的账面价值并计入资本公积。在确认应享有被投资单位净损益的份额时，以取得投资时被投资单位各项可辨认资产等的公允价值为基础，对被投资单位的净利润进行调整后确认。被投资单位采用的会计政策及会计期间与本公司不一致的，按照本公司的会计政策及会计期间对被投资单位的财务报表进行调整，并据以确认投资收益和其他综合收益。对于本公司与联营企业及合营企业之间发生的交易，投出或出售的资产不构成业务的，未实现内部交易损益按照享有的比例计算归属于本公司的部分予以</w:t>
      </w:r>
      <w:proofErr w:type="gramStart"/>
      <w:r w:rsidRPr="002B59B9">
        <w:rPr>
          <w:rFonts w:cs="Times New Roman" w:hint="eastAsia"/>
          <w:color w:val="000000"/>
          <w:sz w:val="18"/>
          <w:szCs w:val="18"/>
        </w:rPr>
        <w:t>抵销</w:t>
      </w:r>
      <w:proofErr w:type="gramEnd"/>
      <w:r w:rsidRPr="002B59B9">
        <w:rPr>
          <w:rFonts w:cs="Times New Roman" w:hint="eastAsia"/>
          <w:color w:val="000000"/>
          <w:sz w:val="18"/>
          <w:szCs w:val="18"/>
        </w:rPr>
        <w:t>，在此基础上确认投资损益。但本公司与被投资单位发生的未实现内部交易损失，属于所转让资产减值损失的，不予以</w:t>
      </w:r>
      <w:proofErr w:type="gramStart"/>
      <w:r w:rsidRPr="002B59B9">
        <w:rPr>
          <w:rFonts w:cs="Times New Roman" w:hint="eastAsia"/>
          <w:color w:val="000000"/>
          <w:sz w:val="18"/>
          <w:szCs w:val="18"/>
        </w:rPr>
        <w:t>抵销</w:t>
      </w:r>
      <w:proofErr w:type="gramEnd"/>
      <w:r w:rsidRPr="002B59B9">
        <w:rPr>
          <w:rFonts w:cs="Times New Roman" w:hint="eastAsia"/>
          <w:color w:val="000000"/>
          <w:sz w:val="18"/>
          <w:szCs w:val="18"/>
        </w:rPr>
        <w:t>。本公司向合营企业或联营企业投出的资产构成业务的，投资方因此取得长期股权投资但未取得控制权的，以投出业务的公允价值作为新增长期股权投资的初始投资成本，初始投资成本与投出业务的账面价值之差，全额计入当期损益。本公司向合营企业或联营企业出售的资产构成业务的，取得的对价与业务的账面价值之差，全额计入当期损益。本公司自联营企业及合营企业购入的资产构成业务的，按《企业会计准则第</w:t>
      </w:r>
      <w:r w:rsidRPr="002B59B9">
        <w:rPr>
          <w:rFonts w:cs="Times New Roman"/>
          <w:color w:val="000000"/>
          <w:sz w:val="18"/>
          <w:szCs w:val="18"/>
        </w:rPr>
        <w:t>20</w:t>
      </w:r>
      <w:r w:rsidRPr="002B59B9">
        <w:rPr>
          <w:rFonts w:cs="Times New Roman" w:hint="eastAsia"/>
          <w:color w:val="000000"/>
          <w:sz w:val="18"/>
          <w:szCs w:val="18"/>
        </w:rPr>
        <w:t>号</w:t>
      </w:r>
      <w:r w:rsidRPr="002B59B9">
        <w:rPr>
          <w:rFonts w:cs="Times New Roman"/>
          <w:color w:val="000000"/>
          <w:sz w:val="18"/>
          <w:szCs w:val="18"/>
        </w:rPr>
        <w:t>——</w:t>
      </w:r>
      <w:r w:rsidRPr="002B59B9">
        <w:rPr>
          <w:rFonts w:cs="Times New Roman" w:hint="eastAsia"/>
          <w:color w:val="000000"/>
          <w:sz w:val="18"/>
          <w:szCs w:val="18"/>
        </w:rPr>
        <w:t>企业合并》的规定进行会计处理，全额确认与交易相关的利得或损失。</w:t>
      </w:r>
    </w:p>
    <w:p w:rsidR="008D4B2E" w:rsidRPr="002B59B9" w:rsidRDefault="008D4B2E" w:rsidP="00B818D2">
      <w:pPr>
        <w:pStyle w:val="a3"/>
        <w:spacing w:before="0" w:beforeAutospacing="0" w:after="0" w:afterAutospacing="0"/>
        <w:ind w:firstLine="420"/>
        <w:divId w:val="926888792"/>
        <w:rPr>
          <w:rFonts w:cs="Times New Roman"/>
          <w:color w:val="000000"/>
          <w:sz w:val="18"/>
          <w:szCs w:val="18"/>
        </w:rPr>
      </w:pPr>
      <w:r w:rsidRPr="002B59B9">
        <w:rPr>
          <w:rFonts w:cs="Times New Roman" w:hint="eastAsia"/>
          <w:color w:val="000000"/>
          <w:sz w:val="18"/>
          <w:szCs w:val="18"/>
        </w:rPr>
        <w:t>在确认应分担被投资单位发生的净亏损时，以长期股权投资的账面价值和其他实质上构成对被投资单位净投资的长期权益</w:t>
      </w:r>
      <w:proofErr w:type="gramStart"/>
      <w:r w:rsidRPr="002B59B9">
        <w:rPr>
          <w:rFonts w:cs="Times New Roman" w:hint="eastAsia"/>
          <w:color w:val="000000"/>
          <w:sz w:val="18"/>
          <w:szCs w:val="18"/>
        </w:rPr>
        <w:t>减记至</w:t>
      </w:r>
      <w:proofErr w:type="gramEnd"/>
      <w:r w:rsidRPr="002B59B9">
        <w:rPr>
          <w:rFonts w:cs="Times New Roman" w:hint="eastAsia"/>
          <w:color w:val="000000"/>
          <w:sz w:val="18"/>
          <w:szCs w:val="18"/>
        </w:rPr>
        <w:t>零为限。此外，如本公司对被投资单位负有承担额外损失的义务，则按预计承担的义务确认预计负债，计入当期投资损失。被投资单位以后期间实现净利润的，本公司在收益分享额弥补未确认的亏损分担额后，恢复确认收益分享额。</w:t>
      </w:r>
    </w:p>
    <w:p w:rsidR="008D4B2E" w:rsidRPr="002B59B9" w:rsidRDefault="008D4B2E" w:rsidP="00B818D2">
      <w:pPr>
        <w:pStyle w:val="a3"/>
        <w:spacing w:before="0" w:beforeAutospacing="0" w:after="0" w:afterAutospacing="0"/>
        <w:ind w:firstLine="420"/>
        <w:divId w:val="926888792"/>
        <w:rPr>
          <w:rFonts w:cs="Times New Roman"/>
          <w:color w:val="000000"/>
          <w:sz w:val="18"/>
          <w:szCs w:val="18"/>
        </w:rPr>
      </w:pPr>
      <w:r w:rsidRPr="002B59B9">
        <w:rPr>
          <w:rFonts w:cs="Times New Roman" w:hint="eastAsia"/>
          <w:color w:val="000000"/>
          <w:sz w:val="18"/>
          <w:szCs w:val="18"/>
        </w:rPr>
        <w:t>对于本公司首次执行新会计准则之前已经持有的对联营企业和合营企业的长期股权投资，如存在与该投资相关的股权投资借方差额，按原剩余期限直线摊销的金额计入当期损益。</w:t>
      </w:r>
    </w:p>
    <w:p w:rsidR="008D4B2E" w:rsidRPr="002B59B9" w:rsidRDefault="008D4B2E" w:rsidP="00B818D2">
      <w:pPr>
        <w:pStyle w:val="a3"/>
        <w:spacing w:before="0" w:beforeAutospacing="0" w:after="0" w:afterAutospacing="0"/>
        <w:ind w:firstLine="420"/>
        <w:divId w:val="926888792"/>
        <w:rPr>
          <w:rFonts w:cs="Times New Roman"/>
          <w:color w:val="000000"/>
          <w:sz w:val="18"/>
          <w:szCs w:val="18"/>
        </w:rPr>
      </w:pPr>
      <w:r w:rsidRPr="002B59B9">
        <w:rPr>
          <w:rFonts w:cs="Times New Roman" w:hint="eastAsia"/>
          <w:color w:val="000000"/>
          <w:sz w:val="18"/>
          <w:szCs w:val="18"/>
        </w:rPr>
        <w:t>③</w:t>
      </w:r>
      <w:r w:rsidRPr="002B59B9">
        <w:rPr>
          <w:rFonts w:cs="Times New Roman"/>
          <w:color w:val="000000"/>
          <w:sz w:val="18"/>
          <w:szCs w:val="18"/>
        </w:rPr>
        <w:t> </w:t>
      </w:r>
      <w:r w:rsidRPr="002B59B9">
        <w:rPr>
          <w:rFonts w:cs="Times New Roman" w:hint="eastAsia"/>
          <w:color w:val="000000"/>
          <w:sz w:val="18"/>
          <w:szCs w:val="18"/>
        </w:rPr>
        <w:t>收购少数股权</w:t>
      </w:r>
    </w:p>
    <w:p w:rsidR="008D4B2E" w:rsidRPr="002B59B9" w:rsidRDefault="008D4B2E" w:rsidP="00B818D2">
      <w:pPr>
        <w:pStyle w:val="a3"/>
        <w:spacing w:before="0" w:beforeAutospacing="0" w:after="0" w:afterAutospacing="0"/>
        <w:ind w:firstLine="420"/>
        <w:divId w:val="926888792"/>
        <w:rPr>
          <w:rFonts w:cs="Times New Roman"/>
          <w:color w:val="000000"/>
          <w:sz w:val="18"/>
          <w:szCs w:val="18"/>
        </w:rPr>
      </w:pPr>
      <w:r w:rsidRPr="002B59B9">
        <w:rPr>
          <w:rFonts w:cs="Times New Roman" w:hint="eastAsia"/>
          <w:color w:val="000000"/>
          <w:sz w:val="18"/>
          <w:szCs w:val="18"/>
        </w:rPr>
        <w:t>在编制合并财务报表时，因购买少数股权新增的长期股权投资与按照新增持股比例计算应享有子公司自购买日（或合并日）开始持续计算的净资产份额之间的差额，调整资本公积，资本公</w:t>
      </w:r>
      <w:proofErr w:type="gramStart"/>
      <w:r w:rsidRPr="002B59B9">
        <w:rPr>
          <w:rFonts w:cs="Times New Roman" w:hint="eastAsia"/>
          <w:color w:val="000000"/>
          <w:sz w:val="18"/>
          <w:szCs w:val="18"/>
        </w:rPr>
        <w:t>积不足</w:t>
      </w:r>
      <w:proofErr w:type="gramEnd"/>
      <w:r w:rsidRPr="002B59B9">
        <w:rPr>
          <w:rFonts w:cs="Times New Roman" w:hint="eastAsia"/>
          <w:color w:val="000000"/>
          <w:sz w:val="18"/>
          <w:szCs w:val="18"/>
        </w:rPr>
        <w:t>冲减的，调整留存收益。</w:t>
      </w:r>
    </w:p>
    <w:p w:rsidR="008D4B2E" w:rsidRPr="002B59B9" w:rsidRDefault="008D4B2E" w:rsidP="00B818D2">
      <w:pPr>
        <w:pStyle w:val="a3"/>
        <w:spacing w:before="0" w:beforeAutospacing="0" w:after="0" w:afterAutospacing="0"/>
        <w:ind w:firstLine="420"/>
        <w:divId w:val="926888792"/>
        <w:rPr>
          <w:rFonts w:cs="Times New Roman"/>
          <w:color w:val="000000"/>
          <w:sz w:val="18"/>
          <w:szCs w:val="18"/>
        </w:rPr>
      </w:pPr>
      <w:r w:rsidRPr="002B59B9">
        <w:rPr>
          <w:rFonts w:cs="Times New Roman" w:hint="eastAsia"/>
          <w:color w:val="000000"/>
          <w:sz w:val="18"/>
          <w:szCs w:val="18"/>
        </w:rPr>
        <w:t>④</w:t>
      </w:r>
      <w:r w:rsidRPr="002B59B9">
        <w:rPr>
          <w:rFonts w:cs="Times New Roman"/>
          <w:color w:val="000000"/>
          <w:sz w:val="18"/>
          <w:szCs w:val="18"/>
        </w:rPr>
        <w:t> </w:t>
      </w:r>
      <w:r w:rsidRPr="002B59B9">
        <w:rPr>
          <w:rFonts w:cs="Times New Roman" w:hint="eastAsia"/>
          <w:color w:val="000000"/>
          <w:sz w:val="18"/>
          <w:szCs w:val="18"/>
        </w:rPr>
        <w:t>处置长期股权投资</w:t>
      </w:r>
    </w:p>
    <w:p w:rsidR="008D4B2E" w:rsidRPr="002B59B9" w:rsidRDefault="008D4B2E" w:rsidP="00B818D2">
      <w:pPr>
        <w:pStyle w:val="a3"/>
        <w:spacing w:before="0" w:beforeAutospacing="0" w:after="0" w:afterAutospacing="0"/>
        <w:ind w:firstLine="420"/>
        <w:divId w:val="926888792"/>
        <w:rPr>
          <w:rFonts w:cs="Times New Roman"/>
          <w:color w:val="000000"/>
          <w:sz w:val="18"/>
          <w:szCs w:val="18"/>
        </w:rPr>
      </w:pPr>
      <w:r w:rsidRPr="002B59B9">
        <w:rPr>
          <w:rFonts w:cs="Times New Roman" w:hint="eastAsia"/>
          <w:color w:val="000000"/>
          <w:sz w:val="18"/>
          <w:szCs w:val="18"/>
        </w:rPr>
        <w:t>在合并财务报表中，母公司在不丧失控制权的情况下部分处置对子公司的长期股权投资，处置价款与处置长期股权投资相对应享有子公司净资产的差额计入股东权益；母公司部分处置对子公司的长期股权投资导致丧失对子公司控制权的，按本附注四、</w:t>
      </w:r>
      <w:r w:rsidRPr="002B59B9">
        <w:rPr>
          <w:rFonts w:cs="Times New Roman"/>
          <w:color w:val="000000"/>
          <w:sz w:val="18"/>
          <w:szCs w:val="18"/>
        </w:rPr>
        <w:t>5</w:t>
      </w:r>
      <w:r w:rsidRPr="002B59B9">
        <w:rPr>
          <w:rFonts w:cs="Times New Roman" w:hint="eastAsia"/>
          <w:color w:val="000000"/>
          <w:sz w:val="18"/>
          <w:szCs w:val="18"/>
        </w:rPr>
        <w:t>、（</w:t>
      </w:r>
      <w:r w:rsidRPr="002B59B9">
        <w:rPr>
          <w:rFonts w:cs="Times New Roman"/>
          <w:color w:val="000000"/>
          <w:sz w:val="18"/>
          <w:szCs w:val="18"/>
        </w:rPr>
        <w:t>2</w:t>
      </w:r>
      <w:r w:rsidRPr="002B59B9">
        <w:rPr>
          <w:rFonts w:cs="Times New Roman" w:hint="eastAsia"/>
          <w:color w:val="000000"/>
          <w:sz w:val="18"/>
          <w:szCs w:val="18"/>
        </w:rPr>
        <w:t>）</w:t>
      </w:r>
      <w:r w:rsidRPr="002B59B9">
        <w:rPr>
          <w:rFonts w:cs="Times New Roman"/>
          <w:color w:val="000000"/>
          <w:sz w:val="18"/>
          <w:szCs w:val="18"/>
        </w:rPr>
        <w:t>“</w:t>
      </w:r>
      <w:r w:rsidRPr="002B59B9">
        <w:rPr>
          <w:rFonts w:cs="Times New Roman" w:hint="eastAsia"/>
          <w:color w:val="000000"/>
          <w:sz w:val="18"/>
          <w:szCs w:val="18"/>
        </w:rPr>
        <w:t>合并财务报表编制的方法</w:t>
      </w:r>
      <w:r w:rsidRPr="002B59B9">
        <w:rPr>
          <w:rFonts w:cs="Times New Roman"/>
          <w:color w:val="000000"/>
          <w:sz w:val="18"/>
          <w:szCs w:val="18"/>
        </w:rPr>
        <w:t>”</w:t>
      </w:r>
      <w:r w:rsidRPr="002B59B9">
        <w:rPr>
          <w:rFonts w:cs="Times New Roman" w:hint="eastAsia"/>
          <w:color w:val="000000"/>
          <w:sz w:val="18"/>
          <w:szCs w:val="18"/>
        </w:rPr>
        <w:t>中所述的相关会计政策处理。</w:t>
      </w:r>
    </w:p>
    <w:p w:rsidR="008D4B2E" w:rsidRPr="002B59B9" w:rsidRDefault="008D4B2E" w:rsidP="00B818D2">
      <w:pPr>
        <w:pStyle w:val="a3"/>
        <w:spacing w:before="0" w:beforeAutospacing="0" w:after="0" w:afterAutospacing="0"/>
        <w:ind w:firstLine="420"/>
        <w:divId w:val="926888792"/>
        <w:rPr>
          <w:rFonts w:cs="Times New Roman"/>
          <w:color w:val="000000"/>
          <w:sz w:val="18"/>
          <w:szCs w:val="18"/>
        </w:rPr>
      </w:pPr>
      <w:r w:rsidRPr="002B59B9">
        <w:rPr>
          <w:rFonts w:cs="Times New Roman" w:hint="eastAsia"/>
          <w:color w:val="000000"/>
          <w:sz w:val="18"/>
          <w:szCs w:val="18"/>
        </w:rPr>
        <w:t>其他情形下的长期股权投资处置，对于处置的股权，其账面价值与实际取得价款的差额，计入当期损益。</w:t>
      </w:r>
    </w:p>
    <w:p w:rsidR="008D4B2E" w:rsidRPr="002B59B9" w:rsidRDefault="008D4B2E" w:rsidP="00B818D2">
      <w:pPr>
        <w:pStyle w:val="a3"/>
        <w:spacing w:before="0" w:beforeAutospacing="0" w:after="0" w:afterAutospacing="0"/>
        <w:ind w:firstLine="420"/>
        <w:divId w:val="926888792"/>
        <w:rPr>
          <w:rFonts w:cs="Times New Roman"/>
          <w:color w:val="000000"/>
          <w:sz w:val="18"/>
          <w:szCs w:val="18"/>
        </w:rPr>
      </w:pPr>
      <w:r w:rsidRPr="002B59B9">
        <w:rPr>
          <w:rFonts w:cs="Times New Roman" w:hint="eastAsia"/>
          <w:color w:val="000000"/>
          <w:sz w:val="18"/>
          <w:szCs w:val="18"/>
        </w:rPr>
        <w:t>采用权益法核算的长期股权投资，处置后的剩余股权仍采用权益法核算的，在处置时将原计入股东权益的其他综合收益部分按相应的比例采用与被投资单位直接处置相关资产或负债相同的基础进行会计处理。因被投资方除净损益、其他综合收益和利润分配以外的其他所有者权益变动而确认的所有者权益，按比例结转入当期损益。</w:t>
      </w:r>
    </w:p>
    <w:p w:rsidR="008D4B2E" w:rsidRPr="002B59B9" w:rsidRDefault="008D4B2E" w:rsidP="00B818D2">
      <w:pPr>
        <w:pStyle w:val="a3"/>
        <w:spacing w:before="0" w:beforeAutospacing="0" w:after="0" w:afterAutospacing="0"/>
        <w:ind w:firstLine="420"/>
        <w:divId w:val="926888792"/>
        <w:rPr>
          <w:rFonts w:cs="Times New Roman"/>
          <w:color w:val="000000"/>
          <w:sz w:val="18"/>
          <w:szCs w:val="18"/>
        </w:rPr>
      </w:pPr>
      <w:r w:rsidRPr="002B59B9">
        <w:rPr>
          <w:rFonts w:cs="Times New Roman" w:hint="eastAsia"/>
          <w:color w:val="000000"/>
          <w:sz w:val="18"/>
          <w:szCs w:val="18"/>
        </w:rPr>
        <w:t>采用成本法核算的长期股权投资，处置后剩余股权仍采用成本法核算的，其在取得对被投资单位的控制之前因采用权益法核算或金融工具确认和计量准则核算而确认的其他综合收益，采用与被投资单位直接处置相关资产或负债相同的基础进行会计处理，并按比例结转当期损益；因采用权益法核算而确认的被投资单位净资产中除净损益、其他综合收益和利润分配以外的其他所有者权益</w:t>
      </w:r>
      <w:proofErr w:type="gramStart"/>
      <w:r w:rsidRPr="002B59B9">
        <w:rPr>
          <w:rFonts w:cs="Times New Roman" w:hint="eastAsia"/>
          <w:color w:val="000000"/>
          <w:sz w:val="18"/>
          <w:szCs w:val="18"/>
        </w:rPr>
        <w:t>变动按</w:t>
      </w:r>
      <w:proofErr w:type="gramEnd"/>
      <w:r w:rsidRPr="002B59B9">
        <w:rPr>
          <w:rFonts w:cs="Times New Roman" w:hint="eastAsia"/>
          <w:color w:val="000000"/>
          <w:sz w:val="18"/>
          <w:szCs w:val="18"/>
        </w:rPr>
        <w:t>比例结转当期损益。</w:t>
      </w:r>
    </w:p>
    <w:p w:rsidR="008D4B2E" w:rsidRPr="002B59B9" w:rsidRDefault="008D4B2E" w:rsidP="00B818D2">
      <w:pPr>
        <w:pStyle w:val="a3"/>
        <w:spacing w:before="0" w:beforeAutospacing="0" w:after="0" w:afterAutospacing="0"/>
        <w:ind w:firstLine="420"/>
        <w:divId w:val="926888792"/>
        <w:rPr>
          <w:rFonts w:cs="Times New Roman"/>
          <w:color w:val="000000"/>
          <w:sz w:val="18"/>
          <w:szCs w:val="18"/>
        </w:rPr>
      </w:pPr>
      <w:r w:rsidRPr="002B59B9">
        <w:rPr>
          <w:rFonts w:cs="Times New Roman" w:hint="eastAsia"/>
          <w:color w:val="000000"/>
          <w:sz w:val="18"/>
          <w:szCs w:val="18"/>
        </w:rPr>
        <w:lastRenderedPageBreak/>
        <w:t>本公司因处置部分股权投资丧失了对被投资单位的控制的，在编制个别财务报表时，处置后的剩余股权能够对被投资单位实施共同控制或施加重大影响的，改按权益法核算，并对该剩余股权视同自取得时即采用权益法核算进行调整；处置后的剩余股权不能对被投资单位实施共同控制或施加重大影响的，改按金融工具确认和计量准则的有关规定进行会计处理，其在丧失控制之日的公允价值与账面价值之间的差额计入当期损益。对于本公司取得对被投资单位的控制之前，因采用权益法核算或金融工具确认和计量准则核算而确认的其他综合收益，在丧失对被投资单位控制时采用与被投资单位直接处置相关资产或负债相同的基础进行会计处理，因采用权益法核算而确认的被投资单位净资产中除净损益、其他综合收益和利润分配以外的其他所有者权益变动在丧失对被投资单位控制时结转入当期损益。其中，处置后的剩余股权采用权益法核算的，其他综合收益和其他所有者权益按比例结转；处置后的剩余股权改按金融工具确认和计量准则进行会计处理的，其他综合收益和其他所有者权益全部结转。</w:t>
      </w:r>
    </w:p>
    <w:p w:rsidR="008D4B2E" w:rsidRPr="002B59B9" w:rsidRDefault="008D4B2E" w:rsidP="00B818D2">
      <w:pPr>
        <w:pStyle w:val="a3"/>
        <w:spacing w:before="0" w:beforeAutospacing="0" w:after="0" w:afterAutospacing="0"/>
        <w:ind w:firstLine="420"/>
        <w:divId w:val="926888792"/>
        <w:rPr>
          <w:rFonts w:cs="Times New Roman"/>
          <w:color w:val="000000"/>
          <w:sz w:val="18"/>
          <w:szCs w:val="18"/>
        </w:rPr>
      </w:pPr>
      <w:r w:rsidRPr="002B59B9">
        <w:rPr>
          <w:rFonts w:cs="Times New Roman" w:hint="eastAsia"/>
          <w:color w:val="000000"/>
          <w:sz w:val="18"/>
          <w:szCs w:val="18"/>
        </w:rPr>
        <w:t>本公司因处置部分股权投资丧失了对被投资单位的共同控制或重大影响的，处置后的剩余股权改按金融工具确认和计量准则核算，其在丧失共同控制或重大影响之日的公允价值与账面价值之间的差额计入当期损益。原股权投资因采用权益法核算而确认的其他综合收益，在终止采用权益法核算时采用与被投资单位直接处置相关资产或负债相同的基础进行会计处理，因被投资方除净损益、其他综合收益和利润分配以外的其他所有者权益变动而确认的所有者权益，在终止采用权益法时全部转入当期投资收益。</w:t>
      </w:r>
    </w:p>
    <w:p w:rsidR="008D4B2E" w:rsidRPr="002B59B9" w:rsidRDefault="008D4B2E" w:rsidP="00B818D2">
      <w:pPr>
        <w:pStyle w:val="a3"/>
        <w:spacing w:before="0" w:beforeAutospacing="0" w:after="0" w:afterAutospacing="0"/>
        <w:ind w:firstLine="420"/>
        <w:divId w:val="926888792"/>
        <w:rPr>
          <w:rFonts w:cs="Times New Roman"/>
          <w:color w:val="000000"/>
          <w:sz w:val="18"/>
          <w:szCs w:val="18"/>
        </w:rPr>
      </w:pPr>
      <w:r w:rsidRPr="002B59B9">
        <w:rPr>
          <w:rFonts w:cs="Times New Roman" w:hint="eastAsia"/>
          <w:color w:val="000000"/>
          <w:sz w:val="18"/>
          <w:szCs w:val="18"/>
        </w:rPr>
        <w:t>本公司通过多次交易分步处置对子公司股权投资直至丧失控制权，如果上述交易属于一揽子交易的，将各项交易作为一项处置子公司股权投资并丧失控制权的交易进行会计处理，在丧失控制权之前每一次处置价款与所处置的股权对应的长期股权投资账面价值之间的差额，先确认为其他综合收益，到丧失控制权时再一并转入丧失控制权的当期损益。</w:t>
      </w:r>
    </w:p>
    <w:p w:rsidR="00BA0365" w:rsidRDefault="008D4B2E" w:rsidP="00B818D2">
      <w:pPr>
        <w:pStyle w:val="3"/>
        <w:spacing w:line="240" w:lineRule="auto"/>
        <w:jc w:val="left"/>
        <w:rPr>
          <w:rFonts w:ascii="宋体" w:hAnsi="宋体" w:cs="宋体"/>
          <w:b/>
          <w:bCs/>
        </w:rPr>
      </w:pPr>
      <w:bookmarkStart w:id="187" w:name="_Toc989075"/>
      <w:r>
        <w:rPr>
          <w:rFonts w:ascii="宋体" w:hAnsi="宋体" w:cs="宋体"/>
          <w:b/>
          <w:bCs/>
        </w:rPr>
        <w:t>22、投资性房地产</w:t>
      </w:r>
      <w:bookmarkEnd w:id="187"/>
    </w:p>
    <w:p w:rsidR="00BA0365" w:rsidRDefault="008D4B2E" w:rsidP="00B818D2">
      <w:pPr>
        <w:spacing w:before="100" w:after="100"/>
        <w:rPr>
          <w:rFonts w:ascii="宋体" w:eastAsia="宋体" w:hAnsi="宋体" w:cs="宋体"/>
          <w:sz w:val="18"/>
          <w:szCs w:val="18"/>
        </w:rPr>
      </w:pPr>
      <w:r>
        <w:rPr>
          <w:rFonts w:ascii="宋体" w:eastAsia="宋体" w:hAnsi="宋体" w:cs="宋体"/>
          <w:sz w:val="18"/>
          <w:szCs w:val="18"/>
        </w:rPr>
        <w:t>投资性房地产计量模式</w:t>
      </w:r>
    </w:p>
    <w:p w:rsidR="00BA0365" w:rsidRDefault="008D4B2E" w:rsidP="00B818D2">
      <w:pPr>
        <w:spacing w:before="100" w:after="100"/>
        <w:rPr>
          <w:rFonts w:ascii="宋体" w:eastAsia="宋体" w:hAnsi="宋体" w:cs="宋体"/>
          <w:sz w:val="18"/>
          <w:szCs w:val="18"/>
        </w:rPr>
      </w:pPr>
      <w:r>
        <w:rPr>
          <w:rFonts w:ascii="宋体" w:eastAsia="宋体" w:hAnsi="宋体" w:cs="宋体"/>
          <w:sz w:val="18"/>
          <w:szCs w:val="18"/>
        </w:rPr>
        <w:t>成本法计量</w:t>
      </w:r>
    </w:p>
    <w:p w:rsidR="00BA0365" w:rsidRPr="002B59B9" w:rsidRDefault="008D4B2E" w:rsidP="00B818D2">
      <w:pPr>
        <w:pStyle w:val="a3"/>
        <w:spacing w:before="0" w:beforeAutospacing="0" w:after="0" w:afterAutospacing="0"/>
        <w:ind w:firstLine="420"/>
        <w:rPr>
          <w:rFonts w:cs="Times New Roman"/>
          <w:color w:val="000000"/>
          <w:sz w:val="18"/>
          <w:szCs w:val="18"/>
        </w:rPr>
      </w:pPr>
      <w:r w:rsidRPr="002B59B9">
        <w:rPr>
          <w:rFonts w:cs="Times New Roman"/>
          <w:color w:val="000000"/>
          <w:sz w:val="18"/>
          <w:szCs w:val="18"/>
        </w:rPr>
        <w:t>折旧或摊销方法</w:t>
      </w:r>
    </w:p>
    <w:p w:rsidR="008D4B2E" w:rsidRPr="002B59B9" w:rsidRDefault="008D4B2E" w:rsidP="00B818D2">
      <w:pPr>
        <w:pStyle w:val="a3"/>
        <w:spacing w:before="0" w:beforeAutospacing="0" w:after="0" w:afterAutospacing="0"/>
        <w:ind w:firstLine="420"/>
        <w:divId w:val="1186096628"/>
        <w:rPr>
          <w:rFonts w:cs="Times New Roman"/>
          <w:color w:val="000000"/>
          <w:sz w:val="18"/>
          <w:szCs w:val="18"/>
        </w:rPr>
      </w:pPr>
      <w:r w:rsidRPr="002B59B9">
        <w:rPr>
          <w:rFonts w:cs="Times New Roman" w:hint="eastAsia"/>
          <w:color w:val="000000"/>
          <w:sz w:val="18"/>
          <w:szCs w:val="18"/>
        </w:rPr>
        <w:t>投资性房地产是指为赚取租金或资本增值，或两者兼有而持有的房地产。包括已出租的土地使用权、持有并</w:t>
      </w:r>
      <w:proofErr w:type="gramStart"/>
      <w:r w:rsidRPr="002B59B9">
        <w:rPr>
          <w:rFonts w:cs="Times New Roman" w:hint="eastAsia"/>
          <w:color w:val="000000"/>
          <w:sz w:val="18"/>
          <w:szCs w:val="18"/>
        </w:rPr>
        <w:t>准备增值</w:t>
      </w:r>
      <w:proofErr w:type="gramEnd"/>
      <w:r w:rsidRPr="002B59B9">
        <w:rPr>
          <w:rFonts w:cs="Times New Roman" w:hint="eastAsia"/>
          <w:color w:val="000000"/>
          <w:sz w:val="18"/>
          <w:szCs w:val="18"/>
        </w:rPr>
        <w:t>后转让的土地使用权、已出租的建筑物等。</w:t>
      </w:r>
    </w:p>
    <w:p w:rsidR="008D4B2E" w:rsidRPr="002B59B9" w:rsidRDefault="008D4B2E" w:rsidP="00B818D2">
      <w:pPr>
        <w:pStyle w:val="a3"/>
        <w:spacing w:before="0" w:beforeAutospacing="0" w:after="0" w:afterAutospacing="0"/>
        <w:ind w:firstLine="420"/>
        <w:divId w:val="1186096628"/>
        <w:rPr>
          <w:rFonts w:cs="Times New Roman"/>
          <w:color w:val="000000"/>
          <w:sz w:val="18"/>
          <w:szCs w:val="18"/>
        </w:rPr>
      </w:pPr>
      <w:r w:rsidRPr="002B59B9">
        <w:rPr>
          <w:rFonts w:cs="Times New Roman" w:hint="eastAsia"/>
          <w:color w:val="000000"/>
          <w:sz w:val="18"/>
          <w:szCs w:val="18"/>
        </w:rPr>
        <w:t>投资性房地产按成本进行初始计量。与投资性房地产有关的后续支出，如果与该资产有关的经济利益很可能流入且其成本能可靠地计量，则计入投资性房地产成本。其他后续支出，在发生时计入当期损益。</w:t>
      </w:r>
    </w:p>
    <w:p w:rsidR="008D4B2E" w:rsidRPr="002B59B9" w:rsidRDefault="008D4B2E" w:rsidP="00B818D2">
      <w:pPr>
        <w:pStyle w:val="a3"/>
        <w:spacing w:before="0" w:beforeAutospacing="0" w:after="0" w:afterAutospacing="0"/>
        <w:ind w:firstLine="420"/>
        <w:divId w:val="1186096628"/>
        <w:rPr>
          <w:rFonts w:cs="Times New Roman"/>
          <w:color w:val="000000"/>
          <w:sz w:val="18"/>
          <w:szCs w:val="18"/>
        </w:rPr>
      </w:pPr>
      <w:r w:rsidRPr="002B59B9">
        <w:rPr>
          <w:rFonts w:cs="Times New Roman" w:hint="eastAsia"/>
          <w:color w:val="000000"/>
          <w:sz w:val="18"/>
          <w:szCs w:val="18"/>
        </w:rPr>
        <w:t>本公司采用成本模式对投资性房地产进行后续计量，并按照与房屋建筑物或土地使用权一致的政策进行折旧或摊销。</w:t>
      </w:r>
    </w:p>
    <w:p w:rsidR="008D4B2E" w:rsidRPr="002B59B9" w:rsidRDefault="008D4B2E" w:rsidP="00B818D2">
      <w:pPr>
        <w:pStyle w:val="a3"/>
        <w:spacing w:before="0" w:beforeAutospacing="0" w:after="0" w:afterAutospacing="0"/>
        <w:ind w:firstLine="420"/>
        <w:divId w:val="1186096628"/>
        <w:rPr>
          <w:rFonts w:cs="Times New Roman"/>
          <w:color w:val="000000"/>
          <w:sz w:val="18"/>
          <w:szCs w:val="18"/>
        </w:rPr>
      </w:pPr>
      <w:r w:rsidRPr="002B59B9">
        <w:rPr>
          <w:rFonts w:cs="Times New Roman" w:hint="eastAsia"/>
          <w:color w:val="000000"/>
          <w:sz w:val="18"/>
          <w:szCs w:val="18"/>
        </w:rPr>
        <w:t>投资性房地产的减值测试方法和减值准备计提方法详见附注四、</w:t>
      </w:r>
      <w:r w:rsidRPr="002B59B9">
        <w:rPr>
          <w:rFonts w:cs="Times New Roman"/>
          <w:color w:val="000000"/>
          <w:sz w:val="18"/>
          <w:szCs w:val="18"/>
        </w:rPr>
        <w:t>“</w:t>
      </w:r>
      <w:r w:rsidRPr="002B59B9">
        <w:rPr>
          <w:rFonts w:cs="Times New Roman" w:hint="eastAsia"/>
          <w:color w:val="000000"/>
          <w:sz w:val="18"/>
          <w:szCs w:val="18"/>
        </w:rPr>
        <w:t>长期资产减值</w:t>
      </w:r>
      <w:r w:rsidRPr="002B59B9">
        <w:rPr>
          <w:rFonts w:cs="Times New Roman"/>
          <w:color w:val="000000"/>
          <w:sz w:val="18"/>
          <w:szCs w:val="18"/>
        </w:rPr>
        <w:t>”</w:t>
      </w:r>
      <w:r w:rsidRPr="002B59B9">
        <w:rPr>
          <w:rFonts w:cs="Times New Roman" w:hint="eastAsia"/>
          <w:color w:val="000000"/>
          <w:sz w:val="18"/>
          <w:szCs w:val="18"/>
        </w:rPr>
        <w:t>。</w:t>
      </w:r>
    </w:p>
    <w:p w:rsidR="008D4B2E" w:rsidRPr="002B59B9" w:rsidRDefault="008D4B2E" w:rsidP="00B818D2">
      <w:pPr>
        <w:pStyle w:val="a3"/>
        <w:spacing w:before="0" w:beforeAutospacing="0" w:after="0" w:afterAutospacing="0"/>
        <w:ind w:firstLine="420"/>
        <w:divId w:val="1186096628"/>
        <w:rPr>
          <w:rFonts w:cs="Times New Roman"/>
          <w:color w:val="000000"/>
          <w:sz w:val="18"/>
          <w:szCs w:val="18"/>
        </w:rPr>
      </w:pPr>
      <w:r w:rsidRPr="002B59B9">
        <w:rPr>
          <w:rFonts w:cs="Times New Roman" w:hint="eastAsia"/>
          <w:color w:val="000000"/>
          <w:sz w:val="18"/>
          <w:szCs w:val="18"/>
        </w:rPr>
        <w:t>自用房地产或存货转换为投资性房地产或投资性房地产转换为自用房地产时，按转换前的账面价值作为转换后的入账价值。</w:t>
      </w:r>
    </w:p>
    <w:p w:rsidR="008D4B2E" w:rsidRPr="002B59B9" w:rsidRDefault="008D4B2E" w:rsidP="00B818D2">
      <w:pPr>
        <w:pStyle w:val="a3"/>
        <w:spacing w:before="0" w:beforeAutospacing="0" w:after="0" w:afterAutospacing="0"/>
        <w:ind w:firstLine="420"/>
        <w:divId w:val="1186096628"/>
        <w:rPr>
          <w:rFonts w:cs="Times New Roman"/>
          <w:color w:val="000000"/>
          <w:sz w:val="18"/>
          <w:szCs w:val="18"/>
        </w:rPr>
      </w:pPr>
      <w:r w:rsidRPr="002B59B9">
        <w:rPr>
          <w:rFonts w:cs="Times New Roman" w:hint="eastAsia"/>
          <w:color w:val="000000"/>
          <w:sz w:val="18"/>
          <w:szCs w:val="18"/>
        </w:rPr>
        <w:t>投资性房地产的用途改变为自用时，</w:t>
      </w:r>
      <w:proofErr w:type="gramStart"/>
      <w:r w:rsidRPr="002B59B9">
        <w:rPr>
          <w:rFonts w:cs="Times New Roman" w:hint="eastAsia"/>
          <w:color w:val="000000"/>
          <w:sz w:val="18"/>
          <w:szCs w:val="18"/>
        </w:rPr>
        <w:t>自改变</w:t>
      </w:r>
      <w:proofErr w:type="gramEnd"/>
      <w:r w:rsidRPr="002B59B9">
        <w:rPr>
          <w:rFonts w:cs="Times New Roman" w:hint="eastAsia"/>
          <w:color w:val="000000"/>
          <w:sz w:val="18"/>
          <w:szCs w:val="18"/>
        </w:rPr>
        <w:t>之日起，将该投资性房地产转换为固定资产或无形资产。自用房地产的用途改变为赚取租金或资本增值时，</w:t>
      </w:r>
      <w:proofErr w:type="gramStart"/>
      <w:r w:rsidRPr="002B59B9">
        <w:rPr>
          <w:rFonts w:cs="Times New Roman" w:hint="eastAsia"/>
          <w:color w:val="000000"/>
          <w:sz w:val="18"/>
          <w:szCs w:val="18"/>
        </w:rPr>
        <w:t>自改变</w:t>
      </w:r>
      <w:proofErr w:type="gramEnd"/>
      <w:r w:rsidRPr="002B59B9">
        <w:rPr>
          <w:rFonts w:cs="Times New Roman" w:hint="eastAsia"/>
          <w:color w:val="000000"/>
          <w:sz w:val="18"/>
          <w:szCs w:val="18"/>
        </w:rPr>
        <w:t>之日起，将固定资产或无形资产转换为投资性房地产。发生转换时，转换为采用成本模式计量的投资性房地产的，以转换前的账面价值作为转换后的入账价值；转换为以公允价值模式计量的投资性房地产的，以</w:t>
      </w:r>
      <w:proofErr w:type="gramStart"/>
      <w:r w:rsidRPr="002B59B9">
        <w:rPr>
          <w:rFonts w:cs="Times New Roman" w:hint="eastAsia"/>
          <w:color w:val="000000"/>
          <w:sz w:val="18"/>
          <w:szCs w:val="18"/>
        </w:rPr>
        <w:t>转换日</w:t>
      </w:r>
      <w:proofErr w:type="gramEnd"/>
      <w:r w:rsidRPr="002B59B9">
        <w:rPr>
          <w:rFonts w:cs="Times New Roman" w:hint="eastAsia"/>
          <w:color w:val="000000"/>
          <w:sz w:val="18"/>
          <w:szCs w:val="18"/>
        </w:rPr>
        <w:t>的公允价值作为转换后的入账价值。</w:t>
      </w:r>
    </w:p>
    <w:p w:rsidR="008D4B2E" w:rsidRPr="002B59B9" w:rsidRDefault="008D4B2E" w:rsidP="00B818D2">
      <w:pPr>
        <w:pStyle w:val="a3"/>
        <w:spacing w:before="0" w:beforeAutospacing="0" w:after="0" w:afterAutospacing="0"/>
        <w:ind w:firstLine="420"/>
        <w:divId w:val="1186096628"/>
        <w:rPr>
          <w:rFonts w:cs="Times New Roman"/>
          <w:color w:val="000000"/>
          <w:sz w:val="18"/>
          <w:szCs w:val="18"/>
        </w:rPr>
      </w:pPr>
      <w:r w:rsidRPr="002B59B9">
        <w:rPr>
          <w:rFonts w:cs="Times New Roman" w:hint="eastAsia"/>
          <w:color w:val="000000"/>
          <w:sz w:val="18"/>
          <w:szCs w:val="18"/>
        </w:rPr>
        <w:t>当投资性房地产被处置、或者永久退出使用且预计不能从其处置中取得经济利益时，终止确认该项投资性房地产。投资性房地产出售、转让、报废或毁损的处置收入扣除其账面价值和相关税费后计入当期损益。</w:t>
      </w:r>
    </w:p>
    <w:p w:rsidR="00BA0365" w:rsidRDefault="008D4B2E" w:rsidP="00B818D2">
      <w:pPr>
        <w:pStyle w:val="3"/>
        <w:spacing w:line="240" w:lineRule="auto"/>
        <w:jc w:val="left"/>
        <w:rPr>
          <w:rFonts w:ascii="宋体" w:hAnsi="宋体" w:cs="宋体"/>
          <w:b/>
          <w:bCs/>
        </w:rPr>
      </w:pPr>
      <w:bookmarkStart w:id="188" w:name="_Toc989076"/>
      <w:r>
        <w:rPr>
          <w:rFonts w:ascii="宋体" w:hAnsi="宋体" w:cs="宋体"/>
          <w:b/>
          <w:bCs/>
        </w:rPr>
        <w:lastRenderedPageBreak/>
        <w:t>23、固定资产</w:t>
      </w:r>
      <w:bookmarkEnd w:id="188"/>
    </w:p>
    <w:p w:rsidR="00BA0365" w:rsidRDefault="008D4B2E" w:rsidP="00B818D2">
      <w:pPr>
        <w:keepNext/>
        <w:keepLines/>
        <w:spacing w:before="300" w:after="300"/>
        <w:outlineLvl w:val="3"/>
        <w:rPr>
          <w:rFonts w:ascii="宋体" w:eastAsia="宋体" w:hAnsi="宋体" w:cs="宋体"/>
          <w:b/>
          <w:bCs/>
          <w:szCs w:val="21"/>
        </w:rPr>
      </w:pPr>
      <w:bookmarkStart w:id="189" w:name="_Toc989077"/>
      <w:r>
        <w:rPr>
          <w:rFonts w:ascii="宋体" w:eastAsia="宋体" w:hAnsi="宋体" w:cs="宋体"/>
          <w:b/>
          <w:bCs/>
          <w:szCs w:val="21"/>
        </w:rPr>
        <w:t>（1） 确认条件</w:t>
      </w:r>
      <w:bookmarkEnd w:id="189"/>
    </w:p>
    <w:p w:rsidR="008D4B2E" w:rsidRPr="002B59B9" w:rsidRDefault="008D4B2E" w:rsidP="00B818D2">
      <w:pPr>
        <w:pStyle w:val="a3"/>
        <w:spacing w:before="0" w:beforeAutospacing="0" w:after="0" w:afterAutospacing="0"/>
        <w:ind w:firstLine="420"/>
        <w:divId w:val="1540897721"/>
        <w:rPr>
          <w:rFonts w:cs="Times New Roman"/>
          <w:color w:val="000000"/>
          <w:sz w:val="18"/>
          <w:szCs w:val="18"/>
        </w:rPr>
      </w:pPr>
      <w:r w:rsidRPr="002B59B9">
        <w:rPr>
          <w:rFonts w:cs="Times New Roman" w:hint="eastAsia"/>
          <w:color w:val="000000"/>
          <w:sz w:val="18"/>
          <w:szCs w:val="18"/>
        </w:rPr>
        <w:t>固定资产是指为生产商品、提供劳务、出租或经营管理而持有的，使用寿命超过一个会计年度的有形资产。固定资产仅在与其有关的经济利益很可能流入本公司，且其成本能够可靠地计量时才予以确认。固定资产按成本并考虑预计弃置费用因素的影响进行初始计量。</w:t>
      </w:r>
    </w:p>
    <w:p w:rsidR="00BA0365" w:rsidRDefault="008D4B2E" w:rsidP="00B818D2">
      <w:pPr>
        <w:keepNext/>
        <w:keepLines/>
        <w:spacing w:before="300" w:after="300"/>
        <w:outlineLvl w:val="3"/>
        <w:rPr>
          <w:rFonts w:ascii="宋体" w:eastAsia="宋体" w:hAnsi="宋体" w:cs="宋体"/>
          <w:b/>
          <w:bCs/>
          <w:szCs w:val="21"/>
        </w:rPr>
      </w:pPr>
      <w:bookmarkStart w:id="190" w:name="_Toc989078"/>
      <w:r>
        <w:rPr>
          <w:rFonts w:ascii="宋体" w:eastAsia="宋体" w:hAnsi="宋体" w:cs="宋体"/>
          <w:b/>
          <w:bCs/>
          <w:szCs w:val="21"/>
        </w:rPr>
        <w:t>（2） 折旧方法</w:t>
      </w:r>
      <w:bookmarkEnd w:id="190"/>
    </w:p>
    <w:tbl>
      <w:tblPr>
        <w:tblW w:w="9639" w:type="dxa"/>
        <w:tblLayout w:type="fixed"/>
        <w:tblLook w:val="04A0" w:firstRow="1" w:lastRow="0" w:firstColumn="1" w:lastColumn="0" w:noHBand="0" w:noVBand="1"/>
      </w:tblPr>
      <w:tblGrid>
        <w:gridCol w:w="1927"/>
        <w:gridCol w:w="1928"/>
        <w:gridCol w:w="1928"/>
        <w:gridCol w:w="1928"/>
        <w:gridCol w:w="1928"/>
      </w:tblGrid>
      <w:tr w:rsidR="00157EA0" w:rsidTr="007E0ED4">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rsidP="00B818D2">
            <w:pPr>
              <w:spacing w:before="40" w:after="40"/>
              <w:jc w:val="center"/>
              <w:rPr>
                <w:rFonts w:ascii="宋体" w:eastAsia="宋体" w:hAnsi="宋体" w:cs="宋体"/>
                <w:sz w:val="18"/>
                <w:szCs w:val="18"/>
              </w:rPr>
            </w:pPr>
            <w:r>
              <w:rPr>
                <w:rFonts w:ascii="宋体" w:eastAsia="宋体" w:hAnsi="宋体" w:cs="宋体"/>
                <w:sz w:val="18"/>
                <w:szCs w:val="18"/>
              </w:rPr>
              <w:t>类别</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rsidP="00B818D2">
            <w:pPr>
              <w:spacing w:before="40" w:after="40"/>
              <w:jc w:val="center"/>
              <w:rPr>
                <w:rFonts w:ascii="宋体" w:eastAsia="宋体" w:hAnsi="宋体" w:cs="宋体"/>
                <w:sz w:val="18"/>
                <w:szCs w:val="18"/>
              </w:rPr>
            </w:pPr>
            <w:r>
              <w:rPr>
                <w:rFonts w:ascii="宋体" w:eastAsia="宋体" w:hAnsi="宋体" w:cs="宋体"/>
                <w:sz w:val="18"/>
                <w:szCs w:val="18"/>
              </w:rPr>
              <w:t>折旧方法</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rsidP="00B818D2">
            <w:pPr>
              <w:spacing w:before="40" w:after="40"/>
              <w:jc w:val="center"/>
              <w:rPr>
                <w:rFonts w:ascii="宋体" w:eastAsia="宋体" w:hAnsi="宋体" w:cs="宋体"/>
                <w:sz w:val="18"/>
                <w:szCs w:val="18"/>
              </w:rPr>
            </w:pPr>
            <w:r>
              <w:rPr>
                <w:rFonts w:ascii="宋体" w:eastAsia="宋体" w:hAnsi="宋体" w:cs="宋体"/>
                <w:sz w:val="18"/>
                <w:szCs w:val="18"/>
              </w:rPr>
              <w:t>折旧年限</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rsidP="00B818D2">
            <w:pPr>
              <w:spacing w:before="40" w:after="40"/>
              <w:jc w:val="center"/>
              <w:rPr>
                <w:rFonts w:ascii="宋体" w:eastAsia="宋体" w:hAnsi="宋体" w:cs="宋体"/>
                <w:sz w:val="18"/>
                <w:szCs w:val="18"/>
              </w:rPr>
            </w:pPr>
            <w:r>
              <w:rPr>
                <w:rFonts w:ascii="宋体" w:eastAsia="宋体" w:hAnsi="宋体" w:cs="宋体"/>
                <w:sz w:val="18"/>
                <w:szCs w:val="18"/>
              </w:rPr>
              <w:t>残值率</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rsidP="00B818D2">
            <w:pPr>
              <w:spacing w:before="40" w:after="40"/>
              <w:jc w:val="center"/>
              <w:rPr>
                <w:rFonts w:ascii="宋体" w:eastAsia="宋体" w:hAnsi="宋体" w:cs="宋体"/>
                <w:sz w:val="18"/>
                <w:szCs w:val="18"/>
              </w:rPr>
            </w:pPr>
            <w:r>
              <w:rPr>
                <w:rFonts w:ascii="宋体" w:eastAsia="宋体" w:hAnsi="宋体" w:cs="宋体"/>
                <w:sz w:val="18"/>
                <w:szCs w:val="18"/>
              </w:rPr>
              <w:t>年折旧率</w:t>
            </w:r>
          </w:p>
        </w:tc>
      </w:tr>
      <w:tr w:rsidR="00157EA0" w:rsidTr="007E0ED4">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r>
              <w:rPr>
                <w:rFonts w:ascii="宋体" w:eastAsia="宋体" w:hAnsi="宋体" w:cs="宋体"/>
                <w:sz w:val="18"/>
                <w:szCs w:val="18"/>
              </w:rPr>
              <w:t>房屋及建筑物</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r>
              <w:rPr>
                <w:rFonts w:ascii="宋体" w:eastAsia="宋体" w:hAnsi="宋体" w:cs="宋体"/>
                <w:sz w:val="18"/>
                <w:szCs w:val="18"/>
              </w:rPr>
              <w:t>20-40</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r>
              <w:rPr>
                <w:rFonts w:ascii="宋体" w:eastAsia="宋体" w:hAnsi="宋体" w:cs="宋体"/>
                <w:sz w:val="18"/>
                <w:szCs w:val="18"/>
              </w:rPr>
              <w:t>5</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r>
              <w:rPr>
                <w:rFonts w:ascii="宋体" w:eastAsia="宋体" w:hAnsi="宋体" w:cs="宋体"/>
                <w:sz w:val="18"/>
                <w:szCs w:val="18"/>
              </w:rPr>
              <w:t>4.75--2.375</w:t>
            </w:r>
          </w:p>
        </w:tc>
      </w:tr>
      <w:tr w:rsidR="00157EA0" w:rsidTr="007E0ED4">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r>
              <w:rPr>
                <w:rFonts w:ascii="宋体" w:eastAsia="宋体" w:hAnsi="宋体" w:cs="宋体"/>
                <w:sz w:val="18"/>
                <w:szCs w:val="18"/>
              </w:rPr>
              <w:t>机器设备</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r>
              <w:rPr>
                <w:rFonts w:ascii="宋体" w:eastAsia="宋体" w:hAnsi="宋体" w:cs="宋体"/>
                <w:sz w:val="18"/>
                <w:szCs w:val="18"/>
              </w:rPr>
              <w:t>10-25</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r>
              <w:rPr>
                <w:rFonts w:ascii="宋体" w:eastAsia="宋体" w:hAnsi="宋体" w:cs="宋体"/>
                <w:sz w:val="18"/>
                <w:szCs w:val="18"/>
              </w:rPr>
              <w:t>0-5</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r>
              <w:rPr>
                <w:rFonts w:ascii="宋体" w:eastAsia="宋体" w:hAnsi="宋体" w:cs="宋体"/>
                <w:sz w:val="18"/>
                <w:szCs w:val="18"/>
              </w:rPr>
              <w:t>9.50--4.00</w:t>
            </w:r>
          </w:p>
        </w:tc>
      </w:tr>
      <w:tr w:rsidR="00157EA0" w:rsidTr="007E0ED4">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r>
              <w:rPr>
                <w:rFonts w:ascii="宋体" w:eastAsia="宋体" w:hAnsi="宋体" w:cs="宋体"/>
                <w:sz w:val="18"/>
                <w:szCs w:val="18"/>
              </w:rPr>
              <w:t>电子设备</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r>
              <w:rPr>
                <w:rFonts w:ascii="宋体" w:eastAsia="宋体" w:hAnsi="宋体" w:cs="宋体"/>
                <w:sz w:val="18"/>
                <w:szCs w:val="18"/>
              </w:rPr>
              <w:t>6</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r>
              <w:rPr>
                <w:rFonts w:ascii="宋体" w:eastAsia="宋体" w:hAnsi="宋体" w:cs="宋体"/>
                <w:sz w:val="18"/>
                <w:szCs w:val="18"/>
              </w:rPr>
              <w:t>5</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r>
              <w:rPr>
                <w:rFonts w:ascii="宋体" w:eastAsia="宋体" w:hAnsi="宋体" w:cs="宋体"/>
                <w:sz w:val="18"/>
                <w:szCs w:val="18"/>
              </w:rPr>
              <w:t>15.83</w:t>
            </w:r>
          </w:p>
        </w:tc>
      </w:tr>
      <w:tr w:rsidR="00157EA0" w:rsidTr="007E0ED4">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r>
              <w:rPr>
                <w:rFonts w:ascii="宋体" w:eastAsia="宋体" w:hAnsi="宋体" w:cs="宋体"/>
                <w:sz w:val="18"/>
                <w:szCs w:val="18"/>
              </w:rPr>
              <w:t>运输设备</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r>
              <w:rPr>
                <w:rFonts w:ascii="宋体" w:eastAsia="宋体" w:hAnsi="宋体" w:cs="宋体"/>
                <w:sz w:val="18"/>
                <w:szCs w:val="18"/>
              </w:rPr>
              <w:t>6</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r>
              <w:rPr>
                <w:rFonts w:ascii="宋体" w:eastAsia="宋体" w:hAnsi="宋体" w:cs="宋体"/>
                <w:sz w:val="18"/>
                <w:szCs w:val="18"/>
              </w:rPr>
              <w:t>5</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r>
              <w:rPr>
                <w:rFonts w:ascii="宋体" w:eastAsia="宋体" w:hAnsi="宋体" w:cs="宋体"/>
                <w:sz w:val="18"/>
                <w:szCs w:val="18"/>
              </w:rPr>
              <w:t>15.83</w:t>
            </w:r>
          </w:p>
        </w:tc>
      </w:tr>
      <w:tr w:rsidR="00157EA0" w:rsidTr="007E0ED4">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r>
              <w:rPr>
                <w:rFonts w:ascii="宋体" w:eastAsia="宋体" w:hAnsi="宋体" w:cs="宋体"/>
                <w:sz w:val="18"/>
                <w:szCs w:val="18"/>
              </w:rPr>
              <w:t>办公设备</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r>
              <w:rPr>
                <w:rFonts w:ascii="宋体" w:eastAsia="宋体" w:hAnsi="宋体" w:cs="宋体"/>
                <w:sz w:val="18"/>
                <w:szCs w:val="18"/>
              </w:rPr>
              <w:t>6</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r>
              <w:rPr>
                <w:rFonts w:ascii="宋体" w:eastAsia="宋体" w:hAnsi="宋体" w:cs="宋体"/>
                <w:sz w:val="18"/>
                <w:szCs w:val="18"/>
              </w:rPr>
              <w:t>5</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r>
              <w:rPr>
                <w:rFonts w:ascii="宋体" w:eastAsia="宋体" w:hAnsi="宋体" w:cs="宋体"/>
                <w:sz w:val="18"/>
                <w:szCs w:val="18"/>
              </w:rPr>
              <w:t>15.83</w:t>
            </w:r>
          </w:p>
        </w:tc>
      </w:tr>
      <w:tr w:rsidR="00157EA0" w:rsidTr="007E0ED4">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r>
              <w:rPr>
                <w:rFonts w:ascii="宋体" w:eastAsia="宋体" w:hAnsi="宋体" w:cs="宋体"/>
                <w:sz w:val="18"/>
                <w:szCs w:val="18"/>
              </w:rPr>
              <w:t>其他</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r>
              <w:rPr>
                <w:rFonts w:ascii="宋体" w:eastAsia="宋体" w:hAnsi="宋体" w:cs="宋体"/>
                <w:sz w:val="18"/>
                <w:szCs w:val="18"/>
              </w:rPr>
              <w:t>6</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r>
              <w:rPr>
                <w:rFonts w:ascii="宋体" w:eastAsia="宋体" w:hAnsi="宋体" w:cs="宋体"/>
                <w:sz w:val="18"/>
                <w:szCs w:val="18"/>
              </w:rPr>
              <w:t>5</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r>
              <w:rPr>
                <w:rFonts w:ascii="宋体" w:eastAsia="宋体" w:hAnsi="宋体" w:cs="宋体"/>
                <w:sz w:val="18"/>
                <w:szCs w:val="18"/>
              </w:rPr>
              <w:t>15.83</w:t>
            </w:r>
          </w:p>
        </w:tc>
      </w:tr>
    </w:tbl>
    <w:p w:rsidR="008D4B2E" w:rsidRPr="002B59B9" w:rsidRDefault="008D4B2E" w:rsidP="00B818D2">
      <w:pPr>
        <w:widowControl/>
        <w:divId w:val="790633739"/>
        <w:rPr>
          <w:rFonts w:ascii="宋体" w:hAnsi="宋体" w:cs="Times New Roman"/>
          <w:color w:val="000000"/>
          <w:sz w:val="18"/>
          <w:szCs w:val="18"/>
        </w:rPr>
      </w:pPr>
      <w:r>
        <w:rPr>
          <w:rFonts w:hint="eastAsia"/>
          <w:color w:val="000000"/>
          <w:sz w:val="18"/>
          <w:szCs w:val="18"/>
        </w:rPr>
        <w:t> </w:t>
      </w:r>
      <w:r>
        <w:rPr>
          <w:rFonts w:hint="eastAsia"/>
          <w:sz w:val="18"/>
          <w:szCs w:val="18"/>
        </w:rPr>
        <w:t xml:space="preserve"> </w:t>
      </w:r>
      <w:r w:rsidRPr="002B59B9">
        <w:rPr>
          <w:rFonts w:cs="Times New Roman" w:hint="eastAsia"/>
          <w:color w:val="000000"/>
          <w:sz w:val="18"/>
          <w:szCs w:val="18"/>
        </w:rPr>
        <w:t>预计净残值是指假定固定资产预计使用寿命已满并处于使用寿命终了时的预期状态，本公司目前从该项资产处置中获得的扣除预计处置费用后的金额。</w:t>
      </w:r>
    </w:p>
    <w:p w:rsidR="00BA0365" w:rsidRPr="002B59B9" w:rsidRDefault="008D4B2E" w:rsidP="00B818D2">
      <w:pPr>
        <w:pStyle w:val="a3"/>
        <w:spacing w:before="0" w:beforeAutospacing="0" w:after="0" w:afterAutospacing="0"/>
        <w:rPr>
          <w:rFonts w:cs="Times New Roman"/>
          <w:color w:val="000000"/>
          <w:sz w:val="18"/>
          <w:szCs w:val="18"/>
        </w:rPr>
      </w:pPr>
      <w:r w:rsidRPr="002B59B9">
        <w:rPr>
          <w:rFonts w:cs="Times New Roman"/>
          <w:color w:val="000000"/>
          <w:sz w:val="18"/>
          <w:szCs w:val="18"/>
        </w:rPr>
        <w:t>公司需遵守《深圳证券交易所上市公司自律监管指引第3号——行业信息披露》中化工行业的披露要求</w:t>
      </w:r>
    </w:p>
    <w:p w:rsidR="008D4B2E" w:rsidRPr="002B59B9" w:rsidRDefault="008D4B2E" w:rsidP="00B818D2">
      <w:pPr>
        <w:pStyle w:val="a3"/>
        <w:spacing w:before="0" w:beforeAutospacing="0" w:after="0" w:afterAutospacing="0"/>
        <w:divId w:val="1187984326"/>
        <w:rPr>
          <w:rFonts w:cs="Times New Roman"/>
          <w:color w:val="000000"/>
          <w:sz w:val="18"/>
          <w:szCs w:val="18"/>
        </w:rPr>
      </w:pPr>
      <w:r w:rsidRPr="002B59B9">
        <w:rPr>
          <w:rFonts w:cs="Times New Roman" w:hint="eastAsia"/>
          <w:color w:val="000000"/>
          <w:sz w:val="18"/>
          <w:szCs w:val="18"/>
        </w:rPr>
        <w:t>无</w:t>
      </w:r>
    </w:p>
    <w:p w:rsidR="00BA0365" w:rsidRDefault="008D4B2E" w:rsidP="00B818D2">
      <w:pPr>
        <w:keepNext/>
        <w:keepLines/>
        <w:spacing w:before="300" w:after="300"/>
        <w:outlineLvl w:val="3"/>
        <w:rPr>
          <w:rFonts w:ascii="宋体" w:eastAsia="宋体" w:hAnsi="宋体" w:cs="宋体"/>
          <w:b/>
          <w:bCs/>
          <w:szCs w:val="21"/>
        </w:rPr>
      </w:pPr>
      <w:bookmarkStart w:id="191" w:name="_Toc989079"/>
      <w:r>
        <w:rPr>
          <w:rFonts w:ascii="宋体" w:eastAsia="宋体" w:hAnsi="宋体" w:cs="宋体"/>
          <w:b/>
          <w:bCs/>
          <w:szCs w:val="21"/>
        </w:rPr>
        <w:t>（3） 固定资产的减值测试方法及减值准备计提方法</w:t>
      </w:r>
      <w:bookmarkEnd w:id="191"/>
    </w:p>
    <w:p w:rsidR="008D4B2E" w:rsidRPr="002B59B9" w:rsidRDefault="008D4B2E" w:rsidP="00B818D2">
      <w:pPr>
        <w:pStyle w:val="a3"/>
        <w:spacing w:before="0" w:beforeAutospacing="0" w:after="0" w:afterAutospacing="0"/>
        <w:ind w:firstLine="400"/>
        <w:divId w:val="1010595849"/>
        <w:rPr>
          <w:rFonts w:cs="Times New Roman"/>
          <w:sz w:val="18"/>
          <w:szCs w:val="18"/>
        </w:rPr>
      </w:pPr>
      <w:r w:rsidRPr="002B59B9">
        <w:rPr>
          <w:rFonts w:cs="Times New Roman" w:hint="eastAsia"/>
          <w:sz w:val="18"/>
          <w:szCs w:val="18"/>
        </w:rPr>
        <w:t>固定资产的减值测试方法和减值准备计提方法详见附注</w:t>
      </w:r>
      <w:r w:rsidRPr="002B59B9">
        <w:rPr>
          <w:rFonts w:cs="Times New Roman"/>
          <w:sz w:val="18"/>
          <w:szCs w:val="18"/>
        </w:rPr>
        <w:t>“</w:t>
      </w:r>
      <w:r w:rsidRPr="002B59B9">
        <w:rPr>
          <w:rFonts w:cs="Times New Roman" w:hint="eastAsia"/>
          <w:sz w:val="18"/>
          <w:szCs w:val="18"/>
        </w:rPr>
        <w:t>长期资产减值</w:t>
      </w:r>
      <w:r w:rsidRPr="002B59B9">
        <w:rPr>
          <w:rFonts w:cs="Times New Roman"/>
          <w:sz w:val="18"/>
          <w:szCs w:val="18"/>
        </w:rPr>
        <w:t>”</w:t>
      </w:r>
      <w:r w:rsidRPr="002B59B9">
        <w:rPr>
          <w:rFonts w:cs="Times New Roman" w:hint="eastAsia"/>
          <w:sz w:val="18"/>
          <w:szCs w:val="18"/>
        </w:rPr>
        <w:t>。</w:t>
      </w:r>
    </w:p>
    <w:p w:rsidR="00BA0365" w:rsidRDefault="008D4B2E" w:rsidP="00B818D2">
      <w:pPr>
        <w:keepNext/>
        <w:keepLines/>
        <w:spacing w:before="300" w:after="300"/>
        <w:outlineLvl w:val="3"/>
        <w:rPr>
          <w:rFonts w:ascii="宋体" w:eastAsia="宋体" w:hAnsi="宋体" w:cs="宋体"/>
          <w:b/>
          <w:bCs/>
          <w:szCs w:val="21"/>
        </w:rPr>
      </w:pPr>
      <w:bookmarkStart w:id="192" w:name="_Toc989080"/>
      <w:r>
        <w:rPr>
          <w:rFonts w:ascii="宋体" w:eastAsia="宋体" w:hAnsi="宋体" w:cs="宋体"/>
          <w:b/>
          <w:bCs/>
          <w:szCs w:val="21"/>
        </w:rPr>
        <w:t>（4） 融资租入固定资产的认定依据及计价方法</w:t>
      </w:r>
      <w:bookmarkEnd w:id="192"/>
    </w:p>
    <w:p w:rsidR="008D4B2E" w:rsidRPr="002B59B9" w:rsidRDefault="008D4B2E" w:rsidP="00B818D2">
      <w:pPr>
        <w:pStyle w:val="a3"/>
        <w:spacing w:before="0" w:beforeAutospacing="0" w:after="0" w:afterAutospacing="0"/>
        <w:ind w:firstLine="400"/>
        <w:divId w:val="574389732"/>
        <w:rPr>
          <w:rFonts w:cs="Times New Roman"/>
          <w:sz w:val="18"/>
          <w:szCs w:val="18"/>
        </w:rPr>
      </w:pPr>
      <w:r w:rsidRPr="002B59B9">
        <w:rPr>
          <w:rFonts w:cs="Times New Roman" w:hint="eastAsia"/>
          <w:sz w:val="18"/>
          <w:szCs w:val="18"/>
        </w:rPr>
        <w:t>融资租赁为实质上转移了与资产所有权有关的全部风险和报酬的租赁，其所有权最终可能转移，也可能不转移。以融资租赁方式租入的固定资产采用与自有固定资产一致的政策计提租赁资产折旧。能够合理确定租赁期届满时取得租赁资产所有权的，在租赁资产使用寿命内计提折旧；无法合理确定租赁期届满能够取得租赁资产所有权的，在租赁期与租赁资产使用寿命两者中较短的期间内计提折旧。</w:t>
      </w:r>
    </w:p>
    <w:p w:rsidR="00BA0365" w:rsidRDefault="008D4B2E" w:rsidP="00B818D2">
      <w:pPr>
        <w:keepNext/>
        <w:keepLines/>
        <w:spacing w:before="300" w:after="300"/>
        <w:outlineLvl w:val="3"/>
        <w:rPr>
          <w:rFonts w:ascii="宋体" w:eastAsia="宋体" w:hAnsi="宋体" w:cs="宋体"/>
          <w:b/>
          <w:bCs/>
          <w:szCs w:val="21"/>
        </w:rPr>
      </w:pPr>
      <w:bookmarkStart w:id="193" w:name="_Toc989081"/>
      <w:r>
        <w:rPr>
          <w:rFonts w:ascii="宋体" w:eastAsia="宋体" w:hAnsi="宋体" w:cs="宋体"/>
          <w:b/>
          <w:bCs/>
          <w:szCs w:val="21"/>
        </w:rPr>
        <w:t>（5） 其他说明</w:t>
      </w:r>
      <w:bookmarkEnd w:id="193"/>
    </w:p>
    <w:p w:rsidR="008D4B2E" w:rsidRPr="002B59B9" w:rsidRDefault="008D4B2E" w:rsidP="00B818D2">
      <w:pPr>
        <w:pStyle w:val="a3"/>
        <w:spacing w:before="0" w:beforeAutospacing="0" w:after="0" w:afterAutospacing="0"/>
        <w:ind w:firstLine="400"/>
        <w:divId w:val="1209486344"/>
        <w:rPr>
          <w:rFonts w:cs="Times New Roman"/>
          <w:sz w:val="18"/>
          <w:szCs w:val="18"/>
        </w:rPr>
      </w:pPr>
      <w:r w:rsidRPr="002B59B9">
        <w:rPr>
          <w:rFonts w:cs="Times New Roman" w:hint="eastAsia"/>
          <w:sz w:val="18"/>
          <w:szCs w:val="18"/>
        </w:rPr>
        <w:t>与固定资产有关的后续支出，如果与该固定资产有关的经济利益很可能流入且其成本能可靠地计量，则计入固定资产成本，并终止确认被替换部分的账面价值。除此以外的其他后续支出，在发生时计入当期损益。</w:t>
      </w:r>
    </w:p>
    <w:p w:rsidR="008D4B2E" w:rsidRPr="002B59B9" w:rsidRDefault="008D4B2E" w:rsidP="00B818D2">
      <w:pPr>
        <w:pStyle w:val="a3"/>
        <w:spacing w:before="0" w:beforeAutospacing="0" w:after="0" w:afterAutospacing="0"/>
        <w:ind w:firstLine="400"/>
        <w:divId w:val="1209486344"/>
        <w:rPr>
          <w:rFonts w:cs="Times New Roman"/>
          <w:sz w:val="18"/>
          <w:szCs w:val="18"/>
        </w:rPr>
      </w:pPr>
      <w:r w:rsidRPr="002B59B9">
        <w:rPr>
          <w:rFonts w:cs="Times New Roman" w:hint="eastAsia"/>
          <w:sz w:val="18"/>
          <w:szCs w:val="18"/>
        </w:rPr>
        <w:t>当固定资产处于处置状态或预期通过使用或处置不能产生经济利益时，终止确认该固定资产。固定资产出售、转让、报废或毁损的处置收入扣除其账面价值和相关税费后的差额计入当期损益。</w:t>
      </w:r>
    </w:p>
    <w:p w:rsidR="008D4B2E" w:rsidRPr="002B59B9" w:rsidRDefault="008D4B2E" w:rsidP="00B818D2">
      <w:pPr>
        <w:pStyle w:val="a3"/>
        <w:spacing w:before="0" w:beforeAutospacing="0" w:after="0" w:afterAutospacing="0"/>
        <w:ind w:firstLine="400"/>
        <w:divId w:val="1209486344"/>
        <w:rPr>
          <w:rFonts w:cs="Times New Roman"/>
          <w:sz w:val="18"/>
          <w:szCs w:val="18"/>
        </w:rPr>
      </w:pPr>
      <w:r w:rsidRPr="002B59B9">
        <w:rPr>
          <w:rFonts w:cs="Times New Roman" w:hint="eastAsia"/>
          <w:sz w:val="18"/>
          <w:szCs w:val="18"/>
        </w:rPr>
        <w:t>本公司至少于年度终了对固定资产的使用寿命、预计净残值和折旧方法进行复核，如发生改变则作为会计估计变更处理。</w:t>
      </w:r>
    </w:p>
    <w:p w:rsidR="00BA0365" w:rsidRDefault="008D4B2E" w:rsidP="00B818D2">
      <w:pPr>
        <w:pStyle w:val="3"/>
        <w:spacing w:line="240" w:lineRule="auto"/>
        <w:jc w:val="left"/>
        <w:rPr>
          <w:rFonts w:ascii="宋体" w:hAnsi="宋体" w:cs="宋体"/>
          <w:b/>
          <w:bCs/>
        </w:rPr>
      </w:pPr>
      <w:bookmarkStart w:id="194" w:name="_Toc989082"/>
      <w:r>
        <w:rPr>
          <w:rFonts w:ascii="宋体" w:hAnsi="宋体" w:cs="宋体"/>
          <w:b/>
          <w:bCs/>
        </w:rPr>
        <w:t>24、在建工程</w:t>
      </w:r>
      <w:bookmarkEnd w:id="194"/>
    </w:p>
    <w:p w:rsidR="00BA0365" w:rsidRPr="002B59B9" w:rsidRDefault="008D4B2E" w:rsidP="00B818D2">
      <w:pPr>
        <w:spacing w:before="100" w:after="100"/>
        <w:rPr>
          <w:rFonts w:ascii="宋体" w:eastAsia="宋体" w:hAnsi="宋体" w:cs="Times New Roman"/>
          <w:kern w:val="0"/>
          <w:sz w:val="18"/>
          <w:szCs w:val="18"/>
        </w:rPr>
      </w:pPr>
      <w:r w:rsidRPr="002B59B9">
        <w:rPr>
          <w:rFonts w:ascii="宋体" w:eastAsia="宋体" w:hAnsi="宋体" w:cs="Times New Roman"/>
          <w:kern w:val="0"/>
          <w:sz w:val="18"/>
          <w:szCs w:val="18"/>
        </w:rPr>
        <w:t>公司需遵守《深圳证券交易所上市公司自律监管指引第3号——行业信息披露》中化工行业的披露要求</w:t>
      </w:r>
    </w:p>
    <w:p w:rsidR="008D4B2E" w:rsidRPr="002B59B9" w:rsidRDefault="008D4B2E" w:rsidP="00B818D2">
      <w:pPr>
        <w:pStyle w:val="a3"/>
        <w:spacing w:before="0" w:beforeAutospacing="0" w:after="0" w:afterAutospacing="0"/>
        <w:ind w:firstLine="400"/>
        <w:divId w:val="1872066479"/>
        <w:rPr>
          <w:rFonts w:cs="Times New Roman"/>
          <w:sz w:val="18"/>
          <w:szCs w:val="18"/>
        </w:rPr>
      </w:pPr>
      <w:r w:rsidRPr="002B59B9">
        <w:rPr>
          <w:rFonts w:cs="Times New Roman" w:hint="eastAsia"/>
          <w:sz w:val="18"/>
          <w:szCs w:val="18"/>
        </w:rPr>
        <w:lastRenderedPageBreak/>
        <w:t>在建工程成本按实际工程支出确定，包括在建期间发生的各项工程支出以及其他相关费用等。在建工程在达到预定可使用状态后结转为固定资产。</w:t>
      </w:r>
    </w:p>
    <w:p w:rsidR="008D4B2E" w:rsidRPr="002B59B9" w:rsidRDefault="008D4B2E" w:rsidP="00B818D2">
      <w:pPr>
        <w:pStyle w:val="a3"/>
        <w:spacing w:before="0" w:beforeAutospacing="0" w:after="0" w:afterAutospacing="0"/>
        <w:divId w:val="1872066479"/>
        <w:rPr>
          <w:rFonts w:cs="Times New Roman"/>
          <w:sz w:val="18"/>
          <w:szCs w:val="18"/>
        </w:rPr>
      </w:pPr>
      <w:r w:rsidRPr="002B59B9">
        <w:rPr>
          <w:rFonts w:cs="Times New Roman" w:hint="eastAsia"/>
          <w:sz w:val="18"/>
          <w:szCs w:val="18"/>
        </w:rPr>
        <w:t>   在建工程的减值测试方法和减值准备计提方法详见附注四、</w:t>
      </w:r>
      <w:r w:rsidRPr="002B59B9">
        <w:rPr>
          <w:rFonts w:cs="Times New Roman"/>
          <w:sz w:val="18"/>
          <w:szCs w:val="18"/>
        </w:rPr>
        <w:t>“</w:t>
      </w:r>
      <w:r w:rsidRPr="002B59B9">
        <w:rPr>
          <w:rFonts w:cs="Times New Roman" w:hint="eastAsia"/>
          <w:sz w:val="18"/>
          <w:szCs w:val="18"/>
        </w:rPr>
        <w:t>长期资产减值</w:t>
      </w:r>
      <w:r w:rsidRPr="002B59B9">
        <w:rPr>
          <w:rFonts w:cs="Times New Roman"/>
          <w:sz w:val="18"/>
          <w:szCs w:val="18"/>
        </w:rPr>
        <w:t>”</w:t>
      </w:r>
      <w:r w:rsidRPr="002B59B9">
        <w:rPr>
          <w:rFonts w:cs="Times New Roman" w:hint="eastAsia"/>
          <w:sz w:val="18"/>
          <w:szCs w:val="18"/>
        </w:rPr>
        <w:t>。</w:t>
      </w:r>
    </w:p>
    <w:p w:rsidR="00BA0365" w:rsidRDefault="008D4B2E" w:rsidP="00B818D2">
      <w:pPr>
        <w:pStyle w:val="3"/>
        <w:spacing w:line="240" w:lineRule="auto"/>
        <w:jc w:val="left"/>
        <w:rPr>
          <w:rFonts w:ascii="宋体" w:hAnsi="宋体" w:cs="宋体"/>
          <w:b/>
          <w:bCs/>
        </w:rPr>
      </w:pPr>
      <w:bookmarkStart w:id="195" w:name="_Toc989083"/>
      <w:r>
        <w:rPr>
          <w:rFonts w:ascii="宋体" w:hAnsi="宋体" w:cs="宋体"/>
          <w:b/>
          <w:bCs/>
        </w:rPr>
        <w:t>25、借款费用</w:t>
      </w:r>
      <w:bookmarkEnd w:id="195"/>
    </w:p>
    <w:p w:rsidR="008D4B2E" w:rsidRPr="002B59B9" w:rsidRDefault="008D4B2E" w:rsidP="00B818D2">
      <w:pPr>
        <w:pStyle w:val="a3"/>
        <w:spacing w:before="0" w:beforeAutospacing="0" w:after="0" w:afterAutospacing="0"/>
        <w:ind w:firstLine="400"/>
        <w:divId w:val="517890381"/>
        <w:rPr>
          <w:rFonts w:cs="Times New Roman"/>
          <w:sz w:val="18"/>
          <w:szCs w:val="18"/>
        </w:rPr>
      </w:pPr>
      <w:r w:rsidRPr="002B59B9">
        <w:rPr>
          <w:rFonts w:cs="Times New Roman" w:hint="eastAsia"/>
          <w:sz w:val="18"/>
          <w:szCs w:val="18"/>
        </w:rPr>
        <w:t>借款费用包括借款利息、折价或溢价的摊销、辅助费用以及因外币借款而发生的汇兑差额等。可直接归属于符合资本化条件的资产的购建或者生产的借款费用，在资产支出已经发生、借款费用已经发生、为使资产达到预定可使用或可销售状态所必要的购建或生产活动已经开始时，开始资本化；构建或者生产的符合资本化条件的资产达到预定可使用状态或者可销售状态时，停止资本化。其余借款费用在发生当期确认为费用。</w:t>
      </w:r>
    </w:p>
    <w:p w:rsidR="008D4B2E" w:rsidRPr="002B59B9" w:rsidRDefault="008D4B2E" w:rsidP="00B818D2">
      <w:pPr>
        <w:pStyle w:val="a3"/>
        <w:spacing w:before="0" w:beforeAutospacing="0" w:after="0" w:afterAutospacing="0"/>
        <w:ind w:firstLine="400"/>
        <w:divId w:val="517890381"/>
        <w:rPr>
          <w:rFonts w:cs="Times New Roman"/>
          <w:sz w:val="18"/>
          <w:szCs w:val="18"/>
        </w:rPr>
      </w:pPr>
      <w:r w:rsidRPr="002B59B9">
        <w:rPr>
          <w:rFonts w:cs="Times New Roman" w:hint="eastAsia"/>
          <w:sz w:val="18"/>
          <w:szCs w:val="18"/>
        </w:rPr>
        <w:t>专门借款当期实际发生的利息费用，减去尚未动用的借款资金存入银行取得的利息收入或进行暂时性投资取得的投资收益后的金额予以资本化；一般借款根据累计资产支出超过专门借款部分的资产支出加权平均数乘以所占用一般借款的资本化率，确定资本化金额。资本化率根据一般借款的加权平均利率计算确定。</w:t>
      </w:r>
    </w:p>
    <w:p w:rsidR="008D4B2E" w:rsidRPr="002B59B9" w:rsidRDefault="008D4B2E" w:rsidP="00B818D2">
      <w:pPr>
        <w:pStyle w:val="a3"/>
        <w:spacing w:before="0" w:beforeAutospacing="0" w:after="0" w:afterAutospacing="0"/>
        <w:ind w:firstLine="400"/>
        <w:divId w:val="517890381"/>
        <w:rPr>
          <w:rFonts w:cs="Times New Roman"/>
          <w:sz w:val="18"/>
          <w:szCs w:val="18"/>
        </w:rPr>
      </w:pPr>
      <w:r w:rsidRPr="002B59B9">
        <w:rPr>
          <w:rFonts w:cs="Times New Roman" w:hint="eastAsia"/>
          <w:sz w:val="18"/>
          <w:szCs w:val="18"/>
        </w:rPr>
        <w:t>资本</w:t>
      </w:r>
      <w:proofErr w:type="gramStart"/>
      <w:r w:rsidRPr="002B59B9">
        <w:rPr>
          <w:rFonts w:cs="Times New Roman" w:hint="eastAsia"/>
          <w:sz w:val="18"/>
          <w:szCs w:val="18"/>
        </w:rPr>
        <w:t>化期间</w:t>
      </w:r>
      <w:proofErr w:type="gramEnd"/>
      <w:r w:rsidRPr="002B59B9">
        <w:rPr>
          <w:rFonts w:cs="Times New Roman" w:hint="eastAsia"/>
          <w:sz w:val="18"/>
          <w:szCs w:val="18"/>
        </w:rPr>
        <w:t>内，外币专门借款的汇兑差额全部予以资本化；外币一般借款的汇兑差额计入当期损益。</w:t>
      </w:r>
    </w:p>
    <w:p w:rsidR="008D4B2E" w:rsidRPr="002B59B9" w:rsidRDefault="008D4B2E" w:rsidP="00B818D2">
      <w:pPr>
        <w:pStyle w:val="a3"/>
        <w:spacing w:before="0" w:beforeAutospacing="0" w:after="0" w:afterAutospacing="0"/>
        <w:ind w:firstLine="400"/>
        <w:divId w:val="517890381"/>
        <w:rPr>
          <w:rFonts w:cs="Times New Roman"/>
          <w:sz w:val="18"/>
          <w:szCs w:val="18"/>
        </w:rPr>
      </w:pPr>
      <w:r w:rsidRPr="002B59B9">
        <w:rPr>
          <w:rFonts w:cs="Times New Roman" w:hint="eastAsia"/>
          <w:sz w:val="18"/>
          <w:szCs w:val="18"/>
        </w:rPr>
        <w:t>符合资本化条件的资产指需要经过相当长时间的购建或者生产活动才能达到预定可使用或可销售状态的固定资产、投资性房地产和存货等资产。</w:t>
      </w:r>
    </w:p>
    <w:p w:rsidR="008D4B2E" w:rsidRPr="002B59B9" w:rsidRDefault="008D4B2E" w:rsidP="00B818D2">
      <w:pPr>
        <w:pStyle w:val="a3"/>
        <w:spacing w:before="0" w:beforeAutospacing="0" w:after="0" w:afterAutospacing="0"/>
        <w:ind w:firstLine="400"/>
        <w:jc w:val="both"/>
        <w:divId w:val="517890381"/>
        <w:rPr>
          <w:rFonts w:cs="Times New Roman"/>
          <w:sz w:val="18"/>
          <w:szCs w:val="18"/>
        </w:rPr>
      </w:pPr>
      <w:r w:rsidRPr="002B59B9">
        <w:rPr>
          <w:rFonts w:cs="Times New Roman" w:hint="eastAsia"/>
          <w:sz w:val="18"/>
          <w:szCs w:val="18"/>
        </w:rPr>
        <w:t>如果符合资本化条件的资产在购建或生产过程中发生非正常中断、并且中断时间连续超过</w:t>
      </w:r>
      <w:r w:rsidRPr="002B59B9">
        <w:rPr>
          <w:rFonts w:cs="Times New Roman"/>
          <w:sz w:val="18"/>
          <w:szCs w:val="18"/>
        </w:rPr>
        <w:t>3</w:t>
      </w:r>
      <w:r w:rsidRPr="002B59B9">
        <w:rPr>
          <w:rFonts w:cs="Times New Roman" w:hint="eastAsia"/>
          <w:sz w:val="18"/>
          <w:szCs w:val="18"/>
        </w:rPr>
        <w:t>个月的，暂停借款费用的资本化，直至资产的购建或生产活动重新开始。</w:t>
      </w:r>
    </w:p>
    <w:p w:rsidR="00BA0365" w:rsidRDefault="008D4B2E" w:rsidP="00B818D2">
      <w:pPr>
        <w:pStyle w:val="3"/>
        <w:spacing w:line="240" w:lineRule="auto"/>
        <w:jc w:val="left"/>
        <w:rPr>
          <w:rFonts w:ascii="宋体" w:hAnsi="宋体" w:cs="宋体"/>
          <w:b/>
          <w:bCs/>
        </w:rPr>
      </w:pPr>
      <w:bookmarkStart w:id="196" w:name="_Toc989084"/>
      <w:r>
        <w:rPr>
          <w:rFonts w:ascii="宋体" w:hAnsi="宋体" w:cs="宋体"/>
          <w:b/>
          <w:bCs/>
        </w:rPr>
        <w:t>26、无形资产</w:t>
      </w:r>
      <w:bookmarkEnd w:id="196"/>
    </w:p>
    <w:p w:rsidR="00BA0365" w:rsidRDefault="008D4B2E" w:rsidP="00B818D2">
      <w:pPr>
        <w:keepNext/>
        <w:keepLines/>
        <w:spacing w:before="300" w:after="300"/>
        <w:outlineLvl w:val="3"/>
        <w:rPr>
          <w:rFonts w:ascii="宋体" w:eastAsia="宋体" w:hAnsi="宋体" w:cs="宋体"/>
          <w:b/>
          <w:bCs/>
          <w:szCs w:val="21"/>
        </w:rPr>
      </w:pPr>
      <w:bookmarkStart w:id="197" w:name="_Toc989085"/>
      <w:r>
        <w:rPr>
          <w:rFonts w:ascii="宋体" w:eastAsia="宋体" w:hAnsi="宋体" w:cs="宋体"/>
          <w:b/>
          <w:bCs/>
          <w:szCs w:val="21"/>
        </w:rPr>
        <w:t>（1） 使用寿命及其确定依据、估计情况、摊销方法或复核程序</w:t>
      </w:r>
      <w:bookmarkEnd w:id="197"/>
    </w:p>
    <w:p w:rsidR="008D4B2E" w:rsidRPr="002B59B9" w:rsidRDefault="008D4B2E" w:rsidP="00B818D2">
      <w:pPr>
        <w:pStyle w:val="a3"/>
        <w:spacing w:before="0" w:beforeAutospacing="0" w:after="0" w:afterAutospacing="0"/>
        <w:ind w:firstLine="400"/>
        <w:divId w:val="1596476145"/>
        <w:rPr>
          <w:rFonts w:cs="Times New Roman"/>
          <w:sz w:val="18"/>
          <w:szCs w:val="18"/>
        </w:rPr>
      </w:pPr>
      <w:r w:rsidRPr="002B59B9">
        <w:rPr>
          <w:rFonts w:cs="Times New Roman" w:hint="eastAsia"/>
          <w:sz w:val="18"/>
          <w:szCs w:val="18"/>
        </w:rPr>
        <w:t>无形资产是指本公司拥有或者控制的没有实物形态的可</w:t>
      </w:r>
      <w:proofErr w:type="gramStart"/>
      <w:r w:rsidRPr="002B59B9">
        <w:rPr>
          <w:rFonts w:cs="Times New Roman" w:hint="eastAsia"/>
          <w:sz w:val="18"/>
          <w:szCs w:val="18"/>
        </w:rPr>
        <w:t>辨认非</w:t>
      </w:r>
      <w:proofErr w:type="gramEnd"/>
      <w:r w:rsidRPr="002B59B9">
        <w:rPr>
          <w:rFonts w:cs="Times New Roman" w:hint="eastAsia"/>
          <w:sz w:val="18"/>
          <w:szCs w:val="18"/>
        </w:rPr>
        <w:t>货币性资产。</w:t>
      </w:r>
    </w:p>
    <w:p w:rsidR="008D4B2E" w:rsidRPr="002B59B9" w:rsidRDefault="008D4B2E" w:rsidP="00B818D2">
      <w:pPr>
        <w:pStyle w:val="a3"/>
        <w:spacing w:before="0" w:beforeAutospacing="0" w:after="0" w:afterAutospacing="0"/>
        <w:ind w:firstLine="400"/>
        <w:divId w:val="1596476145"/>
        <w:rPr>
          <w:rFonts w:cs="Times New Roman"/>
          <w:sz w:val="18"/>
          <w:szCs w:val="18"/>
        </w:rPr>
      </w:pPr>
      <w:r w:rsidRPr="002B59B9">
        <w:rPr>
          <w:rFonts w:cs="Times New Roman" w:hint="eastAsia"/>
          <w:sz w:val="18"/>
          <w:szCs w:val="18"/>
        </w:rPr>
        <w:t>无形资产按成本进行初始计量。与无形资产有关的支出，如果相关的经济利益很可能流入本公司且其成本能可靠地计量，则计入无形资产成本。除此以外的其他项目的支出，在发生时计入当期损益。</w:t>
      </w:r>
    </w:p>
    <w:p w:rsidR="008D4B2E" w:rsidRPr="002B59B9" w:rsidRDefault="008D4B2E" w:rsidP="00B818D2">
      <w:pPr>
        <w:pStyle w:val="a3"/>
        <w:spacing w:before="0" w:beforeAutospacing="0" w:after="0" w:afterAutospacing="0"/>
        <w:ind w:firstLine="400"/>
        <w:divId w:val="1596476145"/>
        <w:rPr>
          <w:rFonts w:cs="Times New Roman"/>
          <w:sz w:val="18"/>
          <w:szCs w:val="18"/>
        </w:rPr>
      </w:pPr>
      <w:r w:rsidRPr="002B59B9">
        <w:rPr>
          <w:rFonts w:cs="Times New Roman" w:hint="eastAsia"/>
          <w:sz w:val="18"/>
          <w:szCs w:val="18"/>
        </w:rPr>
        <w:t>取得的土地使用权通常作为无形资产核算。自行开发建造厂房等建筑物，相关的土地使用权支出和建筑物建造成本则分别作为无形资产和固定资产核算。如为外购的房屋及建筑物，则将有关价款在土地使用权和建筑物之间进行分配，难以合理分配的，全部作为固定资产处理。</w:t>
      </w:r>
    </w:p>
    <w:p w:rsidR="008D4B2E" w:rsidRPr="002B59B9" w:rsidRDefault="008D4B2E" w:rsidP="00B818D2">
      <w:pPr>
        <w:pStyle w:val="a3"/>
        <w:spacing w:before="0" w:beforeAutospacing="0" w:after="0" w:afterAutospacing="0"/>
        <w:ind w:firstLine="400"/>
        <w:divId w:val="1596476145"/>
        <w:rPr>
          <w:rFonts w:cs="Times New Roman"/>
          <w:sz w:val="18"/>
          <w:szCs w:val="18"/>
        </w:rPr>
      </w:pPr>
      <w:r w:rsidRPr="002B59B9">
        <w:rPr>
          <w:rFonts w:cs="Times New Roman" w:hint="eastAsia"/>
          <w:sz w:val="18"/>
          <w:szCs w:val="18"/>
        </w:rPr>
        <w:t>使用寿命有限的无形资产自可供使用时起，对其原值减去预计净残值和已计提的减值准备累计金额在其预计使用寿命内采用直线法分期平均摊销。使用寿命不确定的无形资产不予摊销。</w:t>
      </w:r>
    </w:p>
    <w:tbl>
      <w:tblPr>
        <w:tblW w:w="5074" w:type="pct"/>
        <w:jc w:val="center"/>
        <w:tblCellMar>
          <w:top w:w="15" w:type="dxa"/>
          <w:left w:w="15" w:type="dxa"/>
          <w:bottom w:w="15" w:type="dxa"/>
          <w:right w:w="15" w:type="dxa"/>
        </w:tblCellMar>
        <w:tblLook w:val="04A0" w:firstRow="1" w:lastRow="0" w:firstColumn="1" w:lastColumn="0" w:noHBand="0" w:noVBand="1"/>
      </w:tblPr>
      <w:tblGrid>
        <w:gridCol w:w="3196"/>
        <w:gridCol w:w="2122"/>
        <w:gridCol w:w="2487"/>
        <w:gridCol w:w="1954"/>
      </w:tblGrid>
      <w:tr w:rsidR="008D4B2E" w:rsidTr="00B818D2">
        <w:trPr>
          <w:divId w:val="1596476145"/>
          <w:trHeight w:val="429"/>
          <w:jc w:val="center"/>
        </w:trPr>
        <w:tc>
          <w:tcPr>
            <w:tcW w:w="1638" w:type="pct"/>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8D4B2E" w:rsidRPr="002B59B9" w:rsidRDefault="008D4B2E" w:rsidP="00B818D2">
            <w:pPr>
              <w:pStyle w:val="17"/>
              <w:jc w:val="center"/>
              <w:rPr>
                <w:rFonts w:cs="Times New Roman"/>
                <w:sz w:val="18"/>
                <w:szCs w:val="18"/>
              </w:rPr>
            </w:pPr>
            <w:r w:rsidRPr="002B59B9">
              <w:rPr>
                <w:rFonts w:cs="Times New Roman" w:hint="eastAsia"/>
                <w:sz w:val="18"/>
                <w:szCs w:val="18"/>
              </w:rPr>
              <w:t>类别</w:t>
            </w:r>
          </w:p>
        </w:tc>
        <w:tc>
          <w:tcPr>
            <w:tcW w:w="1087" w:type="pct"/>
            <w:tcBorders>
              <w:top w:val="single" w:sz="8" w:space="0" w:color="auto"/>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rsidR="008D4B2E" w:rsidRPr="002B59B9" w:rsidRDefault="008D4B2E" w:rsidP="00B818D2">
            <w:pPr>
              <w:pStyle w:val="17"/>
              <w:jc w:val="center"/>
              <w:rPr>
                <w:rFonts w:cs="Times New Roman"/>
                <w:sz w:val="18"/>
                <w:szCs w:val="18"/>
              </w:rPr>
            </w:pPr>
            <w:r w:rsidRPr="002B59B9">
              <w:rPr>
                <w:rFonts w:cs="Times New Roman" w:hint="eastAsia"/>
                <w:sz w:val="18"/>
                <w:szCs w:val="18"/>
              </w:rPr>
              <w:t>使用寿命</w:t>
            </w:r>
          </w:p>
        </w:tc>
        <w:tc>
          <w:tcPr>
            <w:tcW w:w="1274" w:type="pct"/>
            <w:tcBorders>
              <w:top w:val="single" w:sz="8" w:space="0" w:color="auto"/>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rsidR="008D4B2E" w:rsidRPr="002B59B9" w:rsidRDefault="008D4B2E" w:rsidP="00B818D2">
            <w:pPr>
              <w:pStyle w:val="17"/>
              <w:jc w:val="center"/>
              <w:rPr>
                <w:rFonts w:cs="Times New Roman"/>
                <w:sz w:val="18"/>
                <w:szCs w:val="18"/>
              </w:rPr>
            </w:pPr>
            <w:r w:rsidRPr="002B59B9">
              <w:rPr>
                <w:rFonts w:cs="Times New Roman" w:hint="eastAsia"/>
                <w:sz w:val="18"/>
                <w:szCs w:val="18"/>
              </w:rPr>
              <w:t>摊销方法</w:t>
            </w:r>
          </w:p>
        </w:tc>
        <w:tc>
          <w:tcPr>
            <w:tcW w:w="1001" w:type="pct"/>
            <w:tcBorders>
              <w:top w:val="single" w:sz="8" w:space="0" w:color="auto"/>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rsidR="008D4B2E" w:rsidRPr="002B59B9" w:rsidRDefault="008D4B2E" w:rsidP="00B818D2">
            <w:pPr>
              <w:pStyle w:val="17"/>
              <w:jc w:val="center"/>
              <w:rPr>
                <w:rFonts w:cs="Times New Roman"/>
                <w:sz w:val="18"/>
                <w:szCs w:val="18"/>
              </w:rPr>
            </w:pPr>
            <w:r w:rsidRPr="002B59B9">
              <w:rPr>
                <w:rFonts w:cs="Times New Roman" w:hint="eastAsia"/>
                <w:sz w:val="18"/>
                <w:szCs w:val="18"/>
              </w:rPr>
              <w:t>备注</w:t>
            </w:r>
          </w:p>
        </w:tc>
      </w:tr>
      <w:tr w:rsidR="008D4B2E" w:rsidTr="00B818D2">
        <w:trPr>
          <w:divId w:val="1596476145"/>
          <w:trHeight w:val="442"/>
          <w:jc w:val="center"/>
        </w:trPr>
        <w:tc>
          <w:tcPr>
            <w:tcW w:w="1638" w:type="pct"/>
            <w:tcBorders>
              <w:top w:val="nil"/>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8D4B2E" w:rsidRPr="002B59B9" w:rsidRDefault="008D4B2E" w:rsidP="00B818D2">
            <w:pPr>
              <w:pStyle w:val="17"/>
              <w:rPr>
                <w:rFonts w:cs="Times New Roman"/>
                <w:sz w:val="18"/>
                <w:szCs w:val="18"/>
              </w:rPr>
            </w:pPr>
            <w:r w:rsidRPr="002B59B9">
              <w:rPr>
                <w:rFonts w:cs="Times New Roman" w:hint="eastAsia"/>
                <w:sz w:val="18"/>
                <w:szCs w:val="18"/>
              </w:rPr>
              <w:t>非专利技术</w:t>
            </w:r>
          </w:p>
        </w:tc>
        <w:tc>
          <w:tcPr>
            <w:tcW w:w="10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2B59B9" w:rsidRDefault="008D4B2E" w:rsidP="00B818D2">
            <w:pPr>
              <w:pStyle w:val="17"/>
              <w:jc w:val="right"/>
              <w:rPr>
                <w:rFonts w:cs="Times New Roman"/>
                <w:sz w:val="18"/>
                <w:szCs w:val="18"/>
              </w:rPr>
            </w:pPr>
            <w:r w:rsidRPr="002B59B9">
              <w:rPr>
                <w:rFonts w:cs="Times New Roman"/>
                <w:sz w:val="18"/>
                <w:szCs w:val="18"/>
              </w:rPr>
              <w:t>2-15</w:t>
            </w:r>
            <w:r w:rsidRPr="002B59B9">
              <w:rPr>
                <w:rFonts w:cs="Times New Roman" w:hint="eastAsia"/>
                <w:sz w:val="18"/>
                <w:szCs w:val="18"/>
              </w:rPr>
              <w:t>年</w:t>
            </w:r>
          </w:p>
        </w:tc>
        <w:tc>
          <w:tcPr>
            <w:tcW w:w="12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2B59B9" w:rsidRDefault="008D4B2E" w:rsidP="00B818D2">
            <w:pPr>
              <w:pStyle w:val="17"/>
              <w:jc w:val="right"/>
              <w:rPr>
                <w:rFonts w:cs="Times New Roman"/>
                <w:sz w:val="18"/>
                <w:szCs w:val="18"/>
              </w:rPr>
            </w:pPr>
            <w:r w:rsidRPr="002B59B9">
              <w:rPr>
                <w:rFonts w:cs="Times New Roman" w:hint="eastAsia"/>
                <w:sz w:val="18"/>
                <w:szCs w:val="18"/>
              </w:rPr>
              <w:t>受益年限</w:t>
            </w:r>
          </w:p>
        </w:tc>
        <w:tc>
          <w:tcPr>
            <w:tcW w:w="10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2B59B9" w:rsidRDefault="008D4B2E" w:rsidP="00B818D2">
            <w:pPr>
              <w:pStyle w:val="17"/>
              <w:jc w:val="right"/>
              <w:rPr>
                <w:rFonts w:cs="Times New Roman"/>
                <w:sz w:val="18"/>
                <w:szCs w:val="18"/>
              </w:rPr>
            </w:pPr>
            <w:r w:rsidRPr="002B59B9">
              <w:rPr>
                <w:rFonts w:cs="Times New Roman"/>
                <w:sz w:val="18"/>
                <w:szCs w:val="18"/>
              </w:rPr>
              <w:t> </w:t>
            </w:r>
          </w:p>
        </w:tc>
      </w:tr>
      <w:tr w:rsidR="008D4B2E" w:rsidTr="00B818D2">
        <w:trPr>
          <w:divId w:val="1596476145"/>
          <w:trHeight w:val="442"/>
          <w:jc w:val="center"/>
        </w:trPr>
        <w:tc>
          <w:tcPr>
            <w:tcW w:w="1638" w:type="pct"/>
            <w:tcBorders>
              <w:top w:val="nil"/>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8D4B2E" w:rsidRPr="002B59B9" w:rsidRDefault="008D4B2E" w:rsidP="00B818D2">
            <w:pPr>
              <w:pStyle w:val="17"/>
              <w:rPr>
                <w:rFonts w:cs="Times New Roman"/>
                <w:sz w:val="18"/>
                <w:szCs w:val="18"/>
              </w:rPr>
            </w:pPr>
            <w:r w:rsidRPr="002B59B9">
              <w:rPr>
                <w:rFonts w:cs="Times New Roman" w:hint="eastAsia"/>
                <w:sz w:val="18"/>
                <w:szCs w:val="18"/>
              </w:rPr>
              <w:t>软件</w:t>
            </w:r>
          </w:p>
        </w:tc>
        <w:tc>
          <w:tcPr>
            <w:tcW w:w="10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2B59B9" w:rsidRDefault="008D4B2E" w:rsidP="00B818D2">
            <w:pPr>
              <w:pStyle w:val="17"/>
              <w:jc w:val="right"/>
              <w:rPr>
                <w:rFonts w:cs="Times New Roman"/>
                <w:sz w:val="18"/>
                <w:szCs w:val="18"/>
              </w:rPr>
            </w:pPr>
            <w:r w:rsidRPr="002B59B9">
              <w:rPr>
                <w:rFonts w:cs="Times New Roman"/>
                <w:sz w:val="18"/>
                <w:szCs w:val="18"/>
              </w:rPr>
              <w:t>2-15</w:t>
            </w:r>
            <w:r w:rsidRPr="002B59B9">
              <w:rPr>
                <w:rFonts w:cs="Times New Roman" w:hint="eastAsia"/>
                <w:sz w:val="18"/>
                <w:szCs w:val="18"/>
              </w:rPr>
              <w:t>年</w:t>
            </w:r>
          </w:p>
        </w:tc>
        <w:tc>
          <w:tcPr>
            <w:tcW w:w="12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2B59B9" w:rsidRDefault="008D4B2E" w:rsidP="00B818D2">
            <w:pPr>
              <w:pStyle w:val="17"/>
              <w:jc w:val="right"/>
              <w:rPr>
                <w:rFonts w:cs="Times New Roman"/>
                <w:sz w:val="18"/>
                <w:szCs w:val="18"/>
              </w:rPr>
            </w:pPr>
            <w:r w:rsidRPr="002B59B9">
              <w:rPr>
                <w:rFonts w:cs="Times New Roman" w:hint="eastAsia"/>
                <w:sz w:val="18"/>
                <w:szCs w:val="18"/>
              </w:rPr>
              <w:t>受益年限</w:t>
            </w:r>
          </w:p>
        </w:tc>
        <w:tc>
          <w:tcPr>
            <w:tcW w:w="10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2B59B9" w:rsidRDefault="008D4B2E" w:rsidP="00B818D2">
            <w:pPr>
              <w:pStyle w:val="17"/>
              <w:jc w:val="right"/>
              <w:rPr>
                <w:rFonts w:cs="Times New Roman"/>
                <w:sz w:val="18"/>
                <w:szCs w:val="18"/>
              </w:rPr>
            </w:pPr>
            <w:r w:rsidRPr="002B59B9">
              <w:rPr>
                <w:rFonts w:cs="Times New Roman"/>
                <w:sz w:val="18"/>
                <w:szCs w:val="18"/>
              </w:rPr>
              <w:t> </w:t>
            </w:r>
          </w:p>
        </w:tc>
      </w:tr>
      <w:tr w:rsidR="008D4B2E" w:rsidTr="00B818D2">
        <w:trPr>
          <w:divId w:val="1596476145"/>
          <w:trHeight w:val="442"/>
          <w:jc w:val="center"/>
        </w:trPr>
        <w:tc>
          <w:tcPr>
            <w:tcW w:w="1638" w:type="pct"/>
            <w:tcBorders>
              <w:top w:val="nil"/>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8D4B2E" w:rsidRPr="002B59B9" w:rsidRDefault="008D4B2E" w:rsidP="00B818D2">
            <w:pPr>
              <w:pStyle w:val="17"/>
              <w:rPr>
                <w:rFonts w:cs="Times New Roman"/>
                <w:sz w:val="18"/>
                <w:szCs w:val="18"/>
              </w:rPr>
            </w:pPr>
            <w:r w:rsidRPr="002B59B9">
              <w:rPr>
                <w:rFonts w:cs="Times New Roman" w:hint="eastAsia"/>
                <w:sz w:val="18"/>
                <w:szCs w:val="18"/>
              </w:rPr>
              <w:t>土地使用权</w:t>
            </w:r>
          </w:p>
        </w:tc>
        <w:tc>
          <w:tcPr>
            <w:tcW w:w="10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2B59B9" w:rsidRDefault="008D4B2E" w:rsidP="00B818D2">
            <w:pPr>
              <w:pStyle w:val="17"/>
              <w:jc w:val="right"/>
              <w:rPr>
                <w:rFonts w:cs="Times New Roman"/>
                <w:sz w:val="18"/>
                <w:szCs w:val="18"/>
              </w:rPr>
            </w:pPr>
            <w:r w:rsidRPr="002B59B9">
              <w:rPr>
                <w:rFonts w:cs="Times New Roman"/>
                <w:sz w:val="18"/>
                <w:szCs w:val="18"/>
              </w:rPr>
              <w:t>50</w:t>
            </w:r>
            <w:r w:rsidRPr="002B59B9">
              <w:rPr>
                <w:rFonts w:cs="Times New Roman" w:hint="eastAsia"/>
                <w:sz w:val="18"/>
                <w:szCs w:val="18"/>
              </w:rPr>
              <w:t>年</w:t>
            </w:r>
          </w:p>
        </w:tc>
        <w:tc>
          <w:tcPr>
            <w:tcW w:w="12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2B59B9" w:rsidRDefault="008D4B2E" w:rsidP="00B818D2">
            <w:pPr>
              <w:pStyle w:val="17"/>
              <w:jc w:val="right"/>
              <w:rPr>
                <w:rFonts w:cs="Times New Roman"/>
                <w:sz w:val="18"/>
                <w:szCs w:val="18"/>
              </w:rPr>
            </w:pPr>
            <w:r w:rsidRPr="002B59B9">
              <w:rPr>
                <w:rFonts w:cs="Times New Roman" w:hint="eastAsia"/>
                <w:sz w:val="18"/>
                <w:szCs w:val="18"/>
              </w:rPr>
              <w:t>土地使用年限</w:t>
            </w:r>
          </w:p>
        </w:tc>
        <w:tc>
          <w:tcPr>
            <w:tcW w:w="10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2B59B9" w:rsidRDefault="008D4B2E" w:rsidP="00B818D2">
            <w:pPr>
              <w:pStyle w:val="17"/>
              <w:jc w:val="right"/>
              <w:rPr>
                <w:rFonts w:cs="Times New Roman"/>
                <w:sz w:val="18"/>
                <w:szCs w:val="18"/>
              </w:rPr>
            </w:pPr>
            <w:r w:rsidRPr="002B59B9">
              <w:rPr>
                <w:rFonts w:cs="Times New Roman"/>
                <w:sz w:val="18"/>
                <w:szCs w:val="18"/>
              </w:rPr>
              <w:t> </w:t>
            </w:r>
          </w:p>
        </w:tc>
      </w:tr>
      <w:tr w:rsidR="008D4B2E" w:rsidTr="00B818D2">
        <w:trPr>
          <w:divId w:val="1596476145"/>
          <w:trHeight w:val="442"/>
          <w:jc w:val="center"/>
        </w:trPr>
        <w:tc>
          <w:tcPr>
            <w:tcW w:w="1638" w:type="pct"/>
            <w:tcBorders>
              <w:top w:val="nil"/>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8D4B2E" w:rsidRPr="002B59B9" w:rsidRDefault="008D4B2E" w:rsidP="00B818D2">
            <w:pPr>
              <w:pStyle w:val="17"/>
              <w:rPr>
                <w:rFonts w:cs="Times New Roman"/>
                <w:sz w:val="18"/>
                <w:szCs w:val="18"/>
              </w:rPr>
            </w:pPr>
            <w:r w:rsidRPr="002B59B9">
              <w:rPr>
                <w:rFonts w:cs="Times New Roman" w:hint="eastAsia"/>
                <w:sz w:val="18"/>
                <w:szCs w:val="18"/>
              </w:rPr>
              <w:t>专利权</w:t>
            </w:r>
          </w:p>
        </w:tc>
        <w:tc>
          <w:tcPr>
            <w:tcW w:w="10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2B59B9" w:rsidRDefault="008D4B2E" w:rsidP="00B818D2">
            <w:pPr>
              <w:pStyle w:val="17"/>
              <w:jc w:val="right"/>
              <w:rPr>
                <w:rFonts w:cs="Times New Roman"/>
                <w:sz w:val="18"/>
                <w:szCs w:val="18"/>
              </w:rPr>
            </w:pPr>
            <w:r w:rsidRPr="002B59B9">
              <w:rPr>
                <w:rFonts w:cs="Times New Roman"/>
                <w:sz w:val="18"/>
                <w:szCs w:val="18"/>
              </w:rPr>
              <w:t>2-15</w:t>
            </w:r>
            <w:r w:rsidRPr="002B59B9">
              <w:rPr>
                <w:rFonts w:cs="Times New Roman" w:hint="eastAsia"/>
                <w:sz w:val="18"/>
                <w:szCs w:val="18"/>
              </w:rPr>
              <w:t>年</w:t>
            </w:r>
          </w:p>
        </w:tc>
        <w:tc>
          <w:tcPr>
            <w:tcW w:w="12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2B59B9" w:rsidRDefault="008D4B2E" w:rsidP="00B818D2">
            <w:pPr>
              <w:pStyle w:val="17"/>
              <w:jc w:val="right"/>
              <w:rPr>
                <w:rFonts w:cs="Times New Roman"/>
                <w:sz w:val="18"/>
                <w:szCs w:val="18"/>
              </w:rPr>
            </w:pPr>
            <w:r w:rsidRPr="002B59B9">
              <w:rPr>
                <w:rFonts w:cs="Times New Roman" w:hint="eastAsia"/>
                <w:sz w:val="18"/>
                <w:szCs w:val="18"/>
              </w:rPr>
              <w:t>受益年限</w:t>
            </w:r>
          </w:p>
        </w:tc>
        <w:tc>
          <w:tcPr>
            <w:tcW w:w="100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2B59B9" w:rsidRDefault="008D4B2E" w:rsidP="00B818D2">
            <w:pPr>
              <w:pStyle w:val="17"/>
              <w:jc w:val="right"/>
              <w:rPr>
                <w:rFonts w:cs="Times New Roman"/>
                <w:sz w:val="18"/>
                <w:szCs w:val="18"/>
              </w:rPr>
            </w:pPr>
            <w:r w:rsidRPr="002B59B9">
              <w:rPr>
                <w:rFonts w:cs="Times New Roman"/>
                <w:sz w:val="18"/>
                <w:szCs w:val="18"/>
              </w:rPr>
              <w:t> </w:t>
            </w:r>
          </w:p>
        </w:tc>
      </w:tr>
    </w:tbl>
    <w:p w:rsidR="008D4B2E" w:rsidRPr="002B59B9" w:rsidRDefault="008D4B2E" w:rsidP="00B818D2">
      <w:pPr>
        <w:pStyle w:val="a3"/>
        <w:spacing w:before="0" w:beforeAutospacing="0" w:after="0" w:afterAutospacing="0"/>
        <w:ind w:firstLine="400"/>
        <w:divId w:val="1596476145"/>
        <w:rPr>
          <w:rFonts w:cs="Times New Roman"/>
          <w:sz w:val="18"/>
          <w:szCs w:val="18"/>
        </w:rPr>
      </w:pPr>
      <w:r w:rsidRPr="002B59B9">
        <w:rPr>
          <w:rFonts w:cs="Times New Roman" w:hint="eastAsia"/>
          <w:sz w:val="18"/>
          <w:szCs w:val="18"/>
        </w:rPr>
        <w:t>期末，对使用寿命有限的无形资产的使用寿命和摊销方法进行复核，如发生变更则作为会计估计变更处理。此外，还对使用寿命不确定的无形资产的使用寿命进行复核，如果有证据表明该无形资产为企业带来经济利益的期限是可预见的，则估计其使用寿命并按照使用寿命有限的无形资产的摊销政策进行摊销。</w:t>
      </w:r>
    </w:p>
    <w:p w:rsidR="00BA0365" w:rsidRDefault="008D4B2E" w:rsidP="00B818D2">
      <w:pPr>
        <w:keepNext/>
        <w:keepLines/>
        <w:spacing w:before="300" w:after="300"/>
        <w:outlineLvl w:val="3"/>
        <w:rPr>
          <w:rFonts w:ascii="宋体" w:eastAsia="宋体" w:hAnsi="宋体" w:cs="宋体"/>
          <w:b/>
          <w:bCs/>
          <w:szCs w:val="21"/>
        </w:rPr>
      </w:pPr>
      <w:bookmarkStart w:id="198" w:name="_Toc989086"/>
      <w:r>
        <w:rPr>
          <w:rFonts w:ascii="宋体" w:eastAsia="宋体" w:hAnsi="宋体" w:cs="宋体"/>
          <w:b/>
          <w:bCs/>
          <w:szCs w:val="21"/>
        </w:rPr>
        <w:lastRenderedPageBreak/>
        <w:t>（2） 研发支出的归集范围及相关会计处理方法</w:t>
      </w:r>
      <w:bookmarkEnd w:id="198"/>
    </w:p>
    <w:p w:rsidR="008D4B2E" w:rsidRPr="002B59B9" w:rsidRDefault="008D4B2E" w:rsidP="00B818D2">
      <w:pPr>
        <w:pStyle w:val="a3"/>
        <w:spacing w:before="0" w:beforeAutospacing="0" w:after="0" w:afterAutospacing="0"/>
        <w:ind w:firstLine="400"/>
        <w:divId w:val="264075333"/>
        <w:rPr>
          <w:rFonts w:cs="Times New Roman"/>
          <w:sz w:val="18"/>
          <w:szCs w:val="18"/>
        </w:rPr>
      </w:pPr>
      <w:r w:rsidRPr="002B59B9">
        <w:rPr>
          <w:rFonts w:cs="Times New Roman" w:hint="eastAsia"/>
          <w:sz w:val="18"/>
          <w:szCs w:val="18"/>
        </w:rPr>
        <w:t>本公司内部研究开发项目的支出分为研究阶段支出与开发阶段支出。</w:t>
      </w:r>
    </w:p>
    <w:p w:rsidR="008D4B2E" w:rsidRPr="002B59B9" w:rsidRDefault="008D4B2E" w:rsidP="00B818D2">
      <w:pPr>
        <w:pStyle w:val="a3"/>
        <w:spacing w:before="0" w:beforeAutospacing="0" w:after="0" w:afterAutospacing="0"/>
        <w:ind w:firstLine="400"/>
        <w:divId w:val="264075333"/>
        <w:rPr>
          <w:rFonts w:cs="Times New Roman"/>
          <w:sz w:val="18"/>
          <w:szCs w:val="18"/>
        </w:rPr>
      </w:pPr>
      <w:r w:rsidRPr="002B59B9">
        <w:rPr>
          <w:rFonts w:cs="Times New Roman" w:hint="eastAsia"/>
          <w:sz w:val="18"/>
          <w:szCs w:val="18"/>
        </w:rPr>
        <w:t>研究阶段的支出，于发生时计入当期损益。</w:t>
      </w:r>
    </w:p>
    <w:p w:rsidR="008D4B2E" w:rsidRPr="002B59B9" w:rsidRDefault="008D4B2E" w:rsidP="00B818D2">
      <w:pPr>
        <w:pStyle w:val="a3"/>
        <w:spacing w:before="0" w:beforeAutospacing="0" w:after="0" w:afterAutospacing="0"/>
        <w:ind w:firstLine="400"/>
        <w:divId w:val="264075333"/>
        <w:rPr>
          <w:rFonts w:cs="Times New Roman"/>
          <w:sz w:val="18"/>
          <w:szCs w:val="18"/>
        </w:rPr>
      </w:pPr>
      <w:r w:rsidRPr="002B59B9">
        <w:rPr>
          <w:rFonts w:cs="Times New Roman" w:hint="eastAsia"/>
          <w:sz w:val="18"/>
          <w:szCs w:val="18"/>
        </w:rPr>
        <w:t>开发阶段的支出同时满足下列条件的，确认为无形资产，不能满足下述条件的开发阶段的支出计入当期损益：</w:t>
      </w:r>
    </w:p>
    <w:p w:rsidR="008D4B2E" w:rsidRPr="002B59B9" w:rsidRDefault="008D4B2E" w:rsidP="00B818D2">
      <w:pPr>
        <w:pStyle w:val="a3"/>
        <w:spacing w:before="0" w:beforeAutospacing="0" w:after="0" w:afterAutospacing="0"/>
        <w:ind w:firstLine="400"/>
        <w:divId w:val="264075333"/>
        <w:rPr>
          <w:rFonts w:cs="Times New Roman"/>
          <w:sz w:val="18"/>
          <w:szCs w:val="18"/>
        </w:rPr>
      </w:pPr>
      <w:r w:rsidRPr="002B59B9">
        <w:rPr>
          <w:rFonts w:cs="Times New Roman" w:hint="eastAsia"/>
          <w:sz w:val="18"/>
          <w:szCs w:val="18"/>
        </w:rPr>
        <w:t>①</w:t>
      </w:r>
      <w:r w:rsidRPr="002B59B9">
        <w:rPr>
          <w:rFonts w:cs="Times New Roman"/>
          <w:sz w:val="18"/>
          <w:szCs w:val="18"/>
        </w:rPr>
        <w:t> </w:t>
      </w:r>
      <w:r w:rsidRPr="002B59B9">
        <w:rPr>
          <w:rFonts w:cs="Times New Roman" w:hint="eastAsia"/>
          <w:sz w:val="18"/>
          <w:szCs w:val="18"/>
        </w:rPr>
        <w:t>完成该无形资产以使其能够使用或出售在技术上具有可行性；</w:t>
      </w:r>
    </w:p>
    <w:p w:rsidR="008D4B2E" w:rsidRPr="002B59B9" w:rsidRDefault="008D4B2E" w:rsidP="00B818D2">
      <w:pPr>
        <w:pStyle w:val="a3"/>
        <w:spacing w:before="0" w:beforeAutospacing="0" w:after="0" w:afterAutospacing="0"/>
        <w:ind w:firstLine="400"/>
        <w:divId w:val="264075333"/>
        <w:rPr>
          <w:rFonts w:cs="Times New Roman"/>
          <w:sz w:val="18"/>
          <w:szCs w:val="18"/>
        </w:rPr>
      </w:pPr>
      <w:r w:rsidRPr="002B59B9">
        <w:rPr>
          <w:rFonts w:cs="Times New Roman" w:hint="eastAsia"/>
          <w:sz w:val="18"/>
          <w:szCs w:val="18"/>
        </w:rPr>
        <w:t>②</w:t>
      </w:r>
      <w:r w:rsidRPr="002B59B9">
        <w:rPr>
          <w:rFonts w:cs="Times New Roman"/>
          <w:sz w:val="18"/>
          <w:szCs w:val="18"/>
        </w:rPr>
        <w:t> </w:t>
      </w:r>
      <w:r w:rsidRPr="002B59B9">
        <w:rPr>
          <w:rFonts w:cs="Times New Roman" w:hint="eastAsia"/>
          <w:sz w:val="18"/>
          <w:szCs w:val="18"/>
        </w:rPr>
        <w:t>具有完成该无形资产并使用或出售的意图；</w:t>
      </w:r>
    </w:p>
    <w:p w:rsidR="008D4B2E" w:rsidRPr="002B59B9" w:rsidRDefault="008D4B2E" w:rsidP="00B818D2">
      <w:pPr>
        <w:pStyle w:val="a3"/>
        <w:spacing w:before="0" w:beforeAutospacing="0" w:after="0" w:afterAutospacing="0"/>
        <w:ind w:firstLine="400"/>
        <w:divId w:val="264075333"/>
        <w:rPr>
          <w:rFonts w:cs="Times New Roman"/>
          <w:sz w:val="18"/>
          <w:szCs w:val="18"/>
        </w:rPr>
      </w:pPr>
      <w:r w:rsidRPr="002B59B9">
        <w:rPr>
          <w:rFonts w:cs="Times New Roman" w:hint="eastAsia"/>
          <w:sz w:val="18"/>
          <w:szCs w:val="18"/>
        </w:rPr>
        <w:t>③</w:t>
      </w:r>
      <w:r w:rsidRPr="002B59B9">
        <w:rPr>
          <w:rFonts w:cs="Times New Roman"/>
          <w:sz w:val="18"/>
          <w:szCs w:val="18"/>
        </w:rPr>
        <w:t> </w:t>
      </w:r>
      <w:r w:rsidRPr="002B59B9">
        <w:rPr>
          <w:rFonts w:cs="Times New Roman" w:hint="eastAsia"/>
          <w:sz w:val="18"/>
          <w:szCs w:val="18"/>
        </w:rPr>
        <w:t>无形资产产生经济利益的方式，包括能够证明运用该无形资产生产的产品存在市场或无形资产自身存在市场，无形资产将在内部使用的，能够证明其有用性；</w:t>
      </w:r>
    </w:p>
    <w:p w:rsidR="008D4B2E" w:rsidRPr="002B59B9" w:rsidRDefault="008D4B2E" w:rsidP="00B818D2">
      <w:pPr>
        <w:pStyle w:val="a3"/>
        <w:spacing w:before="0" w:beforeAutospacing="0" w:after="0" w:afterAutospacing="0"/>
        <w:ind w:firstLine="400"/>
        <w:divId w:val="264075333"/>
        <w:rPr>
          <w:rFonts w:cs="Times New Roman"/>
          <w:sz w:val="18"/>
          <w:szCs w:val="18"/>
        </w:rPr>
      </w:pPr>
      <w:r w:rsidRPr="002B59B9">
        <w:rPr>
          <w:rFonts w:cs="Times New Roman" w:hint="eastAsia"/>
          <w:sz w:val="18"/>
          <w:szCs w:val="18"/>
        </w:rPr>
        <w:t>④</w:t>
      </w:r>
      <w:r w:rsidRPr="002B59B9">
        <w:rPr>
          <w:rFonts w:cs="Times New Roman"/>
          <w:sz w:val="18"/>
          <w:szCs w:val="18"/>
        </w:rPr>
        <w:t> </w:t>
      </w:r>
      <w:r w:rsidRPr="002B59B9">
        <w:rPr>
          <w:rFonts w:cs="Times New Roman" w:hint="eastAsia"/>
          <w:sz w:val="18"/>
          <w:szCs w:val="18"/>
        </w:rPr>
        <w:t>有足够的技术、财务资源和其他资源支持，以完成该无形资产的开发，并有能力使用或出售该无形资产；</w:t>
      </w:r>
    </w:p>
    <w:p w:rsidR="008D4B2E" w:rsidRPr="002B59B9" w:rsidRDefault="008D4B2E" w:rsidP="00B818D2">
      <w:pPr>
        <w:pStyle w:val="a3"/>
        <w:spacing w:before="0" w:beforeAutospacing="0" w:after="0" w:afterAutospacing="0"/>
        <w:ind w:firstLine="400"/>
        <w:divId w:val="264075333"/>
        <w:rPr>
          <w:rFonts w:cs="Times New Roman"/>
          <w:sz w:val="18"/>
          <w:szCs w:val="18"/>
        </w:rPr>
      </w:pPr>
      <w:r w:rsidRPr="002B59B9">
        <w:rPr>
          <w:rFonts w:cs="Times New Roman" w:hint="eastAsia"/>
          <w:sz w:val="18"/>
          <w:szCs w:val="18"/>
        </w:rPr>
        <w:t>⑤</w:t>
      </w:r>
      <w:r w:rsidRPr="002B59B9">
        <w:rPr>
          <w:rFonts w:cs="Times New Roman"/>
          <w:sz w:val="18"/>
          <w:szCs w:val="18"/>
        </w:rPr>
        <w:t> </w:t>
      </w:r>
      <w:r w:rsidRPr="002B59B9">
        <w:rPr>
          <w:rFonts w:cs="Times New Roman" w:hint="eastAsia"/>
          <w:sz w:val="18"/>
          <w:szCs w:val="18"/>
        </w:rPr>
        <w:t>归属于该无形资产开发阶段的支出能够可靠地计量。</w:t>
      </w:r>
    </w:p>
    <w:p w:rsidR="008D4B2E" w:rsidRPr="002B59B9" w:rsidRDefault="008D4B2E" w:rsidP="00B818D2">
      <w:pPr>
        <w:pStyle w:val="a3"/>
        <w:spacing w:before="0" w:beforeAutospacing="0" w:after="0" w:afterAutospacing="0"/>
        <w:ind w:firstLine="400"/>
        <w:divId w:val="264075333"/>
        <w:rPr>
          <w:rFonts w:cs="Times New Roman"/>
          <w:sz w:val="18"/>
          <w:szCs w:val="18"/>
        </w:rPr>
      </w:pPr>
      <w:r w:rsidRPr="002B59B9">
        <w:rPr>
          <w:rFonts w:cs="Times New Roman" w:hint="eastAsia"/>
          <w:sz w:val="18"/>
          <w:szCs w:val="18"/>
        </w:rPr>
        <w:t>无法区分研究阶段支出和开发阶段支出的，将发生的研发支出全部计入当期损益。</w:t>
      </w:r>
    </w:p>
    <w:p w:rsidR="00BA0365" w:rsidRDefault="008D4B2E" w:rsidP="00B818D2">
      <w:pPr>
        <w:keepNext/>
        <w:keepLines/>
        <w:spacing w:before="300" w:after="300"/>
        <w:outlineLvl w:val="3"/>
        <w:rPr>
          <w:rFonts w:ascii="宋体" w:eastAsia="宋体" w:hAnsi="宋体" w:cs="宋体"/>
          <w:b/>
          <w:bCs/>
          <w:szCs w:val="21"/>
        </w:rPr>
      </w:pPr>
      <w:bookmarkStart w:id="199" w:name="_Toc989087"/>
      <w:r>
        <w:rPr>
          <w:rFonts w:ascii="宋体" w:eastAsia="宋体" w:hAnsi="宋体" w:cs="宋体"/>
          <w:b/>
          <w:bCs/>
          <w:szCs w:val="21"/>
        </w:rPr>
        <w:t>（3） 无形资产的减值测试方法及减值准备计提方法</w:t>
      </w:r>
      <w:bookmarkEnd w:id="199"/>
    </w:p>
    <w:p w:rsidR="008D4B2E" w:rsidRPr="002B59B9" w:rsidRDefault="008D4B2E" w:rsidP="00B818D2">
      <w:pPr>
        <w:pStyle w:val="a3"/>
        <w:ind w:firstLineChars="200" w:firstLine="360"/>
        <w:divId w:val="360134559"/>
        <w:rPr>
          <w:rFonts w:cs="Times New Roman"/>
          <w:sz w:val="18"/>
          <w:szCs w:val="18"/>
        </w:rPr>
      </w:pPr>
      <w:r w:rsidRPr="002B59B9">
        <w:rPr>
          <w:rFonts w:cs="Times New Roman" w:hint="eastAsia"/>
          <w:sz w:val="18"/>
          <w:szCs w:val="18"/>
        </w:rPr>
        <w:t>无形资产的减值测试方法和减值准备计提方法详见附注</w:t>
      </w:r>
      <w:r w:rsidRPr="002B59B9">
        <w:rPr>
          <w:rFonts w:cs="Times New Roman"/>
          <w:sz w:val="18"/>
          <w:szCs w:val="18"/>
        </w:rPr>
        <w:t>“</w:t>
      </w:r>
      <w:r w:rsidRPr="002B59B9">
        <w:rPr>
          <w:rFonts w:cs="Times New Roman" w:hint="eastAsia"/>
          <w:sz w:val="18"/>
          <w:szCs w:val="18"/>
        </w:rPr>
        <w:t>长期资产减值</w:t>
      </w:r>
      <w:r w:rsidRPr="002B59B9">
        <w:rPr>
          <w:rFonts w:cs="Times New Roman"/>
          <w:sz w:val="18"/>
          <w:szCs w:val="18"/>
        </w:rPr>
        <w:t>”</w:t>
      </w:r>
      <w:r w:rsidRPr="002B59B9">
        <w:rPr>
          <w:rFonts w:cs="Times New Roman" w:hint="eastAsia"/>
          <w:sz w:val="18"/>
          <w:szCs w:val="18"/>
        </w:rPr>
        <w:t>。</w:t>
      </w:r>
    </w:p>
    <w:p w:rsidR="00BA0365" w:rsidRDefault="008D4B2E" w:rsidP="00B818D2">
      <w:pPr>
        <w:pStyle w:val="3"/>
        <w:spacing w:line="240" w:lineRule="auto"/>
        <w:jc w:val="left"/>
        <w:rPr>
          <w:rFonts w:ascii="宋体" w:hAnsi="宋体" w:cs="宋体"/>
          <w:b/>
          <w:bCs/>
        </w:rPr>
      </w:pPr>
      <w:bookmarkStart w:id="200" w:name="_Toc989088"/>
      <w:r>
        <w:rPr>
          <w:rFonts w:ascii="宋体" w:hAnsi="宋体" w:cs="宋体"/>
          <w:b/>
          <w:bCs/>
        </w:rPr>
        <w:t>27、长期资产减值</w:t>
      </w:r>
      <w:bookmarkEnd w:id="200"/>
    </w:p>
    <w:p w:rsidR="008D4B2E" w:rsidRPr="002B59B9" w:rsidRDefault="008D4B2E" w:rsidP="00B818D2">
      <w:pPr>
        <w:pStyle w:val="a3"/>
        <w:spacing w:before="0" w:beforeAutospacing="0" w:after="0" w:afterAutospacing="0"/>
        <w:ind w:firstLine="400"/>
        <w:jc w:val="both"/>
        <w:divId w:val="2014451841"/>
        <w:rPr>
          <w:rFonts w:cs="Times New Roman"/>
          <w:sz w:val="18"/>
          <w:szCs w:val="18"/>
        </w:rPr>
      </w:pPr>
      <w:r w:rsidRPr="002B59B9">
        <w:rPr>
          <w:rFonts w:cs="Times New Roman" w:hint="eastAsia"/>
          <w:sz w:val="18"/>
          <w:szCs w:val="18"/>
        </w:rPr>
        <w:t>对于固定资产、在建工程、使用寿命有限的无形资产、以成本模式计量的投资性房地产及对子公司、合营企业、联营企业的长期股权投资等非流动非金融资产，本公司于资产负债表</w:t>
      </w:r>
      <w:proofErr w:type="gramStart"/>
      <w:r w:rsidRPr="002B59B9">
        <w:rPr>
          <w:rFonts w:cs="Times New Roman" w:hint="eastAsia"/>
          <w:sz w:val="18"/>
          <w:szCs w:val="18"/>
        </w:rPr>
        <w:t>日判断</w:t>
      </w:r>
      <w:proofErr w:type="gramEnd"/>
      <w:r w:rsidRPr="002B59B9">
        <w:rPr>
          <w:rFonts w:cs="Times New Roman" w:hint="eastAsia"/>
          <w:sz w:val="18"/>
          <w:szCs w:val="18"/>
        </w:rPr>
        <w:t>是否存在减值迹象。如存在减值迹象的，则估计其可收回金额，进行减值测试。商誉、使用寿命不确定的无形资产和尚未达到可使用状态的无形资产，无论是否存在减值迹象，每年均进行减值测试。</w:t>
      </w:r>
    </w:p>
    <w:p w:rsidR="008D4B2E" w:rsidRPr="002B59B9" w:rsidRDefault="008D4B2E" w:rsidP="00B818D2">
      <w:pPr>
        <w:pStyle w:val="a3"/>
        <w:spacing w:before="0" w:beforeAutospacing="0" w:after="0" w:afterAutospacing="0"/>
        <w:ind w:firstLine="400"/>
        <w:jc w:val="both"/>
        <w:divId w:val="2014451841"/>
        <w:rPr>
          <w:rFonts w:cs="Times New Roman"/>
          <w:sz w:val="18"/>
          <w:szCs w:val="18"/>
        </w:rPr>
      </w:pPr>
      <w:r w:rsidRPr="002B59B9">
        <w:rPr>
          <w:rFonts w:cs="Times New Roman" w:hint="eastAsia"/>
          <w:sz w:val="18"/>
          <w:szCs w:val="18"/>
        </w:rPr>
        <w:t>减值测试结果表明资产的可收回金额低于其账面价值的，按其差额计提减值准备并计入减值损失。可收回金额为资产的公允价值减去处置费用后的净额与资产预计未来现金流量的现值两者之间的较高者。资产的公允价值根据公平交易中销售协议价格确定；不存在销售协议但存在资产活跃市场的，公允价值按照该资产的买方出价确定；不存在销售协议和资产活跃市场的，则以可获取的最佳信息为基础估计资产的公允价值。处置费用包括与资产处置有关的法律费用、相关税费、搬运费以及为使资产达到可销售状态所发生的直接费用。资产预计未来现金流量的现值，按照资产在持续使用过程中和最终处置时所产生的预计未来现金流量，选择恰当的折现率对其进行折现后的金额加以确定。资产减值准备按单项资产为基础计算并确认，如果难以对单项资产的可收回金额进行估计的，以该资产所属的资产组确定资产组的可收回金额。资产组是能够独立产生现金流入的最小资产组合。</w:t>
      </w:r>
    </w:p>
    <w:p w:rsidR="008D4B2E" w:rsidRPr="002B59B9" w:rsidRDefault="008D4B2E" w:rsidP="00B818D2">
      <w:pPr>
        <w:pStyle w:val="a3"/>
        <w:spacing w:before="0" w:beforeAutospacing="0" w:after="0" w:afterAutospacing="0"/>
        <w:ind w:firstLine="400"/>
        <w:jc w:val="both"/>
        <w:divId w:val="2014451841"/>
        <w:rPr>
          <w:rFonts w:cs="Times New Roman"/>
          <w:sz w:val="18"/>
          <w:szCs w:val="18"/>
        </w:rPr>
      </w:pPr>
      <w:r w:rsidRPr="002B59B9">
        <w:rPr>
          <w:rFonts w:cs="Times New Roman" w:hint="eastAsia"/>
          <w:sz w:val="18"/>
          <w:szCs w:val="18"/>
        </w:rPr>
        <w:t>在财务报表中单独列示的商誉，在进行减值测试时，将商誉的账面价值分摊至预期从企业合并的协同效应中受益的资产组或资产组组合。测试结果表明包含分摊的商誉的资产组或资产组组合的可收回金额低于其账面价值的，确认相应的减值损失。减值损失金额先抵减分摊至该资产组或资产组组合的商誉的账面价值，再根据资产组或资产组组合中除商誉以外的其他各项资产的账面价值所占比重，按比例抵减其他各项资产的账面价值。</w:t>
      </w:r>
    </w:p>
    <w:p w:rsidR="008D4B2E" w:rsidRDefault="008D4B2E" w:rsidP="00B818D2">
      <w:pPr>
        <w:pStyle w:val="a3"/>
        <w:spacing w:before="0" w:beforeAutospacing="0" w:after="0" w:afterAutospacing="0"/>
        <w:ind w:firstLine="400"/>
        <w:jc w:val="both"/>
        <w:divId w:val="2014451841"/>
        <w:rPr>
          <w:rFonts w:ascii="Arial" w:hAnsi="Arial" w:cs="Arial"/>
          <w:sz w:val="18"/>
          <w:szCs w:val="18"/>
        </w:rPr>
      </w:pPr>
      <w:r w:rsidRPr="002B59B9">
        <w:rPr>
          <w:rFonts w:cs="Times New Roman" w:hint="eastAsia"/>
          <w:sz w:val="18"/>
          <w:szCs w:val="18"/>
        </w:rPr>
        <w:t>上述资产减值损失一经确认，以后期间不予转回价值得以恢复的部分。</w:t>
      </w:r>
    </w:p>
    <w:p w:rsidR="00BA0365" w:rsidRDefault="008D4B2E" w:rsidP="00B818D2">
      <w:pPr>
        <w:pStyle w:val="3"/>
        <w:spacing w:line="240" w:lineRule="auto"/>
        <w:jc w:val="left"/>
        <w:rPr>
          <w:rFonts w:ascii="宋体" w:hAnsi="宋体" w:cs="宋体"/>
          <w:b/>
          <w:bCs/>
        </w:rPr>
      </w:pPr>
      <w:bookmarkStart w:id="201" w:name="_Toc989089"/>
      <w:r>
        <w:rPr>
          <w:rFonts w:ascii="宋体" w:hAnsi="宋体" w:cs="宋体"/>
          <w:b/>
          <w:bCs/>
        </w:rPr>
        <w:t>28、长期待摊费用</w:t>
      </w:r>
      <w:bookmarkEnd w:id="201"/>
    </w:p>
    <w:p w:rsidR="008D4B2E" w:rsidRPr="002B59B9" w:rsidRDefault="008D4B2E" w:rsidP="00B818D2">
      <w:pPr>
        <w:pStyle w:val="a3"/>
        <w:ind w:firstLineChars="200" w:firstLine="360"/>
        <w:divId w:val="711032429"/>
        <w:rPr>
          <w:rFonts w:cs="Times New Roman"/>
          <w:sz w:val="18"/>
          <w:szCs w:val="18"/>
        </w:rPr>
      </w:pPr>
      <w:r w:rsidRPr="002B59B9">
        <w:rPr>
          <w:rFonts w:cs="Times New Roman" w:hint="eastAsia"/>
          <w:sz w:val="18"/>
          <w:szCs w:val="18"/>
        </w:rPr>
        <w:t>长期待摊费用为已经发生但应</w:t>
      </w:r>
      <w:proofErr w:type="gramStart"/>
      <w:r w:rsidRPr="002B59B9">
        <w:rPr>
          <w:rFonts w:cs="Times New Roman" w:hint="eastAsia"/>
          <w:sz w:val="18"/>
          <w:szCs w:val="18"/>
        </w:rPr>
        <w:t>由报告</w:t>
      </w:r>
      <w:proofErr w:type="gramEnd"/>
      <w:r w:rsidRPr="002B59B9">
        <w:rPr>
          <w:rFonts w:cs="Times New Roman" w:hint="eastAsia"/>
          <w:sz w:val="18"/>
          <w:szCs w:val="18"/>
        </w:rPr>
        <w:t>期和以后各期负担的分摊期限在一年以上的各项费用。长期待摊费用在预计受益期间按直线法摊销。</w:t>
      </w:r>
    </w:p>
    <w:p w:rsidR="00BA0365" w:rsidRDefault="008D4B2E" w:rsidP="00B818D2">
      <w:pPr>
        <w:pStyle w:val="3"/>
        <w:spacing w:line="240" w:lineRule="auto"/>
        <w:jc w:val="left"/>
        <w:rPr>
          <w:rFonts w:ascii="宋体" w:hAnsi="宋体" w:cs="宋体"/>
          <w:b/>
          <w:bCs/>
        </w:rPr>
      </w:pPr>
      <w:bookmarkStart w:id="202" w:name="_Toc989090"/>
      <w:r>
        <w:rPr>
          <w:rFonts w:ascii="宋体" w:hAnsi="宋体" w:cs="宋体"/>
          <w:b/>
          <w:bCs/>
        </w:rPr>
        <w:lastRenderedPageBreak/>
        <w:t>29、合同负债</w:t>
      </w:r>
      <w:bookmarkEnd w:id="202"/>
    </w:p>
    <w:p w:rsidR="008D4B2E" w:rsidRPr="002B59B9" w:rsidRDefault="008D4B2E" w:rsidP="00B818D2">
      <w:pPr>
        <w:pStyle w:val="a3"/>
        <w:spacing w:before="0" w:beforeAutospacing="0" w:after="0" w:afterAutospacing="0"/>
        <w:ind w:firstLine="400"/>
        <w:jc w:val="both"/>
        <w:divId w:val="1350451847"/>
        <w:rPr>
          <w:rFonts w:cs="Times New Roman"/>
          <w:sz w:val="18"/>
          <w:szCs w:val="18"/>
        </w:rPr>
      </w:pPr>
      <w:r w:rsidRPr="002B59B9">
        <w:rPr>
          <w:rFonts w:cs="Times New Roman" w:hint="eastAsia"/>
          <w:sz w:val="18"/>
          <w:szCs w:val="18"/>
        </w:rPr>
        <w:t>合同负债，是指本公司已收或应收客户对价而应向客户转让商品的义务。如果在本公司向客户转让商品之前，客户已经支付了合同对价或本公司已经取得了无条件收款权，本公司在客户实际支付款项和到期应支付</w:t>
      </w:r>
      <w:proofErr w:type="gramStart"/>
      <w:r w:rsidRPr="002B59B9">
        <w:rPr>
          <w:rFonts w:cs="Times New Roman" w:hint="eastAsia"/>
          <w:sz w:val="18"/>
          <w:szCs w:val="18"/>
        </w:rPr>
        <w:t>款项孰早时点</w:t>
      </w:r>
      <w:proofErr w:type="gramEnd"/>
      <w:r w:rsidRPr="002B59B9">
        <w:rPr>
          <w:rFonts w:cs="Times New Roman" w:hint="eastAsia"/>
          <w:sz w:val="18"/>
          <w:szCs w:val="18"/>
        </w:rPr>
        <w:t>，将该已收或应收款项列示为合同负债。同一合同下的合同资产和合同负债以净额列示，不同合同下的合同资产和合同负债不予</w:t>
      </w:r>
      <w:proofErr w:type="gramStart"/>
      <w:r w:rsidRPr="002B59B9">
        <w:rPr>
          <w:rFonts w:cs="Times New Roman" w:hint="eastAsia"/>
          <w:sz w:val="18"/>
          <w:szCs w:val="18"/>
        </w:rPr>
        <w:t>抵销</w:t>
      </w:r>
      <w:proofErr w:type="gramEnd"/>
      <w:r w:rsidRPr="002B59B9">
        <w:rPr>
          <w:rFonts w:cs="Times New Roman" w:hint="eastAsia"/>
          <w:sz w:val="18"/>
          <w:szCs w:val="18"/>
        </w:rPr>
        <w:t>。</w:t>
      </w:r>
    </w:p>
    <w:p w:rsidR="00BA0365" w:rsidRDefault="008D4B2E" w:rsidP="00B818D2">
      <w:pPr>
        <w:pStyle w:val="3"/>
        <w:spacing w:line="240" w:lineRule="auto"/>
        <w:jc w:val="left"/>
        <w:rPr>
          <w:rFonts w:ascii="宋体" w:hAnsi="宋体" w:cs="宋体"/>
          <w:b/>
          <w:bCs/>
        </w:rPr>
      </w:pPr>
      <w:bookmarkStart w:id="203" w:name="_Toc989091"/>
      <w:r>
        <w:rPr>
          <w:rFonts w:ascii="宋体" w:hAnsi="宋体" w:cs="宋体"/>
          <w:b/>
          <w:bCs/>
        </w:rPr>
        <w:t>30、职工薪</w:t>
      </w:r>
      <w:proofErr w:type="gramStart"/>
      <w:r>
        <w:rPr>
          <w:rFonts w:ascii="宋体" w:hAnsi="宋体" w:cs="宋体"/>
          <w:b/>
          <w:bCs/>
        </w:rPr>
        <w:t>酬</w:t>
      </w:r>
      <w:bookmarkEnd w:id="203"/>
      <w:proofErr w:type="gramEnd"/>
    </w:p>
    <w:p w:rsidR="00BA0365" w:rsidRDefault="008D4B2E" w:rsidP="00B818D2">
      <w:pPr>
        <w:keepNext/>
        <w:keepLines/>
        <w:spacing w:before="300" w:after="300"/>
        <w:outlineLvl w:val="3"/>
        <w:rPr>
          <w:rFonts w:ascii="宋体" w:eastAsia="宋体" w:hAnsi="宋体" w:cs="宋体"/>
          <w:b/>
          <w:bCs/>
          <w:szCs w:val="21"/>
        </w:rPr>
      </w:pPr>
      <w:bookmarkStart w:id="204" w:name="_Toc989092"/>
      <w:r>
        <w:rPr>
          <w:rFonts w:ascii="宋体" w:eastAsia="宋体" w:hAnsi="宋体" w:cs="宋体"/>
          <w:b/>
          <w:bCs/>
          <w:szCs w:val="21"/>
        </w:rPr>
        <w:t>（1） 短期薪酬的会计处理方法</w:t>
      </w:r>
      <w:bookmarkEnd w:id="204"/>
    </w:p>
    <w:p w:rsidR="008D4B2E" w:rsidRPr="002B59B9" w:rsidRDefault="008D4B2E" w:rsidP="00B818D2">
      <w:pPr>
        <w:pStyle w:val="a3"/>
        <w:spacing w:before="0" w:beforeAutospacing="0" w:after="0" w:afterAutospacing="0"/>
        <w:ind w:firstLine="400"/>
        <w:jc w:val="both"/>
        <w:divId w:val="1351448268"/>
        <w:rPr>
          <w:rFonts w:cs="Times New Roman"/>
          <w:sz w:val="18"/>
          <w:szCs w:val="18"/>
        </w:rPr>
      </w:pPr>
      <w:r w:rsidRPr="002B59B9">
        <w:rPr>
          <w:rFonts w:cs="Times New Roman" w:hint="eastAsia"/>
          <w:sz w:val="18"/>
          <w:szCs w:val="18"/>
        </w:rPr>
        <w:t>短期薪酬主要包括工资、奖金、津贴和补贴、职工福利费、医疗保险费、生育保险费、工伤保险费、住房公积金、工会经费和职工教育经费、非货币性福利等。本公司在职工为本公司提供服务的会计期间将实际发生的短期职工薪</w:t>
      </w:r>
      <w:proofErr w:type="gramStart"/>
      <w:r w:rsidRPr="002B59B9">
        <w:rPr>
          <w:rFonts w:cs="Times New Roman" w:hint="eastAsia"/>
          <w:sz w:val="18"/>
          <w:szCs w:val="18"/>
        </w:rPr>
        <w:t>酬</w:t>
      </w:r>
      <w:proofErr w:type="gramEnd"/>
      <w:r w:rsidRPr="002B59B9">
        <w:rPr>
          <w:rFonts w:cs="Times New Roman" w:hint="eastAsia"/>
          <w:sz w:val="18"/>
          <w:szCs w:val="18"/>
        </w:rPr>
        <w:t>确认为负债，并计入当期损益或相关资产成本。其中非货币性福利按公允价值计量。</w:t>
      </w:r>
    </w:p>
    <w:p w:rsidR="00BA0365" w:rsidRDefault="008D4B2E" w:rsidP="00B818D2">
      <w:pPr>
        <w:keepNext/>
        <w:keepLines/>
        <w:spacing w:before="300" w:after="300"/>
        <w:outlineLvl w:val="3"/>
        <w:rPr>
          <w:rFonts w:ascii="宋体" w:eastAsia="宋体" w:hAnsi="宋体" w:cs="宋体"/>
          <w:b/>
          <w:bCs/>
          <w:szCs w:val="21"/>
        </w:rPr>
      </w:pPr>
      <w:bookmarkStart w:id="205" w:name="_Toc989093"/>
      <w:r>
        <w:rPr>
          <w:rFonts w:ascii="宋体" w:eastAsia="宋体" w:hAnsi="宋体" w:cs="宋体"/>
          <w:b/>
          <w:bCs/>
          <w:szCs w:val="21"/>
        </w:rPr>
        <w:t>（2） 离职后福利的会计处理方法</w:t>
      </w:r>
      <w:bookmarkEnd w:id="205"/>
    </w:p>
    <w:p w:rsidR="008D4B2E" w:rsidRPr="002B59B9" w:rsidRDefault="008D4B2E" w:rsidP="00B818D2">
      <w:pPr>
        <w:pStyle w:val="a3"/>
        <w:spacing w:before="0" w:beforeAutospacing="0" w:after="0" w:afterAutospacing="0"/>
        <w:ind w:firstLine="400"/>
        <w:jc w:val="both"/>
        <w:divId w:val="755595667"/>
        <w:rPr>
          <w:rFonts w:cs="Times New Roman"/>
          <w:sz w:val="18"/>
          <w:szCs w:val="18"/>
        </w:rPr>
      </w:pPr>
      <w:r w:rsidRPr="002B59B9">
        <w:rPr>
          <w:rFonts w:cs="Times New Roman" w:hint="eastAsia"/>
          <w:sz w:val="18"/>
          <w:szCs w:val="18"/>
        </w:rPr>
        <w:t>离职后福利主要包括基本养老保险、失业保险以及年金等。离职后福利计划为设定提存计划。采用设定提存计划的，相应的应缴存金额于发生时计入相关资产成本或当期损益。</w:t>
      </w:r>
    </w:p>
    <w:p w:rsidR="00BA0365" w:rsidRDefault="008D4B2E" w:rsidP="00B818D2">
      <w:pPr>
        <w:keepNext/>
        <w:keepLines/>
        <w:spacing w:before="300" w:after="300"/>
        <w:outlineLvl w:val="3"/>
        <w:rPr>
          <w:rFonts w:ascii="宋体" w:eastAsia="宋体" w:hAnsi="宋体" w:cs="宋体"/>
          <w:b/>
          <w:bCs/>
          <w:szCs w:val="21"/>
        </w:rPr>
      </w:pPr>
      <w:bookmarkStart w:id="206" w:name="_Toc989094"/>
      <w:r>
        <w:rPr>
          <w:rFonts w:ascii="宋体" w:eastAsia="宋体" w:hAnsi="宋体" w:cs="宋体"/>
          <w:b/>
          <w:bCs/>
          <w:szCs w:val="21"/>
        </w:rPr>
        <w:t>（3） 辞退福利的会计处理方法</w:t>
      </w:r>
      <w:bookmarkEnd w:id="206"/>
    </w:p>
    <w:p w:rsidR="008D4B2E" w:rsidRPr="007E0ED4" w:rsidRDefault="008D4B2E" w:rsidP="00B818D2">
      <w:pPr>
        <w:pStyle w:val="a3"/>
        <w:spacing w:before="0" w:beforeAutospacing="0" w:after="0" w:afterAutospacing="0"/>
        <w:ind w:firstLine="400"/>
        <w:jc w:val="both"/>
        <w:divId w:val="821697364"/>
        <w:rPr>
          <w:rFonts w:cs="Times New Roman"/>
          <w:sz w:val="18"/>
          <w:szCs w:val="18"/>
        </w:rPr>
      </w:pPr>
      <w:r w:rsidRPr="002B59B9">
        <w:rPr>
          <w:rFonts w:cs="Times New Roman" w:hint="eastAsia"/>
          <w:sz w:val="18"/>
          <w:szCs w:val="18"/>
        </w:rPr>
        <w:t>在职工劳动合同到期之前解除与职工的劳动关系，或为鼓励职工自愿接受裁减而提出给予补偿的建议，在本公司不能单方面撤回因解除劳动关系计划或裁减建议所提供的辞退福利时，和本公司确认与涉及支付辞退福利的重组相关的成本两者</w:t>
      </w:r>
      <w:proofErr w:type="gramStart"/>
      <w:r w:rsidRPr="002B59B9">
        <w:rPr>
          <w:rFonts w:cs="Times New Roman" w:hint="eastAsia"/>
          <w:sz w:val="18"/>
          <w:szCs w:val="18"/>
        </w:rPr>
        <w:t>孰</w:t>
      </w:r>
      <w:proofErr w:type="gramEnd"/>
      <w:r w:rsidRPr="002B59B9">
        <w:rPr>
          <w:rFonts w:cs="Times New Roman" w:hint="eastAsia"/>
          <w:sz w:val="18"/>
          <w:szCs w:val="18"/>
        </w:rPr>
        <w:t>早日，确认辞退福利产生的职工薪</w:t>
      </w:r>
      <w:proofErr w:type="gramStart"/>
      <w:r w:rsidRPr="002B59B9">
        <w:rPr>
          <w:rFonts w:cs="Times New Roman" w:hint="eastAsia"/>
          <w:sz w:val="18"/>
          <w:szCs w:val="18"/>
        </w:rPr>
        <w:t>酬</w:t>
      </w:r>
      <w:proofErr w:type="gramEnd"/>
      <w:r w:rsidRPr="002B59B9">
        <w:rPr>
          <w:rFonts w:cs="Times New Roman" w:hint="eastAsia"/>
          <w:sz w:val="18"/>
          <w:szCs w:val="18"/>
        </w:rPr>
        <w:t>负债，并计入当期损益。但辞退福利预期在年度报告期结束后十二个月不能完全支付的，按照其他长期职工薪</w:t>
      </w:r>
      <w:proofErr w:type="gramStart"/>
      <w:r w:rsidRPr="002B59B9">
        <w:rPr>
          <w:rFonts w:cs="Times New Roman" w:hint="eastAsia"/>
          <w:sz w:val="18"/>
          <w:szCs w:val="18"/>
        </w:rPr>
        <w:t>酬</w:t>
      </w:r>
      <w:proofErr w:type="gramEnd"/>
      <w:r w:rsidRPr="002B59B9">
        <w:rPr>
          <w:rFonts w:cs="Times New Roman" w:hint="eastAsia"/>
          <w:sz w:val="18"/>
          <w:szCs w:val="18"/>
        </w:rPr>
        <w:t>处理。</w:t>
      </w:r>
    </w:p>
    <w:p w:rsidR="00BA0365" w:rsidRDefault="008D4B2E" w:rsidP="00B818D2">
      <w:pPr>
        <w:keepNext/>
        <w:keepLines/>
        <w:spacing w:before="300" w:after="300"/>
        <w:outlineLvl w:val="3"/>
        <w:rPr>
          <w:rFonts w:ascii="宋体" w:eastAsia="宋体" w:hAnsi="宋体" w:cs="宋体"/>
          <w:b/>
          <w:bCs/>
          <w:szCs w:val="21"/>
        </w:rPr>
      </w:pPr>
      <w:bookmarkStart w:id="207" w:name="_Toc989095"/>
      <w:r>
        <w:rPr>
          <w:rFonts w:ascii="宋体" w:eastAsia="宋体" w:hAnsi="宋体" w:cs="宋体"/>
          <w:b/>
          <w:bCs/>
          <w:szCs w:val="21"/>
        </w:rPr>
        <w:t>（4） 其他长期职工福利的会计处理方法</w:t>
      </w:r>
      <w:bookmarkEnd w:id="207"/>
    </w:p>
    <w:p w:rsidR="008D4B2E" w:rsidRPr="002B59B9" w:rsidRDefault="008D4B2E" w:rsidP="00B818D2">
      <w:pPr>
        <w:pStyle w:val="a3"/>
        <w:spacing w:before="0" w:beforeAutospacing="0" w:after="0" w:afterAutospacing="0"/>
        <w:ind w:firstLine="400"/>
        <w:jc w:val="both"/>
        <w:divId w:val="1796370540"/>
        <w:rPr>
          <w:rFonts w:cs="Times New Roman"/>
          <w:sz w:val="18"/>
          <w:szCs w:val="18"/>
        </w:rPr>
      </w:pPr>
      <w:r w:rsidRPr="002B59B9">
        <w:rPr>
          <w:rFonts w:cs="Times New Roman" w:hint="eastAsia"/>
          <w:sz w:val="18"/>
          <w:szCs w:val="18"/>
        </w:rPr>
        <w:t>职工内部退休计划采用与上述辞退福利相同的原则处理。本公司将</w:t>
      </w:r>
      <w:proofErr w:type="gramStart"/>
      <w:r w:rsidRPr="002B59B9">
        <w:rPr>
          <w:rFonts w:cs="Times New Roman" w:hint="eastAsia"/>
          <w:sz w:val="18"/>
          <w:szCs w:val="18"/>
        </w:rPr>
        <w:t>自职工</w:t>
      </w:r>
      <w:proofErr w:type="gramEnd"/>
      <w:r w:rsidRPr="002B59B9">
        <w:rPr>
          <w:rFonts w:cs="Times New Roman" w:hint="eastAsia"/>
          <w:sz w:val="18"/>
          <w:szCs w:val="18"/>
        </w:rPr>
        <w:t>停止提供服务日至正常退休日的期间</w:t>
      </w:r>
      <w:proofErr w:type="gramStart"/>
      <w:r w:rsidRPr="002B59B9">
        <w:rPr>
          <w:rFonts w:cs="Times New Roman" w:hint="eastAsia"/>
          <w:sz w:val="18"/>
          <w:szCs w:val="18"/>
        </w:rPr>
        <w:t>拟支付</w:t>
      </w:r>
      <w:proofErr w:type="gramEnd"/>
      <w:r w:rsidRPr="002B59B9">
        <w:rPr>
          <w:rFonts w:cs="Times New Roman" w:hint="eastAsia"/>
          <w:sz w:val="18"/>
          <w:szCs w:val="18"/>
        </w:rPr>
        <w:t>的内退人员工资和缴纳的社会保险费等，在符合预计负债确认条件时，计入当期损益（辞退福利）。</w:t>
      </w:r>
    </w:p>
    <w:p w:rsidR="008D4B2E" w:rsidRPr="002B59B9" w:rsidRDefault="008D4B2E" w:rsidP="00B818D2">
      <w:pPr>
        <w:pStyle w:val="a3"/>
        <w:spacing w:before="0" w:beforeAutospacing="0" w:after="0" w:afterAutospacing="0"/>
        <w:ind w:firstLine="400"/>
        <w:jc w:val="both"/>
        <w:divId w:val="1796370540"/>
        <w:rPr>
          <w:rFonts w:cs="Times New Roman"/>
          <w:sz w:val="18"/>
          <w:szCs w:val="18"/>
        </w:rPr>
      </w:pPr>
      <w:r w:rsidRPr="002B59B9">
        <w:rPr>
          <w:rFonts w:cs="Times New Roman" w:hint="eastAsia"/>
          <w:sz w:val="18"/>
          <w:szCs w:val="18"/>
        </w:rPr>
        <w:t>本公司向职工提供的其他长期职工福利，符合设定提存计划的，按照设定提存计划进行会计处理，除此之外按照设定受益计划进行会计处理。</w:t>
      </w:r>
    </w:p>
    <w:p w:rsidR="00BA0365" w:rsidRDefault="008D4B2E" w:rsidP="00B818D2">
      <w:pPr>
        <w:pStyle w:val="3"/>
        <w:spacing w:line="240" w:lineRule="auto"/>
        <w:jc w:val="left"/>
        <w:rPr>
          <w:rFonts w:ascii="宋体" w:hAnsi="宋体" w:cs="宋体"/>
          <w:b/>
          <w:bCs/>
        </w:rPr>
      </w:pPr>
      <w:bookmarkStart w:id="208" w:name="_Toc989096"/>
      <w:r>
        <w:rPr>
          <w:rFonts w:ascii="宋体" w:hAnsi="宋体" w:cs="宋体"/>
          <w:b/>
          <w:bCs/>
        </w:rPr>
        <w:t>31、预计负债</w:t>
      </w:r>
      <w:bookmarkEnd w:id="208"/>
    </w:p>
    <w:p w:rsidR="008D4B2E" w:rsidRPr="002B59B9" w:rsidRDefault="008D4B2E" w:rsidP="00B818D2">
      <w:pPr>
        <w:pStyle w:val="a3"/>
        <w:spacing w:before="0" w:beforeAutospacing="0" w:after="0" w:afterAutospacing="0"/>
        <w:ind w:firstLine="400"/>
        <w:divId w:val="443574584"/>
        <w:rPr>
          <w:rFonts w:cs="Times New Roman"/>
          <w:sz w:val="18"/>
          <w:szCs w:val="18"/>
        </w:rPr>
      </w:pPr>
      <w:r w:rsidRPr="002B59B9">
        <w:rPr>
          <w:rFonts w:cs="Times New Roman" w:hint="eastAsia"/>
          <w:sz w:val="18"/>
          <w:szCs w:val="18"/>
        </w:rPr>
        <w:t>当与或有事项相关的义务同时符合以下条件，确认为预计负债：（</w:t>
      </w:r>
      <w:r w:rsidRPr="002B59B9">
        <w:rPr>
          <w:rFonts w:cs="Times New Roman"/>
          <w:sz w:val="18"/>
          <w:szCs w:val="18"/>
        </w:rPr>
        <w:t>1</w:t>
      </w:r>
      <w:r w:rsidRPr="002B59B9">
        <w:rPr>
          <w:rFonts w:cs="Times New Roman" w:hint="eastAsia"/>
          <w:sz w:val="18"/>
          <w:szCs w:val="18"/>
        </w:rPr>
        <w:t>）该义务是本公司承担的现时义务；（</w:t>
      </w:r>
      <w:r w:rsidRPr="002B59B9">
        <w:rPr>
          <w:rFonts w:cs="Times New Roman"/>
          <w:sz w:val="18"/>
          <w:szCs w:val="18"/>
        </w:rPr>
        <w:t>2</w:t>
      </w:r>
      <w:r w:rsidRPr="002B59B9">
        <w:rPr>
          <w:rFonts w:cs="Times New Roman" w:hint="eastAsia"/>
          <w:sz w:val="18"/>
          <w:szCs w:val="18"/>
        </w:rPr>
        <w:t>）履行该义务很可能导致经济利益流出；（</w:t>
      </w:r>
      <w:r w:rsidRPr="002B59B9">
        <w:rPr>
          <w:rFonts w:cs="Times New Roman"/>
          <w:sz w:val="18"/>
          <w:szCs w:val="18"/>
        </w:rPr>
        <w:t>3</w:t>
      </w:r>
      <w:r w:rsidRPr="002B59B9">
        <w:rPr>
          <w:rFonts w:cs="Times New Roman" w:hint="eastAsia"/>
          <w:sz w:val="18"/>
          <w:szCs w:val="18"/>
        </w:rPr>
        <w:t>）该义务的金额能够可靠地计量。</w:t>
      </w:r>
    </w:p>
    <w:p w:rsidR="008D4B2E" w:rsidRPr="002B59B9" w:rsidRDefault="008D4B2E" w:rsidP="00B818D2">
      <w:pPr>
        <w:pStyle w:val="a3"/>
        <w:spacing w:before="0" w:beforeAutospacing="0" w:after="0" w:afterAutospacing="0"/>
        <w:ind w:firstLine="400"/>
        <w:divId w:val="443574584"/>
        <w:rPr>
          <w:rFonts w:cs="Times New Roman"/>
          <w:sz w:val="18"/>
          <w:szCs w:val="18"/>
        </w:rPr>
      </w:pPr>
      <w:r w:rsidRPr="002B59B9">
        <w:rPr>
          <w:rFonts w:cs="Times New Roman" w:hint="eastAsia"/>
          <w:sz w:val="18"/>
          <w:szCs w:val="18"/>
        </w:rPr>
        <w:t>在资产负债表日，考虑与或有事项有关的风险、不确定性和货币时间价值等因素，按照履行相关现时义务所需支出的最佳估计数对预计负债进行计量。</w:t>
      </w:r>
    </w:p>
    <w:p w:rsidR="008D4B2E" w:rsidRPr="002B59B9" w:rsidRDefault="008D4B2E" w:rsidP="00B818D2">
      <w:pPr>
        <w:pStyle w:val="a3"/>
        <w:spacing w:before="0" w:beforeAutospacing="0" w:after="0" w:afterAutospacing="0"/>
        <w:ind w:firstLine="400"/>
        <w:divId w:val="443574584"/>
        <w:rPr>
          <w:rFonts w:cs="Times New Roman"/>
          <w:sz w:val="18"/>
          <w:szCs w:val="18"/>
        </w:rPr>
      </w:pPr>
      <w:r w:rsidRPr="002B59B9">
        <w:rPr>
          <w:rFonts w:cs="Times New Roman" w:hint="eastAsia"/>
          <w:sz w:val="18"/>
          <w:szCs w:val="18"/>
        </w:rPr>
        <w:t>如果清偿预计负债所需支出全部或部分预期由第三方补偿的，补偿金额在基本确定能够收到时，作为资产单独确认，且确认的补偿金额不超过预计负债的账面价值。</w:t>
      </w:r>
    </w:p>
    <w:p w:rsidR="008D4B2E" w:rsidRPr="002B59B9" w:rsidRDefault="008D4B2E" w:rsidP="00B818D2">
      <w:pPr>
        <w:pStyle w:val="a3"/>
        <w:spacing w:before="0" w:beforeAutospacing="0" w:after="0" w:afterAutospacing="0"/>
        <w:ind w:firstLine="400"/>
        <w:divId w:val="443574584"/>
        <w:rPr>
          <w:rFonts w:cs="Times New Roman"/>
          <w:sz w:val="18"/>
          <w:szCs w:val="18"/>
        </w:rPr>
      </w:pPr>
      <w:r w:rsidRPr="002B59B9">
        <w:rPr>
          <w:rFonts w:cs="Times New Roman" w:hint="eastAsia"/>
          <w:sz w:val="18"/>
          <w:szCs w:val="18"/>
        </w:rPr>
        <w:t>（</w:t>
      </w:r>
      <w:r w:rsidRPr="002B59B9">
        <w:rPr>
          <w:rFonts w:cs="Times New Roman"/>
          <w:sz w:val="18"/>
          <w:szCs w:val="18"/>
        </w:rPr>
        <w:t>1</w:t>
      </w:r>
      <w:r w:rsidRPr="002B59B9">
        <w:rPr>
          <w:rFonts w:cs="Times New Roman" w:hint="eastAsia"/>
          <w:sz w:val="18"/>
          <w:szCs w:val="18"/>
        </w:rPr>
        <w:t>）亏损合同</w:t>
      </w:r>
    </w:p>
    <w:p w:rsidR="008D4B2E" w:rsidRPr="002B59B9" w:rsidRDefault="008D4B2E" w:rsidP="00B818D2">
      <w:pPr>
        <w:pStyle w:val="a3"/>
        <w:spacing w:before="0" w:beforeAutospacing="0" w:after="0" w:afterAutospacing="0"/>
        <w:ind w:firstLine="400"/>
        <w:divId w:val="443574584"/>
        <w:rPr>
          <w:rFonts w:cs="Times New Roman"/>
          <w:sz w:val="18"/>
          <w:szCs w:val="18"/>
        </w:rPr>
      </w:pPr>
      <w:r w:rsidRPr="002B59B9">
        <w:rPr>
          <w:rFonts w:cs="Times New Roman" w:hint="eastAsia"/>
          <w:sz w:val="18"/>
          <w:szCs w:val="18"/>
        </w:rPr>
        <w:t>亏损合同是履行合同义务不可避免会发生的成本超过预期经济利益的合同。待执行合同变成亏损合同，且</w:t>
      </w:r>
      <w:proofErr w:type="gramStart"/>
      <w:r w:rsidRPr="002B59B9">
        <w:rPr>
          <w:rFonts w:cs="Times New Roman" w:hint="eastAsia"/>
          <w:sz w:val="18"/>
          <w:szCs w:val="18"/>
        </w:rPr>
        <w:t>该亏损</w:t>
      </w:r>
      <w:proofErr w:type="gramEnd"/>
      <w:r w:rsidRPr="002B59B9">
        <w:rPr>
          <w:rFonts w:cs="Times New Roman" w:hint="eastAsia"/>
          <w:sz w:val="18"/>
          <w:szCs w:val="18"/>
        </w:rPr>
        <w:t>合同产生的义务满足上述预计负债的确认条件的，将合同预计损失超过合同标的资产已确认的减值损失（如有）的部分，确认为预计负债。</w:t>
      </w:r>
    </w:p>
    <w:p w:rsidR="008D4B2E" w:rsidRPr="002B59B9" w:rsidRDefault="008D4B2E" w:rsidP="00B818D2">
      <w:pPr>
        <w:pStyle w:val="a3"/>
        <w:spacing w:before="0" w:beforeAutospacing="0" w:after="0" w:afterAutospacing="0"/>
        <w:ind w:firstLine="400"/>
        <w:divId w:val="443574584"/>
        <w:rPr>
          <w:rFonts w:cs="Times New Roman"/>
          <w:sz w:val="18"/>
          <w:szCs w:val="18"/>
        </w:rPr>
      </w:pPr>
      <w:r w:rsidRPr="002B59B9">
        <w:rPr>
          <w:rFonts w:cs="Times New Roman" w:hint="eastAsia"/>
          <w:sz w:val="18"/>
          <w:szCs w:val="18"/>
        </w:rPr>
        <w:lastRenderedPageBreak/>
        <w:t>（</w:t>
      </w:r>
      <w:r w:rsidRPr="002B59B9">
        <w:rPr>
          <w:rFonts w:cs="Times New Roman"/>
          <w:sz w:val="18"/>
          <w:szCs w:val="18"/>
        </w:rPr>
        <w:t>2</w:t>
      </w:r>
      <w:r w:rsidRPr="002B59B9">
        <w:rPr>
          <w:rFonts w:cs="Times New Roman" w:hint="eastAsia"/>
          <w:sz w:val="18"/>
          <w:szCs w:val="18"/>
        </w:rPr>
        <w:t>）重组义务</w:t>
      </w:r>
    </w:p>
    <w:p w:rsidR="008D4B2E" w:rsidRDefault="008D4B2E" w:rsidP="00B818D2">
      <w:pPr>
        <w:pStyle w:val="a3"/>
        <w:spacing w:before="0" w:beforeAutospacing="0" w:after="0" w:afterAutospacing="0"/>
        <w:jc w:val="both"/>
        <w:divId w:val="443574584"/>
        <w:rPr>
          <w:rFonts w:ascii="Arial" w:hAnsi="Arial" w:cs="Arial"/>
          <w:sz w:val="18"/>
          <w:szCs w:val="18"/>
        </w:rPr>
      </w:pPr>
      <w:r w:rsidRPr="002B59B9">
        <w:rPr>
          <w:rFonts w:cs="Times New Roman" w:hint="eastAsia"/>
          <w:sz w:val="18"/>
          <w:szCs w:val="18"/>
        </w:rPr>
        <w:t>对于有详细、正式并且已经对外公告的重组计划，在满足前述预计负债的确认条件的情况下，按照与重组有关的直接支出确定预计负债金额。对于出售部分业务的重组义务，只有在本公司承诺出售部分业务（即签订了约束性出售协议时），才确认与重组相关的义务。</w:t>
      </w:r>
    </w:p>
    <w:p w:rsidR="00BA0365" w:rsidRDefault="008D4B2E" w:rsidP="00B818D2">
      <w:pPr>
        <w:pStyle w:val="3"/>
        <w:spacing w:line="240" w:lineRule="auto"/>
        <w:jc w:val="left"/>
        <w:rPr>
          <w:rFonts w:ascii="宋体" w:hAnsi="宋体" w:cs="宋体"/>
          <w:b/>
          <w:bCs/>
        </w:rPr>
      </w:pPr>
      <w:bookmarkStart w:id="209" w:name="_Toc989097"/>
      <w:r>
        <w:rPr>
          <w:rFonts w:ascii="宋体" w:hAnsi="宋体" w:cs="宋体"/>
          <w:b/>
          <w:bCs/>
        </w:rPr>
        <w:t>32、股份支付</w:t>
      </w:r>
      <w:bookmarkEnd w:id="209"/>
    </w:p>
    <w:p w:rsidR="008D4B2E" w:rsidRPr="002B59B9" w:rsidRDefault="008D4B2E" w:rsidP="00B818D2">
      <w:pPr>
        <w:pStyle w:val="a3"/>
        <w:spacing w:before="0" w:beforeAutospacing="0" w:after="0" w:afterAutospacing="0"/>
        <w:ind w:firstLine="400"/>
        <w:divId w:val="1137796839"/>
        <w:rPr>
          <w:rFonts w:cs="Times New Roman"/>
          <w:sz w:val="18"/>
          <w:szCs w:val="18"/>
        </w:rPr>
      </w:pPr>
      <w:r w:rsidRPr="002B59B9">
        <w:rPr>
          <w:rFonts w:cs="Times New Roman" w:hint="eastAsia"/>
          <w:sz w:val="18"/>
          <w:szCs w:val="18"/>
        </w:rPr>
        <w:t>（</w:t>
      </w:r>
      <w:r w:rsidRPr="002B59B9">
        <w:rPr>
          <w:rFonts w:cs="Times New Roman"/>
          <w:sz w:val="18"/>
          <w:szCs w:val="18"/>
        </w:rPr>
        <w:t>1</w:t>
      </w:r>
      <w:r w:rsidRPr="002B59B9">
        <w:rPr>
          <w:rFonts w:cs="Times New Roman" w:hint="eastAsia"/>
          <w:sz w:val="18"/>
          <w:szCs w:val="18"/>
        </w:rPr>
        <w:t>）股份支付的会计处理方法</w:t>
      </w:r>
    </w:p>
    <w:p w:rsidR="008D4B2E" w:rsidRPr="002B59B9" w:rsidRDefault="008D4B2E" w:rsidP="00B818D2">
      <w:pPr>
        <w:pStyle w:val="a3"/>
        <w:spacing w:before="0" w:beforeAutospacing="0" w:after="0" w:afterAutospacing="0"/>
        <w:ind w:firstLine="400"/>
        <w:divId w:val="1137796839"/>
        <w:rPr>
          <w:rFonts w:cs="Times New Roman"/>
          <w:sz w:val="18"/>
          <w:szCs w:val="18"/>
        </w:rPr>
      </w:pPr>
      <w:r w:rsidRPr="002B59B9">
        <w:rPr>
          <w:rFonts w:cs="Times New Roman" w:hint="eastAsia"/>
          <w:sz w:val="18"/>
          <w:szCs w:val="18"/>
        </w:rPr>
        <w:t>股份支付是为了获取职工或其他方提供服务而授予权益工具或者承担以权益工具为基础确定的负债的交易。股份支付分为以权益结算的股份支付和以现金结算的股份支付。</w:t>
      </w:r>
    </w:p>
    <w:p w:rsidR="008D4B2E" w:rsidRPr="002B59B9" w:rsidRDefault="008D4B2E" w:rsidP="00B818D2">
      <w:pPr>
        <w:pStyle w:val="a3"/>
        <w:spacing w:before="0" w:beforeAutospacing="0" w:after="0" w:afterAutospacing="0"/>
        <w:ind w:firstLine="400"/>
        <w:divId w:val="1137796839"/>
        <w:rPr>
          <w:rFonts w:cs="Times New Roman"/>
          <w:sz w:val="18"/>
          <w:szCs w:val="18"/>
        </w:rPr>
      </w:pPr>
      <w:r w:rsidRPr="002B59B9">
        <w:rPr>
          <w:rFonts w:cs="Times New Roman" w:hint="eastAsia"/>
          <w:sz w:val="18"/>
          <w:szCs w:val="18"/>
        </w:rPr>
        <w:t>①</w:t>
      </w:r>
      <w:r w:rsidRPr="002B59B9">
        <w:rPr>
          <w:rFonts w:cs="Times New Roman"/>
          <w:sz w:val="18"/>
          <w:szCs w:val="18"/>
        </w:rPr>
        <w:t> </w:t>
      </w:r>
      <w:r w:rsidRPr="002B59B9">
        <w:rPr>
          <w:rFonts w:cs="Times New Roman" w:hint="eastAsia"/>
          <w:sz w:val="18"/>
          <w:szCs w:val="18"/>
        </w:rPr>
        <w:t>以权益结算的股份支付</w:t>
      </w:r>
    </w:p>
    <w:p w:rsidR="008D4B2E" w:rsidRPr="002B59B9" w:rsidRDefault="008D4B2E" w:rsidP="00B818D2">
      <w:pPr>
        <w:pStyle w:val="a3"/>
        <w:spacing w:before="0" w:beforeAutospacing="0" w:after="0" w:afterAutospacing="0"/>
        <w:ind w:firstLine="400"/>
        <w:divId w:val="1137796839"/>
        <w:rPr>
          <w:rFonts w:cs="Times New Roman"/>
          <w:sz w:val="18"/>
          <w:szCs w:val="18"/>
        </w:rPr>
      </w:pPr>
      <w:r w:rsidRPr="002B59B9">
        <w:rPr>
          <w:rFonts w:cs="Times New Roman" w:hint="eastAsia"/>
          <w:sz w:val="18"/>
          <w:szCs w:val="18"/>
        </w:rPr>
        <w:t>用以换取职工提供的服务的权益结算的股份支付，以授予职工权益工具在授予日的公允价值计量。该公允价值的金额在完成等待期内的服务或达到规定业绩条件才可行权的情况下，在等待期内以对可行权权益工具数量的最佳估计为基础，按直线法计算计入相关成本或费用，相应增加资本公积。</w:t>
      </w:r>
    </w:p>
    <w:p w:rsidR="008D4B2E" w:rsidRPr="002B59B9" w:rsidRDefault="008D4B2E" w:rsidP="00B818D2">
      <w:pPr>
        <w:pStyle w:val="a3"/>
        <w:spacing w:before="0" w:beforeAutospacing="0" w:after="0" w:afterAutospacing="0"/>
        <w:ind w:firstLine="400"/>
        <w:divId w:val="1137796839"/>
        <w:rPr>
          <w:rFonts w:cs="Times New Roman"/>
          <w:sz w:val="18"/>
          <w:szCs w:val="18"/>
        </w:rPr>
      </w:pPr>
      <w:r w:rsidRPr="002B59B9">
        <w:rPr>
          <w:rFonts w:cs="Times New Roman" w:hint="eastAsia"/>
          <w:sz w:val="18"/>
          <w:szCs w:val="18"/>
        </w:rPr>
        <w:t>在等待期内每个资产负债表日，本公司根据最新取得的可行</w:t>
      </w:r>
      <w:proofErr w:type="gramStart"/>
      <w:r w:rsidRPr="002B59B9">
        <w:rPr>
          <w:rFonts w:cs="Times New Roman" w:hint="eastAsia"/>
          <w:sz w:val="18"/>
          <w:szCs w:val="18"/>
        </w:rPr>
        <w:t>权职工</w:t>
      </w:r>
      <w:proofErr w:type="gramEnd"/>
      <w:r w:rsidRPr="002B59B9">
        <w:rPr>
          <w:rFonts w:cs="Times New Roman" w:hint="eastAsia"/>
          <w:sz w:val="18"/>
          <w:szCs w:val="18"/>
        </w:rPr>
        <w:t>人数变动等后续信息做出最佳估计，修正预计可行权的权益工具数量。上述估计的影响计入当期相关成本或费用，并相应调整资本公积。</w:t>
      </w:r>
    </w:p>
    <w:p w:rsidR="008D4B2E" w:rsidRPr="002B59B9" w:rsidRDefault="008D4B2E" w:rsidP="00B818D2">
      <w:pPr>
        <w:pStyle w:val="a3"/>
        <w:spacing w:before="0" w:beforeAutospacing="0" w:after="0" w:afterAutospacing="0"/>
        <w:ind w:firstLine="400"/>
        <w:divId w:val="1137796839"/>
        <w:rPr>
          <w:rFonts w:cs="Times New Roman"/>
          <w:sz w:val="18"/>
          <w:szCs w:val="18"/>
        </w:rPr>
      </w:pPr>
      <w:r w:rsidRPr="002B59B9">
        <w:rPr>
          <w:rFonts w:cs="Times New Roman" w:hint="eastAsia"/>
          <w:sz w:val="18"/>
          <w:szCs w:val="18"/>
        </w:rPr>
        <w:t>用以换取其他方服务的权益结算的股份支付，如果其他方服务的公允价值能够可靠计量，按照其他方服务在取得日的公允价值计量，如果其他方服务的公允价值不能可靠计量，但权益工具的公允价值能够可靠计量的，按照权益工具在服务取得日的公允价值计量，计入相关成本或费用，相应增加股东权益。</w:t>
      </w:r>
    </w:p>
    <w:p w:rsidR="008D4B2E" w:rsidRPr="002B59B9" w:rsidRDefault="008D4B2E" w:rsidP="00B818D2">
      <w:pPr>
        <w:pStyle w:val="a3"/>
        <w:spacing w:before="0" w:beforeAutospacing="0" w:after="0" w:afterAutospacing="0"/>
        <w:ind w:firstLine="400"/>
        <w:divId w:val="1137796839"/>
        <w:rPr>
          <w:rFonts w:cs="Times New Roman"/>
          <w:sz w:val="18"/>
          <w:szCs w:val="18"/>
        </w:rPr>
      </w:pPr>
      <w:r w:rsidRPr="002B59B9">
        <w:rPr>
          <w:rFonts w:cs="Times New Roman" w:hint="eastAsia"/>
          <w:sz w:val="18"/>
          <w:szCs w:val="18"/>
        </w:rPr>
        <w:t>②</w:t>
      </w:r>
      <w:r w:rsidRPr="002B59B9">
        <w:rPr>
          <w:rFonts w:cs="Times New Roman"/>
          <w:sz w:val="18"/>
          <w:szCs w:val="18"/>
        </w:rPr>
        <w:t> </w:t>
      </w:r>
      <w:r w:rsidRPr="002B59B9">
        <w:rPr>
          <w:rFonts w:cs="Times New Roman" w:hint="eastAsia"/>
          <w:sz w:val="18"/>
          <w:szCs w:val="18"/>
        </w:rPr>
        <w:t>以现金结算的股份支付</w:t>
      </w:r>
    </w:p>
    <w:p w:rsidR="008D4B2E" w:rsidRPr="002B59B9" w:rsidRDefault="008D4B2E" w:rsidP="00B818D2">
      <w:pPr>
        <w:pStyle w:val="a3"/>
        <w:spacing w:before="0" w:beforeAutospacing="0" w:after="0" w:afterAutospacing="0"/>
        <w:ind w:firstLine="400"/>
        <w:divId w:val="1137796839"/>
        <w:rPr>
          <w:rFonts w:cs="Times New Roman"/>
          <w:sz w:val="18"/>
          <w:szCs w:val="18"/>
        </w:rPr>
      </w:pPr>
      <w:r w:rsidRPr="002B59B9">
        <w:rPr>
          <w:rFonts w:cs="Times New Roman" w:hint="eastAsia"/>
          <w:sz w:val="18"/>
          <w:szCs w:val="18"/>
        </w:rPr>
        <w:t>以现金结算的股份支付，按照本公司承担的以股份或其他权益工具为基础确定的负债的公允价值计量。如授予后立即可行权，在授予日计入相关成本或费用，相应增加负债；如须完成等待期内的服务或达到规定业绩条件以后才可行权，在等待期的每个资产负债表日，以对可行</w:t>
      </w:r>
      <w:proofErr w:type="gramStart"/>
      <w:r w:rsidRPr="002B59B9">
        <w:rPr>
          <w:rFonts w:cs="Times New Roman" w:hint="eastAsia"/>
          <w:sz w:val="18"/>
          <w:szCs w:val="18"/>
        </w:rPr>
        <w:t>权情况</w:t>
      </w:r>
      <w:proofErr w:type="gramEnd"/>
      <w:r w:rsidRPr="002B59B9">
        <w:rPr>
          <w:rFonts w:cs="Times New Roman" w:hint="eastAsia"/>
          <w:sz w:val="18"/>
          <w:szCs w:val="18"/>
        </w:rPr>
        <w:t>的最佳估计为基础，按照本公司承担负债的公允价值金额，将当期取得的服务计入成本或费用，相应增加负债。</w:t>
      </w:r>
    </w:p>
    <w:p w:rsidR="008D4B2E" w:rsidRPr="002B59B9" w:rsidRDefault="008D4B2E" w:rsidP="00B818D2">
      <w:pPr>
        <w:pStyle w:val="a3"/>
        <w:spacing w:before="0" w:beforeAutospacing="0" w:after="0" w:afterAutospacing="0"/>
        <w:ind w:firstLine="400"/>
        <w:divId w:val="1137796839"/>
        <w:rPr>
          <w:rFonts w:cs="Times New Roman"/>
          <w:sz w:val="18"/>
          <w:szCs w:val="18"/>
        </w:rPr>
      </w:pPr>
      <w:r w:rsidRPr="002B59B9">
        <w:rPr>
          <w:rFonts w:cs="Times New Roman" w:hint="eastAsia"/>
          <w:sz w:val="18"/>
          <w:szCs w:val="18"/>
        </w:rPr>
        <w:t>在相关负债结算前的每个资产负债表日以及结算日，对负债的公允价值重新计量，其变动计入当期损益。</w:t>
      </w:r>
    </w:p>
    <w:p w:rsidR="008D4B2E" w:rsidRPr="002B59B9" w:rsidRDefault="008D4B2E" w:rsidP="00B818D2">
      <w:pPr>
        <w:pStyle w:val="a3"/>
        <w:spacing w:before="0" w:beforeAutospacing="0" w:after="0" w:afterAutospacing="0"/>
        <w:ind w:firstLine="400"/>
        <w:divId w:val="1137796839"/>
        <w:rPr>
          <w:rFonts w:cs="Times New Roman"/>
          <w:sz w:val="18"/>
          <w:szCs w:val="18"/>
        </w:rPr>
      </w:pPr>
      <w:r w:rsidRPr="002B59B9">
        <w:rPr>
          <w:rFonts w:cs="Times New Roman" w:hint="eastAsia"/>
          <w:sz w:val="18"/>
          <w:szCs w:val="18"/>
        </w:rPr>
        <w:t>（</w:t>
      </w:r>
      <w:r w:rsidRPr="002B59B9">
        <w:rPr>
          <w:rFonts w:cs="Times New Roman"/>
          <w:sz w:val="18"/>
          <w:szCs w:val="18"/>
        </w:rPr>
        <w:t>2</w:t>
      </w:r>
      <w:r w:rsidRPr="002B59B9">
        <w:rPr>
          <w:rFonts w:cs="Times New Roman" w:hint="eastAsia"/>
          <w:sz w:val="18"/>
          <w:szCs w:val="18"/>
        </w:rPr>
        <w:t>）修改、终止股份支付计划的相关会计处理</w:t>
      </w:r>
    </w:p>
    <w:p w:rsidR="008D4B2E" w:rsidRPr="002B59B9" w:rsidRDefault="008D4B2E" w:rsidP="00B818D2">
      <w:pPr>
        <w:pStyle w:val="a3"/>
        <w:spacing w:before="0" w:beforeAutospacing="0" w:after="0" w:afterAutospacing="0"/>
        <w:ind w:firstLine="400"/>
        <w:divId w:val="1137796839"/>
        <w:rPr>
          <w:rFonts w:cs="Times New Roman"/>
          <w:sz w:val="18"/>
          <w:szCs w:val="18"/>
        </w:rPr>
      </w:pPr>
      <w:r w:rsidRPr="002B59B9">
        <w:rPr>
          <w:rFonts w:cs="Times New Roman" w:hint="eastAsia"/>
          <w:sz w:val="18"/>
          <w:szCs w:val="18"/>
        </w:rPr>
        <w:t>本公司对股份支付计划进行修改时，若修改增加了所授予权益工具的公允价值，按照权益工具公允价值的增加相应确认取得服务的增加。权益工具公允价值的增加是指修改前后的权益工具在修改日的公允价值之间的差额。若修改减少了股份支付公允价值总额或采用了其他不利于职工的方式，则仍继续对取得的服务进行会计处理，视同该变更从未发生，除非本公司取消了部分或全部已授予的权益工具。</w:t>
      </w:r>
    </w:p>
    <w:p w:rsidR="008D4B2E" w:rsidRPr="002B59B9" w:rsidRDefault="008D4B2E" w:rsidP="00B818D2">
      <w:pPr>
        <w:pStyle w:val="a3"/>
        <w:spacing w:before="0" w:beforeAutospacing="0" w:after="0" w:afterAutospacing="0"/>
        <w:ind w:firstLine="400"/>
        <w:divId w:val="1137796839"/>
        <w:rPr>
          <w:rFonts w:cs="Times New Roman"/>
          <w:sz w:val="18"/>
          <w:szCs w:val="18"/>
        </w:rPr>
      </w:pPr>
      <w:r w:rsidRPr="002B59B9">
        <w:rPr>
          <w:rFonts w:cs="Times New Roman" w:hint="eastAsia"/>
          <w:sz w:val="18"/>
          <w:szCs w:val="18"/>
        </w:rPr>
        <w:t>在等待期内，如果取消了授予的权益工具，本公司对取消所授予的权益性工具作为加速行权处理，将剩余等待期内应确认的金额立即计入当期损益，同时确认资本公积。职工或其他方能够选择满足非可行</w:t>
      </w:r>
      <w:proofErr w:type="gramStart"/>
      <w:r w:rsidRPr="002B59B9">
        <w:rPr>
          <w:rFonts w:cs="Times New Roman" w:hint="eastAsia"/>
          <w:sz w:val="18"/>
          <w:szCs w:val="18"/>
        </w:rPr>
        <w:t>权条件</w:t>
      </w:r>
      <w:proofErr w:type="gramEnd"/>
      <w:r w:rsidRPr="002B59B9">
        <w:rPr>
          <w:rFonts w:cs="Times New Roman" w:hint="eastAsia"/>
          <w:sz w:val="18"/>
          <w:szCs w:val="18"/>
        </w:rPr>
        <w:t>但在等待期内未满足的，本公司将其作为授予权益工具的取消处理。</w:t>
      </w:r>
    </w:p>
    <w:p w:rsidR="008D4B2E" w:rsidRPr="002B59B9" w:rsidRDefault="008D4B2E" w:rsidP="00B818D2">
      <w:pPr>
        <w:pStyle w:val="a3"/>
        <w:spacing w:before="0" w:beforeAutospacing="0" w:after="0" w:afterAutospacing="0"/>
        <w:ind w:firstLine="400"/>
        <w:divId w:val="1137796839"/>
        <w:rPr>
          <w:rFonts w:cs="Times New Roman"/>
          <w:sz w:val="18"/>
          <w:szCs w:val="18"/>
        </w:rPr>
      </w:pPr>
      <w:r w:rsidRPr="002B59B9">
        <w:rPr>
          <w:rFonts w:cs="Times New Roman" w:hint="eastAsia"/>
          <w:sz w:val="18"/>
          <w:szCs w:val="18"/>
        </w:rPr>
        <w:t>（</w:t>
      </w:r>
      <w:r w:rsidRPr="002B59B9">
        <w:rPr>
          <w:rFonts w:cs="Times New Roman"/>
          <w:sz w:val="18"/>
          <w:szCs w:val="18"/>
        </w:rPr>
        <w:t>3</w:t>
      </w:r>
      <w:r w:rsidRPr="002B59B9">
        <w:rPr>
          <w:rFonts w:cs="Times New Roman" w:hint="eastAsia"/>
          <w:sz w:val="18"/>
          <w:szCs w:val="18"/>
        </w:rPr>
        <w:t>）涉及本公司与本公司股东或实际控制人的股份支付交易的会计处理</w:t>
      </w:r>
    </w:p>
    <w:p w:rsidR="008D4B2E" w:rsidRPr="002B59B9" w:rsidRDefault="008D4B2E" w:rsidP="00B818D2">
      <w:pPr>
        <w:pStyle w:val="a3"/>
        <w:spacing w:before="0" w:beforeAutospacing="0" w:after="0" w:afterAutospacing="0"/>
        <w:ind w:firstLine="400"/>
        <w:divId w:val="1137796839"/>
        <w:rPr>
          <w:rFonts w:cs="Times New Roman"/>
          <w:sz w:val="18"/>
          <w:szCs w:val="18"/>
        </w:rPr>
      </w:pPr>
      <w:r w:rsidRPr="002B59B9">
        <w:rPr>
          <w:rFonts w:cs="Times New Roman" w:hint="eastAsia"/>
          <w:sz w:val="18"/>
          <w:szCs w:val="18"/>
        </w:rPr>
        <w:t>涉及本公司与本公司股东或实际控制人的股份支付交易，结算企业与接受服务企业中其一在本公司合并范围内，另一在本公司合并范围外的，在本公司合并财务报表中按照以下规定进行会计处理：</w:t>
      </w:r>
    </w:p>
    <w:p w:rsidR="008D4B2E" w:rsidRPr="002B59B9" w:rsidRDefault="008D4B2E" w:rsidP="00B818D2">
      <w:pPr>
        <w:pStyle w:val="a3"/>
        <w:spacing w:before="0" w:beforeAutospacing="0" w:after="0" w:afterAutospacing="0"/>
        <w:ind w:firstLine="400"/>
        <w:divId w:val="1137796839"/>
        <w:rPr>
          <w:rFonts w:cs="Times New Roman"/>
          <w:sz w:val="18"/>
          <w:szCs w:val="18"/>
        </w:rPr>
      </w:pPr>
      <w:r w:rsidRPr="002B59B9">
        <w:rPr>
          <w:rFonts w:cs="Times New Roman" w:hint="eastAsia"/>
          <w:sz w:val="18"/>
          <w:szCs w:val="18"/>
        </w:rPr>
        <w:t>①</w:t>
      </w:r>
      <w:r w:rsidRPr="002B59B9">
        <w:rPr>
          <w:rFonts w:cs="Times New Roman"/>
          <w:sz w:val="18"/>
          <w:szCs w:val="18"/>
        </w:rPr>
        <w:t> </w:t>
      </w:r>
      <w:r w:rsidRPr="002B59B9">
        <w:rPr>
          <w:rFonts w:cs="Times New Roman" w:hint="eastAsia"/>
          <w:sz w:val="18"/>
          <w:szCs w:val="18"/>
        </w:rPr>
        <w:t>结算企业以其本身权益工具结算的，将该股份支付交易作为权益结算的股份支付处理；除此之外，作为现金结算的股份支付处理。</w:t>
      </w:r>
    </w:p>
    <w:p w:rsidR="008D4B2E" w:rsidRPr="002B59B9" w:rsidRDefault="008D4B2E" w:rsidP="00B818D2">
      <w:pPr>
        <w:pStyle w:val="a3"/>
        <w:spacing w:before="0" w:beforeAutospacing="0" w:after="0" w:afterAutospacing="0"/>
        <w:ind w:firstLine="400"/>
        <w:divId w:val="1137796839"/>
        <w:rPr>
          <w:rFonts w:cs="Times New Roman"/>
          <w:sz w:val="18"/>
          <w:szCs w:val="18"/>
        </w:rPr>
      </w:pPr>
      <w:r w:rsidRPr="002B59B9">
        <w:rPr>
          <w:rFonts w:cs="Times New Roman" w:hint="eastAsia"/>
          <w:sz w:val="18"/>
          <w:szCs w:val="18"/>
        </w:rPr>
        <w:t>结算企业是接受服务企业的投资者的，按照授予日权益工具的公允价值或应承担负债的公允价值确认为对接受服务企业的长期股权投资，同时确认资本公积（其他资本公积）或负债。</w:t>
      </w:r>
    </w:p>
    <w:p w:rsidR="008D4B2E" w:rsidRPr="002B59B9" w:rsidRDefault="008D4B2E" w:rsidP="00B818D2">
      <w:pPr>
        <w:pStyle w:val="a3"/>
        <w:spacing w:before="0" w:beforeAutospacing="0" w:after="0" w:afterAutospacing="0"/>
        <w:ind w:firstLine="400"/>
        <w:divId w:val="1137796839"/>
        <w:rPr>
          <w:rFonts w:cs="Times New Roman"/>
          <w:sz w:val="18"/>
          <w:szCs w:val="18"/>
        </w:rPr>
      </w:pPr>
      <w:r w:rsidRPr="002B59B9">
        <w:rPr>
          <w:rFonts w:cs="Times New Roman" w:hint="eastAsia"/>
          <w:sz w:val="18"/>
          <w:szCs w:val="18"/>
        </w:rPr>
        <w:t>②</w:t>
      </w:r>
      <w:r w:rsidRPr="002B59B9">
        <w:rPr>
          <w:rFonts w:cs="Times New Roman"/>
          <w:sz w:val="18"/>
          <w:szCs w:val="18"/>
        </w:rPr>
        <w:t> </w:t>
      </w:r>
      <w:r w:rsidRPr="002B59B9">
        <w:rPr>
          <w:rFonts w:cs="Times New Roman" w:hint="eastAsia"/>
          <w:sz w:val="18"/>
          <w:szCs w:val="18"/>
        </w:rPr>
        <w:t>接受服务企业没有结算义务或授予本企业职工的是其本身权益工具的，将该股份支付交易作为权益结算的股份支付处理；接受服务企业具有结算义务且授予本企业职工的并非其本身权益工具的，将该股份支付交易作为现金结算的股份支付处理。</w:t>
      </w:r>
    </w:p>
    <w:p w:rsidR="008D4B2E" w:rsidRPr="002B59B9" w:rsidRDefault="008D4B2E" w:rsidP="00B818D2">
      <w:pPr>
        <w:pStyle w:val="a3"/>
        <w:spacing w:before="0" w:beforeAutospacing="0" w:after="0" w:afterAutospacing="0"/>
        <w:jc w:val="both"/>
        <w:divId w:val="1137796839"/>
        <w:rPr>
          <w:rFonts w:cs="Times New Roman"/>
          <w:sz w:val="18"/>
          <w:szCs w:val="18"/>
        </w:rPr>
      </w:pPr>
      <w:r w:rsidRPr="002B59B9">
        <w:rPr>
          <w:rFonts w:cs="Times New Roman" w:hint="eastAsia"/>
          <w:sz w:val="18"/>
          <w:szCs w:val="18"/>
        </w:rPr>
        <w:lastRenderedPageBreak/>
        <w:t>本公司合并范围内各企业之间发生的股份支付交易，接受服务企业和结算企业不是同一企业的，在接受服务企业和结算企业各自的个别财务报表中对该股份支付交易的确认和计量，比照上述原则处理。</w:t>
      </w:r>
    </w:p>
    <w:p w:rsidR="00BA0365" w:rsidRDefault="008D4B2E" w:rsidP="00B818D2">
      <w:pPr>
        <w:pStyle w:val="3"/>
        <w:spacing w:line="240" w:lineRule="auto"/>
        <w:jc w:val="left"/>
        <w:rPr>
          <w:rFonts w:ascii="宋体" w:hAnsi="宋体" w:cs="宋体"/>
          <w:b/>
          <w:bCs/>
        </w:rPr>
      </w:pPr>
      <w:bookmarkStart w:id="210" w:name="_Toc989098"/>
      <w:r>
        <w:rPr>
          <w:rFonts w:ascii="宋体" w:hAnsi="宋体" w:cs="宋体"/>
          <w:b/>
          <w:bCs/>
        </w:rPr>
        <w:t>33、优先股、永续债等其他金融工具</w:t>
      </w:r>
      <w:bookmarkEnd w:id="210"/>
    </w:p>
    <w:p w:rsidR="008D4B2E" w:rsidRPr="002B59B9" w:rsidRDefault="008D4B2E" w:rsidP="00B818D2">
      <w:pPr>
        <w:pStyle w:val="a3"/>
        <w:spacing w:before="0" w:beforeAutospacing="0" w:after="0" w:afterAutospacing="0"/>
        <w:ind w:firstLine="400"/>
        <w:divId w:val="1197162892"/>
        <w:rPr>
          <w:rFonts w:cs="Times New Roman"/>
          <w:sz w:val="18"/>
          <w:szCs w:val="18"/>
        </w:rPr>
      </w:pPr>
      <w:r w:rsidRPr="002B59B9">
        <w:rPr>
          <w:rFonts w:cs="Times New Roman" w:hint="eastAsia"/>
          <w:sz w:val="18"/>
          <w:szCs w:val="18"/>
        </w:rPr>
        <w:t>（</w:t>
      </w:r>
      <w:r w:rsidRPr="002B59B9">
        <w:rPr>
          <w:rFonts w:cs="Times New Roman"/>
          <w:sz w:val="18"/>
          <w:szCs w:val="18"/>
        </w:rPr>
        <w:t>1</w:t>
      </w:r>
      <w:r w:rsidRPr="002B59B9">
        <w:rPr>
          <w:rFonts w:cs="Times New Roman" w:hint="eastAsia"/>
          <w:sz w:val="18"/>
          <w:szCs w:val="18"/>
        </w:rPr>
        <w:t>）永续债和优先股等的区分</w:t>
      </w:r>
    </w:p>
    <w:p w:rsidR="008D4B2E" w:rsidRPr="002B59B9" w:rsidRDefault="008D4B2E" w:rsidP="00B818D2">
      <w:pPr>
        <w:pStyle w:val="a3"/>
        <w:spacing w:before="0" w:beforeAutospacing="0" w:after="0" w:afterAutospacing="0"/>
        <w:ind w:firstLine="400"/>
        <w:divId w:val="1197162892"/>
        <w:rPr>
          <w:rFonts w:cs="Times New Roman"/>
          <w:sz w:val="18"/>
          <w:szCs w:val="18"/>
        </w:rPr>
      </w:pPr>
      <w:r w:rsidRPr="002B59B9">
        <w:rPr>
          <w:rFonts w:cs="Times New Roman" w:hint="eastAsia"/>
          <w:sz w:val="18"/>
          <w:szCs w:val="18"/>
        </w:rPr>
        <w:t>本公司发行的永续债和优先股等金融工具，同时符合以下条件的，作为权益工具：</w:t>
      </w:r>
    </w:p>
    <w:p w:rsidR="008D4B2E" w:rsidRPr="002B59B9" w:rsidRDefault="008D4B2E" w:rsidP="00B818D2">
      <w:pPr>
        <w:pStyle w:val="a3"/>
        <w:spacing w:before="0" w:beforeAutospacing="0" w:after="0" w:afterAutospacing="0"/>
        <w:ind w:firstLine="400"/>
        <w:divId w:val="1197162892"/>
        <w:rPr>
          <w:rFonts w:cs="Times New Roman"/>
          <w:sz w:val="18"/>
          <w:szCs w:val="18"/>
        </w:rPr>
      </w:pPr>
      <w:r w:rsidRPr="002B59B9">
        <w:rPr>
          <w:rFonts w:cs="Times New Roman" w:hint="eastAsia"/>
          <w:sz w:val="18"/>
          <w:szCs w:val="18"/>
        </w:rPr>
        <w:t>①该金融工具不包括交付现金或其他金融资产给其他方，或在潜在不利条件下与其他方交换金融资产或金融负债的合同义务；</w:t>
      </w:r>
    </w:p>
    <w:p w:rsidR="008D4B2E" w:rsidRPr="002B59B9" w:rsidRDefault="008D4B2E" w:rsidP="00B818D2">
      <w:pPr>
        <w:pStyle w:val="a3"/>
        <w:spacing w:before="0" w:beforeAutospacing="0" w:after="0" w:afterAutospacing="0"/>
        <w:ind w:firstLine="400"/>
        <w:divId w:val="1197162892"/>
        <w:rPr>
          <w:rFonts w:cs="Times New Roman"/>
          <w:sz w:val="18"/>
          <w:szCs w:val="18"/>
        </w:rPr>
      </w:pPr>
      <w:r w:rsidRPr="002B59B9">
        <w:rPr>
          <w:rFonts w:cs="Times New Roman" w:hint="eastAsia"/>
          <w:sz w:val="18"/>
          <w:szCs w:val="18"/>
        </w:rPr>
        <w:t>②如将来须用或可用企业自身权益工具结算该金融工具的，如该金融工具为非衍生工具，则不包括交付可变数量的自身权益工具进行结算的合同义务；如为衍生工具，则本公司只能通过以固定数量的自身权益工具交换固定金额的现金或其他金融资产结算该金融工具。</w:t>
      </w:r>
    </w:p>
    <w:p w:rsidR="008D4B2E" w:rsidRPr="002B59B9" w:rsidRDefault="008D4B2E" w:rsidP="00B818D2">
      <w:pPr>
        <w:pStyle w:val="a3"/>
        <w:spacing w:before="0" w:beforeAutospacing="0" w:after="0" w:afterAutospacing="0"/>
        <w:ind w:firstLine="400"/>
        <w:divId w:val="1197162892"/>
        <w:rPr>
          <w:rFonts w:cs="Times New Roman"/>
          <w:sz w:val="18"/>
          <w:szCs w:val="18"/>
        </w:rPr>
      </w:pPr>
      <w:r w:rsidRPr="002B59B9">
        <w:rPr>
          <w:rFonts w:cs="Times New Roman" w:hint="eastAsia"/>
          <w:sz w:val="18"/>
          <w:szCs w:val="18"/>
        </w:rPr>
        <w:t>除按上述条件可归类为权益工具的金融工具以外，本公司发行的其他金融工具应归类为金融负债。</w:t>
      </w:r>
    </w:p>
    <w:p w:rsidR="008D4B2E" w:rsidRPr="002B59B9" w:rsidRDefault="008D4B2E" w:rsidP="00B818D2">
      <w:pPr>
        <w:pStyle w:val="a3"/>
        <w:spacing w:before="0" w:beforeAutospacing="0" w:after="0" w:afterAutospacing="0"/>
        <w:ind w:firstLine="400"/>
        <w:divId w:val="1197162892"/>
        <w:rPr>
          <w:rFonts w:cs="Times New Roman"/>
          <w:sz w:val="18"/>
          <w:szCs w:val="18"/>
        </w:rPr>
      </w:pPr>
      <w:r w:rsidRPr="002B59B9">
        <w:rPr>
          <w:rFonts w:cs="Times New Roman" w:hint="eastAsia"/>
          <w:sz w:val="18"/>
          <w:szCs w:val="18"/>
        </w:rPr>
        <w:t>本公司发行的金融工具为复合金融工具的，按照负债成分的公允价值确认为一项负债，按实际收到的金额扣除负债成分的公允价值后的金额，确认为</w:t>
      </w:r>
      <w:r w:rsidRPr="002B59B9">
        <w:rPr>
          <w:rFonts w:cs="Times New Roman"/>
          <w:sz w:val="18"/>
          <w:szCs w:val="18"/>
        </w:rPr>
        <w:t>“</w:t>
      </w:r>
      <w:r w:rsidRPr="002B59B9">
        <w:rPr>
          <w:rFonts w:cs="Times New Roman" w:hint="eastAsia"/>
          <w:sz w:val="18"/>
          <w:szCs w:val="18"/>
        </w:rPr>
        <w:t>其他权益工具</w:t>
      </w:r>
      <w:r w:rsidRPr="002B59B9">
        <w:rPr>
          <w:rFonts w:cs="Times New Roman"/>
          <w:sz w:val="18"/>
          <w:szCs w:val="18"/>
        </w:rPr>
        <w:t>”</w:t>
      </w:r>
      <w:r w:rsidRPr="002B59B9">
        <w:rPr>
          <w:rFonts w:cs="Times New Roman" w:hint="eastAsia"/>
          <w:sz w:val="18"/>
          <w:szCs w:val="18"/>
        </w:rPr>
        <w:t>。发行复合金融工具发生的交易费用，在负债成分和权益成分之间按照各自占总发行价款的比例进行分摊。</w:t>
      </w:r>
    </w:p>
    <w:p w:rsidR="008D4B2E" w:rsidRPr="002B59B9" w:rsidRDefault="008D4B2E" w:rsidP="00B818D2">
      <w:pPr>
        <w:pStyle w:val="a3"/>
        <w:spacing w:before="0" w:beforeAutospacing="0" w:after="0" w:afterAutospacing="0"/>
        <w:ind w:firstLine="400"/>
        <w:divId w:val="1197162892"/>
        <w:rPr>
          <w:rFonts w:cs="Times New Roman"/>
          <w:sz w:val="18"/>
          <w:szCs w:val="18"/>
        </w:rPr>
      </w:pPr>
      <w:r w:rsidRPr="002B59B9">
        <w:rPr>
          <w:rFonts w:cs="Times New Roman" w:hint="eastAsia"/>
          <w:sz w:val="18"/>
          <w:szCs w:val="18"/>
        </w:rPr>
        <w:t>（</w:t>
      </w:r>
      <w:r w:rsidRPr="002B59B9">
        <w:rPr>
          <w:rFonts w:cs="Times New Roman"/>
          <w:sz w:val="18"/>
          <w:szCs w:val="18"/>
        </w:rPr>
        <w:t>2</w:t>
      </w:r>
      <w:r w:rsidRPr="002B59B9">
        <w:rPr>
          <w:rFonts w:cs="Times New Roman" w:hint="eastAsia"/>
          <w:sz w:val="18"/>
          <w:szCs w:val="18"/>
        </w:rPr>
        <w:t>）永续债和优先股等的会计处理方法</w:t>
      </w:r>
    </w:p>
    <w:p w:rsidR="008D4B2E" w:rsidRPr="002B59B9" w:rsidRDefault="008D4B2E" w:rsidP="00B818D2">
      <w:pPr>
        <w:pStyle w:val="a3"/>
        <w:spacing w:before="0" w:beforeAutospacing="0" w:after="0" w:afterAutospacing="0"/>
        <w:ind w:firstLine="400"/>
        <w:divId w:val="1197162892"/>
        <w:rPr>
          <w:rFonts w:cs="Times New Roman"/>
          <w:sz w:val="18"/>
          <w:szCs w:val="18"/>
        </w:rPr>
      </w:pPr>
      <w:r w:rsidRPr="002B59B9">
        <w:rPr>
          <w:rFonts w:cs="Times New Roman" w:hint="eastAsia"/>
          <w:sz w:val="18"/>
          <w:szCs w:val="18"/>
        </w:rPr>
        <w:t>归类为金融负债的永续债和优先股等金融工具，其相关利息、股利（或股息）、利得或损失，以及赎回或再融资产生的利得或损失等，除符合资本化条件的借款费用（参见本附注四、</w:t>
      </w:r>
      <w:r w:rsidRPr="002B59B9">
        <w:rPr>
          <w:rFonts w:cs="Times New Roman"/>
          <w:sz w:val="18"/>
          <w:szCs w:val="18"/>
        </w:rPr>
        <w:t>“</w:t>
      </w:r>
      <w:r w:rsidRPr="002B59B9">
        <w:rPr>
          <w:rFonts w:cs="Times New Roman" w:hint="eastAsia"/>
          <w:sz w:val="18"/>
          <w:szCs w:val="18"/>
        </w:rPr>
        <w:t>借款费用</w:t>
      </w:r>
      <w:r w:rsidRPr="002B59B9">
        <w:rPr>
          <w:rFonts w:cs="Times New Roman"/>
          <w:sz w:val="18"/>
          <w:szCs w:val="18"/>
        </w:rPr>
        <w:t>”</w:t>
      </w:r>
      <w:r w:rsidRPr="002B59B9">
        <w:rPr>
          <w:rFonts w:cs="Times New Roman" w:hint="eastAsia"/>
          <w:sz w:val="18"/>
          <w:szCs w:val="18"/>
        </w:rPr>
        <w:t>）以外，均计入当期损益。</w:t>
      </w:r>
    </w:p>
    <w:p w:rsidR="008D4B2E" w:rsidRPr="002B59B9" w:rsidRDefault="008D4B2E" w:rsidP="00B818D2">
      <w:pPr>
        <w:pStyle w:val="a3"/>
        <w:spacing w:before="0" w:beforeAutospacing="0" w:after="0" w:afterAutospacing="0"/>
        <w:ind w:firstLine="400"/>
        <w:divId w:val="1197162892"/>
        <w:rPr>
          <w:rFonts w:cs="Times New Roman"/>
          <w:sz w:val="18"/>
          <w:szCs w:val="18"/>
        </w:rPr>
      </w:pPr>
      <w:r w:rsidRPr="002B59B9">
        <w:rPr>
          <w:rFonts w:cs="Times New Roman" w:hint="eastAsia"/>
          <w:sz w:val="18"/>
          <w:szCs w:val="18"/>
        </w:rPr>
        <w:t>归类为权益工具的永续债和优先股等金融工具，其发行（</w:t>
      </w:r>
      <w:proofErr w:type="gramStart"/>
      <w:r w:rsidRPr="002B59B9">
        <w:rPr>
          <w:rFonts w:cs="Times New Roman" w:hint="eastAsia"/>
          <w:sz w:val="18"/>
          <w:szCs w:val="18"/>
        </w:rPr>
        <w:t>含再融资</w:t>
      </w:r>
      <w:proofErr w:type="gramEnd"/>
      <w:r w:rsidRPr="002B59B9">
        <w:rPr>
          <w:rFonts w:cs="Times New Roman" w:hint="eastAsia"/>
          <w:sz w:val="18"/>
          <w:szCs w:val="18"/>
        </w:rPr>
        <w:t>）、回购、出售或注销时，本公司作为权益的变动处理，相关交易费用亦从权益中扣减。本公司对权益工具持有方的分配作为利润分配处理。</w:t>
      </w:r>
    </w:p>
    <w:p w:rsidR="008D4B2E" w:rsidRPr="002B59B9" w:rsidRDefault="008D4B2E" w:rsidP="00B818D2">
      <w:pPr>
        <w:pStyle w:val="a3"/>
        <w:spacing w:before="0" w:beforeAutospacing="0" w:after="0" w:afterAutospacing="0"/>
        <w:ind w:firstLine="400"/>
        <w:divId w:val="1197162892"/>
        <w:rPr>
          <w:rFonts w:cs="Times New Roman"/>
          <w:sz w:val="18"/>
          <w:szCs w:val="18"/>
        </w:rPr>
      </w:pPr>
      <w:r w:rsidRPr="002B59B9">
        <w:rPr>
          <w:rFonts w:cs="Times New Roman" w:hint="eastAsia"/>
          <w:sz w:val="18"/>
          <w:szCs w:val="18"/>
        </w:rPr>
        <w:t>本公司不确认权益工具的公允价值变动。</w:t>
      </w:r>
    </w:p>
    <w:p w:rsidR="00BA0365" w:rsidRDefault="008D4B2E" w:rsidP="00B818D2">
      <w:pPr>
        <w:pStyle w:val="3"/>
        <w:spacing w:line="240" w:lineRule="auto"/>
        <w:jc w:val="left"/>
        <w:rPr>
          <w:rFonts w:ascii="宋体" w:hAnsi="宋体" w:cs="宋体"/>
          <w:b/>
          <w:bCs/>
        </w:rPr>
      </w:pPr>
      <w:bookmarkStart w:id="211" w:name="_Toc989099"/>
      <w:r>
        <w:rPr>
          <w:rFonts w:ascii="宋体" w:hAnsi="宋体" w:cs="宋体"/>
          <w:b/>
          <w:bCs/>
        </w:rPr>
        <w:t>34、收入</w:t>
      </w:r>
      <w:bookmarkEnd w:id="211"/>
    </w:p>
    <w:p w:rsidR="00BA0365" w:rsidRPr="002B59B9" w:rsidRDefault="008D4B2E" w:rsidP="00B818D2">
      <w:pPr>
        <w:spacing w:before="100" w:after="100"/>
        <w:rPr>
          <w:rFonts w:ascii="宋体" w:eastAsia="宋体" w:hAnsi="宋体" w:cs="Times New Roman"/>
          <w:kern w:val="0"/>
          <w:sz w:val="18"/>
          <w:szCs w:val="18"/>
        </w:rPr>
      </w:pPr>
      <w:r w:rsidRPr="002B59B9">
        <w:rPr>
          <w:rFonts w:ascii="宋体" w:eastAsia="宋体" w:hAnsi="宋体" w:cs="Times New Roman"/>
          <w:kern w:val="0"/>
          <w:sz w:val="18"/>
          <w:szCs w:val="18"/>
        </w:rPr>
        <w:t>按照业务类型披露收入确认和计量所采用的会计政策</w:t>
      </w:r>
    </w:p>
    <w:p w:rsidR="008D4B2E" w:rsidRPr="002B59B9" w:rsidRDefault="008D4B2E" w:rsidP="00B818D2">
      <w:pPr>
        <w:pStyle w:val="a3"/>
        <w:spacing w:before="0" w:beforeAutospacing="0" w:after="0" w:afterAutospacing="0"/>
        <w:ind w:firstLine="400"/>
        <w:divId w:val="741635204"/>
        <w:rPr>
          <w:rFonts w:cs="Times New Roman"/>
          <w:sz w:val="18"/>
          <w:szCs w:val="18"/>
        </w:rPr>
      </w:pPr>
      <w:r w:rsidRPr="002B59B9">
        <w:rPr>
          <w:rFonts w:cs="Times New Roman" w:hint="eastAsia"/>
          <w:sz w:val="18"/>
          <w:szCs w:val="18"/>
        </w:rPr>
        <w:t>（</w:t>
      </w:r>
      <w:r w:rsidRPr="002B59B9">
        <w:rPr>
          <w:rFonts w:cs="Times New Roman"/>
          <w:sz w:val="18"/>
          <w:szCs w:val="18"/>
        </w:rPr>
        <w:t>1</w:t>
      </w:r>
      <w:r w:rsidRPr="002B59B9">
        <w:rPr>
          <w:rFonts w:cs="Times New Roman" w:hint="eastAsia"/>
          <w:sz w:val="18"/>
          <w:szCs w:val="18"/>
        </w:rPr>
        <w:t>）一般原则</w:t>
      </w:r>
    </w:p>
    <w:p w:rsidR="008D4B2E" w:rsidRPr="002B59B9" w:rsidRDefault="008D4B2E" w:rsidP="00B818D2">
      <w:pPr>
        <w:pStyle w:val="a3"/>
        <w:spacing w:before="0" w:beforeAutospacing="0" w:after="0" w:afterAutospacing="0"/>
        <w:ind w:firstLine="400"/>
        <w:divId w:val="741635204"/>
        <w:rPr>
          <w:rFonts w:cs="Times New Roman"/>
          <w:sz w:val="18"/>
          <w:szCs w:val="18"/>
        </w:rPr>
      </w:pPr>
      <w:r w:rsidRPr="002B59B9">
        <w:rPr>
          <w:rFonts w:cs="Times New Roman" w:hint="eastAsia"/>
          <w:sz w:val="18"/>
          <w:szCs w:val="18"/>
        </w:rPr>
        <w:t>本公司与客户之间的合同同时满足下列条件时，在客户取得相关商品控制权时确认收入：合同各方已批准该合同并承诺将履行各自义务；合同明确了合同各方与所转让商品或提供劳务相关的权利和义务；合同有明确的与所转让商品相关的支付条款；合同具有商业实质，即履行该合同将改变本公司未来现金流量的风险、时间分布或金额；本公司因向客户转让商品而有权取得的对价很可能收回。</w:t>
      </w:r>
    </w:p>
    <w:p w:rsidR="008D4B2E" w:rsidRPr="002B59B9" w:rsidRDefault="008D4B2E" w:rsidP="00B818D2">
      <w:pPr>
        <w:pStyle w:val="a3"/>
        <w:spacing w:before="0" w:beforeAutospacing="0" w:after="0" w:afterAutospacing="0"/>
        <w:ind w:firstLine="400"/>
        <w:divId w:val="741635204"/>
        <w:rPr>
          <w:rFonts w:cs="Times New Roman"/>
          <w:sz w:val="18"/>
          <w:szCs w:val="18"/>
        </w:rPr>
      </w:pPr>
      <w:r w:rsidRPr="002B59B9">
        <w:rPr>
          <w:rFonts w:cs="Times New Roman" w:hint="eastAsia"/>
          <w:sz w:val="18"/>
          <w:szCs w:val="18"/>
        </w:rPr>
        <w:t>在合同开始日，本公司识别合同中存在的各单项履约义务，并将交易价格按照各单项履约义务所承诺商品的单独售价的相对比例分摊至各单项履约义务。在确定交易价格时考虑了可变对价、合同中存在的重大融资成分、非现金对价、应付客户对价等因素的影响。</w:t>
      </w:r>
    </w:p>
    <w:p w:rsidR="008D4B2E" w:rsidRPr="002B59B9" w:rsidRDefault="008D4B2E" w:rsidP="00B818D2">
      <w:pPr>
        <w:pStyle w:val="a3"/>
        <w:spacing w:before="0" w:beforeAutospacing="0" w:after="0" w:afterAutospacing="0"/>
        <w:ind w:firstLine="400"/>
        <w:divId w:val="741635204"/>
        <w:rPr>
          <w:rFonts w:cs="Times New Roman"/>
          <w:sz w:val="18"/>
          <w:szCs w:val="18"/>
        </w:rPr>
      </w:pPr>
      <w:r w:rsidRPr="002B59B9">
        <w:rPr>
          <w:rFonts w:cs="Times New Roman" w:hint="eastAsia"/>
          <w:sz w:val="18"/>
          <w:szCs w:val="18"/>
        </w:rPr>
        <w:t>对于合同中的每个单项履约义务，如果满足下列条件之一的，本公司在相关履约时段内按照履约进度将分摊至该单项履约义务的交易价格确认为收入：客户在本公司履约的同时即取得并消耗本公司履约所带来的经济利益；客户能够控制本公司履约过程中在建的商品；本公司履约过程中所产出的商品具有不可替代用途，且本公司在整个合同期间内有权就累计至今已完成的履约部分收取款项。履约进度根据所转让商品的性质采用投入法或产出法确定，当履约进度不能合理确定时，本公司已经发生的成本预计能够得到补偿的，按照已经发生的成本金额确认收入，直到履约进度能够合理确定为止。</w:t>
      </w:r>
    </w:p>
    <w:p w:rsidR="008D4B2E" w:rsidRPr="002B59B9" w:rsidRDefault="008D4B2E" w:rsidP="00B818D2">
      <w:pPr>
        <w:pStyle w:val="a3"/>
        <w:spacing w:before="0" w:beforeAutospacing="0" w:after="0" w:afterAutospacing="0"/>
        <w:ind w:firstLine="400"/>
        <w:divId w:val="741635204"/>
        <w:rPr>
          <w:rFonts w:cs="Times New Roman"/>
          <w:sz w:val="18"/>
          <w:szCs w:val="18"/>
        </w:rPr>
      </w:pPr>
      <w:r w:rsidRPr="002B59B9">
        <w:rPr>
          <w:rFonts w:cs="Times New Roman" w:hint="eastAsia"/>
          <w:sz w:val="18"/>
          <w:szCs w:val="18"/>
        </w:rPr>
        <w:t>如果不满足上述条件之一，则本公司在客户取得相关商品控制权的时点将分摊至该单项履约义务的交易价格确认收入。在判断客户是否已取得商品控制权时，本公司考虑下列迹象：企业就该商品享有现时收款权利，即客户就该商品负有现时付款义务；企业已将该商品的法定所有权转移给客户，即客户已拥有该商品的法定所有权；企业已将该商品实物转移给客户，即客户已实物占有该商品；企业已将该商品所有权上的主要风险和报酬转移给客户，即客户已取得该商品所有权上的主要风险和报酬；客户已接受该商品；其他表明客户已取得商品控制权的迹象。</w:t>
      </w:r>
    </w:p>
    <w:p w:rsidR="008D4B2E" w:rsidRPr="002B59B9" w:rsidRDefault="008D4B2E" w:rsidP="00B818D2">
      <w:pPr>
        <w:pStyle w:val="a3"/>
        <w:spacing w:before="0" w:beforeAutospacing="0" w:after="0" w:afterAutospacing="0"/>
        <w:ind w:firstLine="400"/>
        <w:divId w:val="741635204"/>
        <w:rPr>
          <w:rFonts w:cs="Times New Roman"/>
          <w:sz w:val="18"/>
          <w:szCs w:val="18"/>
        </w:rPr>
      </w:pPr>
      <w:r w:rsidRPr="002B59B9">
        <w:rPr>
          <w:rFonts w:cs="Times New Roman" w:hint="eastAsia"/>
          <w:sz w:val="18"/>
          <w:szCs w:val="18"/>
        </w:rPr>
        <w:lastRenderedPageBreak/>
        <w:t>（</w:t>
      </w:r>
      <w:r w:rsidRPr="002B59B9">
        <w:rPr>
          <w:rFonts w:cs="Times New Roman"/>
          <w:sz w:val="18"/>
          <w:szCs w:val="18"/>
        </w:rPr>
        <w:t>2</w:t>
      </w:r>
      <w:r w:rsidRPr="002B59B9">
        <w:rPr>
          <w:rFonts w:cs="Times New Roman" w:hint="eastAsia"/>
          <w:sz w:val="18"/>
          <w:szCs w:val="18"/>
        </w:rPr>
        <w:t>）收入确认具体方法</w:t>
      </w:r>
    </w:p>
    <w:p w:rsidR="008D4B2E" w:rsidRPr="002B59B9" w:rsidRDefault="008D4B2E" w:rsidP="00B818D2">
      <w:pPr>
        <w:pStyle w:val="a3"/>
        <w:spacing w:before="0" w:beforeAutospacing="0" w:after="0" w:afterAutospacing="0"/>
        <w:ind w:firstLine="400"/>
        <w:jc w:val="both"/>
        <w:divId w:val="741635204"/>
        <w:rPr>
          <w:rFonts w:cs="Times New Roman"/>
          <w:sz w:val="18"/>
          <w:szCs w:val="18"/>
        </w:rPr>
      </w:pPr>
      <w:r w:rsidRPr="002B59B9">
        <w:rPr>
          <w:rFonts w:cs="Times New Roman" w:hint="eastAsia"/>
          <w:sz w:val="18"/>
          <w:szCs w:val="18"/>
        </w:rPr>
        <w:t>本公司收入确认的具体方法如下：</w:t>
      </w:r>
    </w:p>
    <w:p w:rsidR="008D4B2E" w:rsidRPr="002B59B9" w:rsidRDefault="008D4B2E" w:rsidP="00B818D2">
      <w:pPr>
        <w:pStyle w:val="a3"/>
        <w:spacing w:before="0" w:beforeAutospacing="0" w:after="0" w:afterAutospacing="0"/>
        <w:ind w:firstLine="400"/>
        <w:jc w:val="both"/>
        <w:divId w:val="741635204"/>
        <w:rPr>
          <w:rFonts w:cs="Times New Roman"/>
          <w:sz w:val="18"/>
          <w:szCs w:val="18"/>
        </w:rPr>
      </w:pPr>
      <w:r w:rsidRPr="002B59B9">
        <w:rPr>
          <w:rFonts w:cs="Times New Roman" w:hint="eastAsia"/>
          <w:sz w:val="18"/>
          <w:szCs w:val="18"/>
        </w:rPr>
        <w:t>①机械设备收入的确认原则：根据销售合同约定，通常以产品完成安装调试并验收合格后确认销售收入。</w:t>
      </w:r>
    </w:p>
    <w:p w:rsidR="008D4B2E" w:rsidRPr="002B59B9" w:rsidRDefault="008D4B2E" w:rsidP="00B818D2">
      <w:pPr>
        <w:pStyle w:val="a3"/>
        <w:spacing w:before="0" w:beforeAutospacing="0" w:after="0" w:afterAutospacing="0"/>
        <w:ind w:firstLine="400"/>
        <w:jc w:val="both"/>
        <w:divId w:val="741635204"/>
        <w:rPr>
          <w:rFonts w:cs="Times New Roman"/>
          <w:sz w:val="18"/>
          <w:szCs w:val="18"/>
        </w:rPr>
      </w:pPr>
      <w:r w:rsidRPr="002B59B9">
        <w:rPr>
          <w:rFonts w:cs="Times New Roman" w:hint="eastAsia"/>
          <w:sz w:val="18"/>
          <w:szCs w:val="18"/>
        </w:rPr>
        <w:t>②自行开发研制的软件产品销售收入确认原则：自行开发研制的软件产品是指经过信息产业部认证并获得著作权，销售时不转让所有权的软件产品。</w:t>
      </w:r>
    </w:p>
    <w:p w:rsidR="008D4B2E" w:rsidRPr="002B59B9" w:rsidRDefault="008D4B2E" w:rsidP="00B818D2">
      <w:pPr>
        <w:pStyle w:val="a3"/>
        <w:spacing w:before="0" w:beforeAutospacing="0" w:after="0" w:afterAutospacing="0"/>
        <w:ind w:firstLine="400"/>
        <w:jc w:val="both"/>
        <w:divId w:val="741635204"/>
        <w:rPr>
          <w:rFonts w:cs="Times New Roman"/>
          <w:sz w:val="18"/>
          <w:szCs w:val="18"/>
        </w:rPr>
      </w:pPr>
      <w:r w:rsidRPr="002B59B9">
        <w:rPr>
          <w:rFonts w:cs="Times New Roman" w:hint="eastAsia"/>
          <w:sz w:val="18"/>
          <w:szCs w:val="18"/>
        </w:rPr>
        <w:t>本公司自行开发的软件产品主要通过嵌入硬件设备销售，软件产品于安装完成后，买方取得软件产品控制权时确认收入。</w:t>
      </w:r>
    </w:p>
    <w:p w:rsidR="008D4B2E" w:rsidRPr="002B59B9" w:rsidRDefault="008D4B2E" w:rsidP="00B818D2">
      <w:pPr>
        <w:pStyle w:val="a3"/>
        <w:spacing w:before="0" w:beforeAutospacing="0" w:after="0" w:afterAutospacing="0"/>
        <w:ind w:firstLine="400"/>
        <w:jc w:val="both"/>
        <w:divId w:val="741635204"/>
        <w:rPr>
          <w:rFonts w:cs="Times New Roman"/>
          <w:sz w:val="18"/>
          <w:szCs w:val="18"/>
        </w:rPr>
      </w:pPr>
      <w:r w:rsidRPr="002B59B9">
        <w:rPr>
          <w:rFonts w:cs="Times New Roman" w:hint="eastAsia"/>
          <w:sz w:val="18"/>
          <w:szCs w:val="18"/>
        </w:rPr>
        <w:t>③系统集成收入的确认原则：系统集成收入是指与客户订立软件产品销售的同时，为其提供软件嵌入所需的设备配件和安装服务。</w:t>
      </w:r>
    </w:p>
    <w:p w:rsidR="008D4B2E" w:rsidRPr="002B59B9" w:rsidRDefault="008D4B2E" w:rsidP="00B818D2">
      <w:pPr>
        <w:pStyle w:val="a3"/>
        <w:spacing w:before="0" w:beforeAutospacing="0" w:after="0" w:afterAutospacing="0"/>
        <w:ind w:firstLine="400"/>
        <w:jc w:val="both"/>
        <w:divId w:val="741635204"/>
        <w:rPr>
          <w:rFonts w:cs="Times New Roman"/>
          <w:sz w:val="18"/>
          <w:szCs w:val="18"/>
        </w:rPr>
      </w:pPr>
      <w:r w:rsidRPr="002B59B9">
        <w:rPr>
          <w:rFonts w:cs="Times New Roman" w:hint="eastAsia"/>
          <w:sz w:val="18"/>
          <w:szCs w:val="18"/>
        </w:rPr>
        <w:t>对于系统集成业务，如果软件收入与设备配件及安装服务收入能分开核算，</w:t>
      </w:r>
      <w:proofErr w:type="gramStart"/>
      <w:r w:rsidRPr="002B59B9">
        <w:rPr>
          <w:rFonts w:cs="Times New Roman" w:hint="eastAsia"/>
          <w:sz w:val="18"/>
          <w:szCs w:val="18"/>
        </w:rPr>
        <w:t>则软件</w:t>
      </w:r>
      <w:proofErr w:type="gramEnd"/>
      <w:r w:rsidRPr="002B59B9">
        <w:rPr>
          <w:rFonts w:cs="Times New Roman" w:hint="eastAsia"/>
          <w:sz w:val="18"/>
          <w:szCs w:val="18"/>
        </w:rPr>
        <w:t>收入按上述软件产品销售的原则进行确认；如果软件收入与设备配件及安装服务收入不能分开核算，则将其一并核算，系统集成于安装完成后买方取得软件产品控制权时确认收入。</w:t>
      </w:r>
    </w:p>
    <w:p w:rsidR="008D4B2E" w:rsidRPr="002B59B9" w:rsidRDefault="008D4B2E" w:rsidP="00B818D2">
      <w:pPr>
        <w:pStyle w:val="a3"/>
        <w:spacing w:before="0" w:beforeAutospacing="0" w:after="0" w:afterAutospacing="0"/>
        <w:ind w:firstLine="400"/>
        <w:jc w:val="both"/>
        <w:divId w:val="741635204"/>
        <w:rPr>
          <w:rFonts w:cs="Times New Roman"/>
          <w:sz w:val="18"/>
          <w:szCs w:val="18"/>
        </w:rPr>
      </w:pPr>
      <w:r w:rsidRPr="002B59B9">
        <w:rPr>
          <w:rFonts w:cs="Times New Roman" w:hint="eastAsia"/>
          <w:sz w:val="18"/>
          <w:szCs w:val="18"/>
        </w:rPr>
        <w:t>④系统维护收入的确认原则：系统维护收入，主要是指按合同要求向客户提供售后服务的业务。</w:t>
      </w:r>
    </w:p>
    <w:p w:rsidR="008D4B2E" w:rsidRPr="002B59B9" w:rsidRDefault="008D4B2E" w:rsidP="00B818D2">
      <w:pPr>
        <w:pStyle w:val="a3"/>
        <w:spacing w:before="0" w:beforeAutospacing="0" w:after="0" w:afterAutospacing="0"/>
        <w:ind w:firstLine="400"/>
        <w:jc w:val="both"/>
        <w:divId w:val="741635204"/>
        <w:rPr>
          <w:rFonts w:cs="Times New Roman"/>
          <w:sz w:val="18"/>
          <w:szCs w:val="18"/>
        </w:rPr>
      </w:pPr>
      <w:r w:rsidRPr="002B59B9">
        <w:rPr>
          <w:rFonts w:cs="Times New Roman" w:hint="eastAsia"/>
          <w:sz w:val="18"/>
          <w:szCs w:val="18"/>
        </w:rPr>
        <w:t>售后服务业务是指超过合同规定的免费服务期限后的版本升级、系统维护、培训等有偿服务。在服务已经提供，收到价款或取得收取款项的证据时，确认服务收入。</w:t>
      </w:r>
    </w:p>
    <w:p w:rsidR="008D4B2E" w:rsidRPr="002B59B9" w:rsidRDefault="008D4B2E" w:rsidP="00B818D2">
      <w:pPr>
        <w:pStyle w:val="a3"/>
        <w:spacing w:before="0" w:beforeAutospacing="0" w:after="0" w:afterAutospacing="0"/>
        <w:ind w:firstLine="400"/>
        <w:jc w:val="both"/>
        <w:divId w:val="741635204"/>
        <w:rPr>
          <w:rFonts w:cs="Times New Roman"/>
          <w:sz w:val="18"/>
          <w:szCs w:val="18"/>
        </w:rPr>
      </w:pPr>
      <w:r w:rsidRPr="002B59B9">
        <w:rPr>
          <w:rFonts w:cs="Times New Roman" w:hint="eastAsia"/>
          <w:sz w:val="18"/>
          <w:szCs w:val="18"/>
        </w:rPr>
        <w:t>⑤橡胶材料销售收入的确认原则：根据销售合同约定，通常以买方取得产品控制权时确认收入。</w:t>
      </w:r>
    </w:p>
    <w:p w:rsidR="00BA0365" w:rsidRPr="002B59B9" w:rsidRDefault="008D4B2E" w:rsidP="00B818D2">
      <w:pPr>
        <w:spacing w:before="100" w:after="100"/>
        <w:rPr>
          <w:rFonts w:ascii="宋体" w:eastAsia="宋体" w:hAnsi="宋体" w:cs="Times New Roman"/>
          <w:kern w:val="0"/>
          <w:sz w:val="18"/>
          <w:szCs w:val="18"/>
        </w:rPr>
      </w:pPr>
      <w:r w:rsidRPr="002B59B9">
        <w:rPr>
          <w:rFonts w:ascii="宋体" w:eastAsia="宋体" w:hAnsi="宋体" w:cs="Times New Roman"/>
          <w:kern w:val="0"/>
          <w:sz w:val="18"/>
          <w:szCs w:val="18"/>
        </w:rPr>
        <w:t>同类业务采用不同经营模式涉及不同收入确认方式及计量方法的情况</w:t>
      </w:r>
    </w:p>
    <w:p w:rsidR="00BA0365" w:rsidRPr="002B59B9" w:rsidRDefault="008D4B2E" w:rsidP="00B818D2">
      <w:pPr>
        <w:spacing w:before="100" w:after="100"/>
        <w:rPr>
          <w:rFonts w:ascii="宋体" w:eastAsia="宋体" w:hAnsi="宋体" w:cs="Times New Roman"/>
          <w:kern w:val="0"/>
          <w:sz w:val="18"/>
          <w:szCs w:val="18"/>
        </w:rPr>
      </w:pPr>
      <w:r w:rsidRPr="002B59B9">
        <w:rPr>
          <w:rFonts w:ascii="宋体" w:eastAsia="宋体" w:hAnsi="宋体" w:cs="Times New Roman"/>
          <w:kern w:val="0"/>
          <w:sz w:val="18"/>
          <w:szCs w:val="18"/>
        </w:rPr>
        <w:t>公司需遵守《深圳证券交易所上市公司自律监管指引第3号——行业信息披露》中化工行业的披露要求</w:t>
      </w:r>
    </w:p>
    <w:p w:rsidR="00BA0365" w:rsidRDefault="008D4B2E" w:rsidP="00B818D2">
      <w:pPr>
        <w:pStyle w:val="3"/>
        <w:spacing w:line="240" w:lineRule="auto"/>
        <w:jc w:val="left"/>
        <w:rPr>
          <w:rFonts w:ascii="宋体" w:hAnsi="宋体" w:cs="宋体"/>
          <w:b/>
          <w:bCs/>
        </w:rPr>
      </w:pPr>
      <w:bookmarkStart w:id="212" w:name="_Toc989100"/>
      <w:r>
        <w:rPr>
          <w:rFonts w:ascii="宋体" w:hAnsi="宋体" w:cs="宋体"/>
          <w:b/>
          <w:bCs/>
        </w:rPr>
        <w:t>35、合同成本</w:t>
      </w:r>
      <w:bookmarkEnd w:id="212"/>
    </w:p>
    <w:p w:rsidR="008D4B2E" w:rsidRPr="002B59B9" w:rsidRDefault="008D4B2E" w:rsidP="00B818D2">
      <w:pPr>
        <w:pStyle w:val="a3"/>
        <w:spacing w:before="0" w:beforeAutospacing="0" w:after="0" w:afterAutospacing="0"/>
        <w:ind w:firstLine="400"/>
        <w:divId w:val="559022423"/>
        <w:rPr>
          <w:rFonts w:cs="Times New Roman"/>
          <w:sz w:val="18"/>
          <w:szCs w:val="18"/>
        </w:rPr>
      </w:pPr>
      <w:r>
        <w:rPr>
          <w:rFonts w:cs="Arial" w:hint="eastAsia"/>
          <w:color w:val="000000"/>
          <w:sz w:val="18"/>
          <w:szCs w:val="18"/>
        </w:rPr>
        <w:t>本</w:t>
      </w:r>
      <w:r w:rsidRPr="002B59B9">
        <w:rPr>
          <w:rFonts w:cs="Times New Roman" w:hint="eastAsia"/>
          <w:sz w:val="18"/>
          <w:szCs w:val="18"/>
        </w:rPr>
        <w:t>公司为取得合同发生的增量成本预期能够收回的，作为合同取得成本确认为一项资产，如果该资产的摊销期限不超过一年，则在发生时计入当期损益。</w:t>
      </w:r>
    </w:p>
    <w:p w:rsidR="008D4B2E" w:rsidRPr="002B59B9" w:rsidRDefault="008D4B2E" w:rsidP="00B818D2">
      <w:pPr>
        <w:pStyle w:val="a3"/>
        <w:spacing w:before="0" w:beforeAutospacing="0" w:after="0" w:afterAutospacing="0"/>
        <w:ind w:firstLine="400"/>
        <w:divId w:val="559022423"/>
        <w:rPr>
          <w:rFonts w:cs="Times New Roman"/>
          <w:sz w:val="18"/>
          <w:szCs w:val="18"/>
        </w:rPr>
      </w:pPr>
      <w:r w:rsidRPr="002B59B9">
        <w:rPr>
          <w:rFonts w:cs="Times New Roman" w:hint="eastAsia"/>
          <w:sz w:val="18"/>
          <w:szCs w:val="18"/>
        </w:rPr>
        <w:t>为履行合同发生的成本不属于《企业会计准则第</w:t>
      </w:r>
      <w:r w:rsidRPr="002B59B9">
        <w:rPr>
          <w:rFonts w:cs="Times New Roman"/>
          <w:sz w:val="18"/>
          <w:szCs w:val="18"/>
        </w:rPr>
        <w:t>14</w:t>
      </w:r>
      <w:r w:rsidRPr="002B59B9">
        <w:rPr>
          <w:rFonts w:cs="Times New Roman" w:hint="eastAsia"/>
          <w:sz w:val="18"/>
          <w:szCs w:val="18"/>
        </w:rPr>
        <w:t>号</w:t>
      </w:r>
      <w:r w:rsidRPr="002B59B9">
        <w:rPr>
          <w:rFonts w:cs="Times New Roman"/>
          <w:sz w:val="18"/>
          <w:szCs w:val="18"/>
        </w:rPr>
        <w:t>——</w:t>
      </w:r>
      <w:r w:rsidRPr="002B59B9">
        <w:rPr>
          <w:rFonts w:cs="Times New Roman" w:hint="eastAsia"/>
          <w:sz w:val="18"/>
          <w:szCs w:val="18"/>
        </w:rPr>
        <w:t>收入（</w:t>
      </w:r>
      <w:r w:rsidRPr="002B59B9">
        <w:rPr>
          <w:rFonts w:cs="Times New Roman"/>
          <w:sz w:val="18"/>
          <w:szCs w:val="18"/>
        </w:rPr>
        <w:t>2017</w:t>
      </w:r>
      <w:r w:rsidRPr="002B59B9">
        <w:rPr>
          <w:rFonts w:cs="Times New Roman" w:hint="eastAsia"/>
          <w:sz w:val="18"/>
          <w:szCs w:val="18"/>
        </w:rPr>
        <w:t>年修订）》之外的其他企业会计准则规范范围且同时满足下列条件的，作为合同履约成本确认为一项资产：①</w:t>
      </w:r>
      <w:proofErr w:type="gramStart"/>
      <w:r w:rsidRPr="002B59B9">
        <w:rPr>
          <w:rFonts w:cs="Times New Roman" w:hint="eastAsia"/>
          <w:sz w:val="18"/>
          <w:szCs w:val="18"/>
        </w:rPr>
        <w:t>该成本</w:t>
      </w:r>
      <w:proofErr w:type="gramEnd"/>
      <w:r w:rsidRPr="002B59B9">
        <w:rPr>
          <w:rFonts w:cs="Times New Roman" w:hint="eastAsia"/>
          <w:sz w:val="18"/>
          <w:szCs w:val="18"/>
        </w:rPr>
        <w:t>与一份当前或预期取得的合同直接相关，包括直接人工、直接材料、制造费用（或类似费用）、明确由客户承担的成本以及仅因该合同而发生的其他成本；②</w:t>
      </w:r>
      <w:proofErr w:type="gramStart"/>
      <w:r w:rsidRPr="002B59B9">
        <w:rPr>
          <w:rFonts w:cs="Times New Roman" w:hint="eastAsia"/>
          <w:sz w:val="18"/>
          <w:szCs w:val="18"/>
        </w:rPr>
        <w:t>该成本</w:t>
      </w:r>
      <w:proofErr w:type="gramEnd"/>
      <w:r w:rsidRPr="002B59B9">
        <w:rPr>
          <w:rFonts w:cs="Times New Roman" w:hint="eastAsia"/>
          <w:sz w:val="18"/>
          <w:szCs w:val="18"/>
        </w:rPr>
        <w:t>增加了本公司未来用于履行履约义务的资源；③</w:t>
      </w:r>
      <w:proofErr w:type="gramStart"/>
      <w:r w:rsidRPr="002B59B9">
        <w:rPr>
          <w:rFonts w:cs="Times New Roman" w:hint="eastAsia"/>
          <w:sz w:val="18"/>
          <w:szCs w:val="18"/>
        </w:rPr>
        <w:t>该成本</w:t>
      </w:r>
      <w:proofErr w:type="gramEnd"/>
      <w:r w:rsidRPr="002B59B9">
        <w:rPr>
          <w:rFonts w:cs="Times New Roman" w:hint="eastAsia"/>
          <w:sz w:val="18"/>
          <w:szCs w:val="18"/>
        </w:rPr>
        <w:t>预期能够收回。</w:t>
      </w:r>
    </w:p>
    <w:p w:rsidR="008D4B2E" w:rsidRPr="002B59B9" w:rsidRDefault="008D4B2E" w:rsidP="00B818D2">
      <w:pPr>
        <w:pStyle w:val="a3"/>
        <w:spacing w:before="0" w:beforeAutospacing="0" w:after="0" w:afterAutospacing="0"/>
        <w:jc w:val="both"/>
        <w:divId w:val="559022423"/>
        <w:rPr>
          <w:rFonts w:cs="Times New Roman"/>
          <w:sz w:val="18"/>
          <w:szCs w:val="18"/>
        </w:rPr>
      </w:pPr>
      <w:r w:rsidRPr="002B59B9">
        <w:rPr>
          <w:rFonts w:cs="Times New Roman" w:hint="eastAsia"/>
          <w:sz w:val="18"/>
          <w:szCs w:val="18"/>
        </w:rPr>
        <w:t>与合同成本有关的资产采用与该资产相关的商品收入确认相同的基础进行摊销，计入当期损益。</w:t>
      </w:r>
    </w:p>
    <w:p w:rsidR="00BA0365" w:rsidRDefault="008D4B2E" w:rsidP="00B818D2">
      <w:pPr>
        <w:pStyle w:val="3"/>
        <w:spacing w:line="240" w:lineRule="auto"/>
        <w:jc w:val="left"/>
        <w:rPr>
          <w:rFonts w:ascii="宋体" w:hAnsi="宋体" w:cs="宋体"/>
          <w:b/>
          <w:bCs/>
        </w:rPr>
      </w:pPr>
      <w:bookmarkStart w:id="213" w:name="_Toc989101"/>
      <w:r>
        <w:rPr>
          <w:rFonts w:ascii="宋体" w:hAnsi="宋体" w:cs="宋体"/>
          <w:b/>
          <w:bCs/>
        </w:rPr>
        <w:t>36、政府补助</w:t>
      </w:r>
      <w:bookmarkEnd w:id="213"/>
    </w:p>
    <w:p w:rsidR="008D4B2E" w:rsidRPr="002B59B9" w:rsidRDefault="008D4B2E" w:rsidP="00B818D2">
      <w:pPr>
        <w:pStyle w:val="a3"/>
        <w:spacing w:before="0" w:beforeAutospacing="0" w:after="0" w:afterAutospacing="0"/>
        <w:ind w:firstLine="400"/>
        <w:divId w:val="1718819569"/>
        <w:rPr>
          <w:rFonts w:cs="Times New Roman"/>
          <w:sz w:val="18"/>
          <w:szCs w:val="18"/>
        </w:rPr>
      </w:pPr>
      <w:r w:rsidRPr="002B59B9">
        <w:rPr>
          <w:rFonts w:cs="Times New Roman" w:hint="eastAsia"/>
          <w:sz w:val="18"/>
          <w:szCs w:val="18"/>
        </w:rPr>
        <w:t>政府补助是指本公司从政府无偿取得货币性资产和非货币性资产，不包括政府以投资者身份并享有相应所有者权益而投入的资本。政府补助分为与资产相关的政府补助和与收益相关的政府补助。本公司将所取得的用于购建或以其他方式形成长期资产的政府补助界定为与资产相关的政府补助；</w:t>
      </w:r>
      <w:proofErr w:type="gramStart"/>
      <w:r w:rsidRPr="002B59B9">
        <w:rPr>
          <w:rFonts w:cs="Times New Roman" w:hint="eastAsia"/>
          <w:sz w:val="18"/>
          <w:szCs w:val="18"/>
        </w:rPr>
        <w:t>其余政府</w:t>
      </w:r>
      <w:proofErr w:type="gramEnd"/>
      <w:r w:rsidRPr="002B59B9">
        <w:rPr>
          <w:rFonts w:cs="Times New Roman" w:hint="eastAsia"/>
          <w:sz w:val="18"/>
          <w:szCs w:val="18"/>
        </w:rPr>
        <w:t>补助界定为与收益相关的政府补助。若政府文件未明确规定补助对象，则采用以下方式将补助款划分为与收益相关的政府补助和与资产相关的政府补助：（</w:t>
      </w:r>
      <w:r w:rsidRPr="002B59B9">
        <w:rPr>
          <w:rFonts w:cs="Times New Roman"/>
          <w:sz w:val="18"/>
          <w:szCs w:val="18"/>
        </w:rPr>
        <w:t>1</w:t>
      </w:r>
      <w:r w:rsidRPr="002B59B9">
        <w:rPr>
          <w:rFonts w:cs="Times New Roman" w:hint="eastAsia"/>
          <w:sz w:val="18"/>
          <w:szCs w:val="18"/>
        </w:rPr>
        <w:t>）政府文件明确了补助所针对的特定项目的，根据该特定项目的预算中将形成资产的支出金额和计入费用的支出金额的相对比例进行划分，对该划分比例需在每个资产负债表日进行复核，必要时进行变更；（</w:t>
      </w:r>
      <w:r w:rsidRPr="002B59B9">
        <w:rPr>
          <w:rFonts w:cs="Times New Roman"/>
          <w:sz w:val="18"/>
          <w:szCs w:val="18"/>
        </w:rPr>
        <w:t>2</w:t>
      </w:r>
      <w:r w:rsidRPr="002B59B9">
        <w:rPr>
          <w:rFonts w:cs="Times New Roman" w:hint="eastAsia"/>
          <w:sz w:val="18"/>
          <w:szCs w:val="18"/>
        </w:rPr>
        <w:t>）政府文件中对用途仅作一般性表述，没有指明特定项目的，作为与收益相关的政府补助。政府补助为货币性资产的，按照收到或应收的金额计量。政府补助为非货币性资产的，按照公允价值计量；公允价值不能够可靠取得的，按照名义金额计量。按照名义金额计量的政府补助，直接计入当期损益。</w:t>
      </w:r>
    </w:p>
    <w:p w:rsidR="008D4B2E" w:rsidRPr="002B59B9" w:rsidRDefault="008D4B2E" w:rsidP="00B818D2">
      <w:pPr>
        <w:pStyle w:val="a3"/>
        <w:spacing w:before="0" w:beforeAutospacing="0" w:after="0" w:afterAutospacing="0"/>
        <w:ind w:firstLine="400"/>
        <w:divId w:val="1718819569"/>
        <w:rPr>
          <w:rFonts w:cs="Times New Roman"/>
          <w:sz w:val="18"/>
          <w:szCs w:val="18"/>
        </w:rPr>
      </w:pPr>
      <w:r w:rsidRPr="002B59B9">
        <w:rPr>
          <w:rFonts w:cs="Times New Roman" w:hint="eastAsia"/>
          <w:sz w:val="18"/>
          <w:szCs w:val="18"/>
        </w:rPr>
        <w:t>本公司对于政府补助通常在实际收到时，按照实</w:t>
      </w:r>
      <w:proofErr w:type="gramStart"/>
      <w:r w:rsidRPr="002B59B9">
        <w:rPr>
          <w:rFonts w:cs="Times New Roman" w:hint="eastAsia"/>
          <w:sz w:val="18"/>
          <w:szCs w:val="18"/>
        </w:rPr>
        <w:t>收金额</w:t>
      </w:r>
      <w:proofErr w:type="gramEnd"/>
      <w:r w:rsidRPr="002B59B9">
        <w:rPr>
          <w:rFonts w:cs="Times New Roman" w:hint="eastAsia"/>
          <w:sz w:val="18"/>
          <w:szCs w:val="18"/>
        </w:rPr>
        <w:t>予以确认和计量。但对于期末有确凿证据表明能够符合财政扶持政策规定的相关条件预计能够收到财政扶持资金，按照应收的金额计量。按照应收金额计量的政府补助应同时符合以下条件：（</w:t>
      </w:r>
      <w:r w:rsidRPr="002B59B9">
        <w:rPr>
          <w:rFonts w:cs="Times New Roman"/>
          <w:sz w:val="18"/>
          <w:szCs w:val="18"/>
        </w:rPr>
        <w:t>1</w:t>
      </w:r>
      <w:r w:rsidRPr="002B59B9">
        <w:rPr>
          <w:rFonts w:cs="Times New Roman" w:hint="eastAsia"/>
          <w:sz w:val="18"/>
          <w:szCs w:val="18"/>
        </w:rPr>
        <w:t>）应收补助款的金额已经过有权政府部门发文确认，或者可根据正式发布的财政资金管理办法的有关规定自行合理测算，且预计其金额不存在重大不确定性；（</w:t>
      </w:r>
      <w:r w:rsidRPr="002B59B9">
        <w:rPr>
          <w:rFonts w:cs="Times New Roman"/>
          <w:sz w:val="18"/>
          <w:szCs w:val="18"/>
        </w:rPr>
        <w:t>2</w:t>
      </w:r>
      <w:r w:rsidRPr="002B59B9">
        <w:rPr>
          <w:rFonts w:cs="Times New Roman" w:hint="eastAsia"/>
          <w:sz w:val="18"/>
          <w:szCs w:val="18"/>
        </w:rPr>
        <w:t>）所依据的是当地财政部门正式发布并按照《政府信息公开条例》的规定</w:t>
      </w:r>
      <w:r w:rsidRPr="002B59B9">
        <w:rPr>
          <w:rFonts w:cs="Times New Roman" w:hint="eastAsia"/>
          <w:sz w:val="18"/>
          <w:szCs w:val="18"/>
        </w:rPr>
        <w:lastRenderedPageBreak/>
        <w:t>予以主动公开的财政扶持项目及其财政资金管理办法，且该管理办法应当是普惠性的（任何符合规定条件的企业均可申请），而不是专门针对特定企业制定的；（</w:t>
      </w:r>
      <w:r w:rsidRPr="002B59B9">
        <w:rPr>
          <w:rFonts w:cs="Times New Roman"/>
          <w:sz w:val="18"/>
          <w:szCs w:val="18"/>
        </w:rPr>
        <w:t>3</w:t>
      </w:r>
      <w:r w:rsidRPr="002B59B9">
        <w:rPr>
          <w:rFonts w:cs="Times New Roman" w:hint="eastAsia"/>
          <w:sz w:val="18"/>
          <w:szCs w:val="18"/>
        </w:rPr>
        <w:t>）相关的补助款批文中已明确承诺了拨付期限，且该款项的拨付是有相应财政预算作为保障的，因而可以合理保证其可在规定期限内收到；（</w:t>
      </w:r>
      <w:r w:rsidRPr="002B59B9">
        <w:rPr>
          <w:rFonts w:cs="Times New Roman"/>
          <w:sz w:val="18"/>
          <w:szCs w:val="18"/>
        </w:rPr>
        <w:t>4</w:t>
      </w:r>
      <w:r w:rsidRPr="002B59B9">
        <w:rPr>
          <w:rFonts w:cs="Times New Roman" w:hint="eastAsia"/>
          <w:sz w:val="18"/>
          <w:szCs w:val="18"/>
        </w:rPr>
        <w:t>）根据本公司和该补助事项的具体情况，应满足的其他相关条件。</w:t>
      </w:r>
    </w:p>
    <w:p w:rsidR="008D4B2E" w:rsidRPr="002B59B9" w:rsidRDefault="008D4B2E" w:rsidP="00B818D2">
      <w:pPr>
        <w:pStyle w:val="a3"/>
        <w:spacing w:before="0" w:beforeAutospacing="0" w:after="0" w:afterAutospacing="0"/>
        <w:ind w:firstLine="400"/>
        <w:divId w:val="1718819569"/>
        <w:rPr>
          <w:rFonts w:cs="Times New Roman"/>
          <w:sz w:val="18"/>
          <w:szCs w:val="18"/>
        </w:rPr>
      </w:pPr>
      <w:r w:rsidRPr="002B59B9">
        <w:rPr>
          <w:rFonts w:cs="Times New Roman" w:hint="eastAsia"/>
          <w:sz w:val="18"/>
          <w:szCs w:val="18"/>
        </w:rPr>
        <w:t>与资产相关的政府补助，</w:t>
      </w:r>
      <w:proofErr w:type="gramStart"/>
      <w:r w:rsidRPr="002B59B9">
        <w:rPr>
          <w:rFonts w:cs="Times New Roman" w:hint="eastAsia"/>
          <w:sz w:val="18"/>
          <w:szCs w:val="18"/>
        </w:rPr>
        <w:t>确认为递延</w:t>
      </w:r>
      <w:proofErr w:type="gramEnd"/>
      <w:r w:rsidRPr="002B59B9">
        <w:rPr>
          <w:rFonts w:cs="Times New Roman" w:hint="eastAsia"/>
          <w:sz w:val="18"/>
          <w:szCs w:val="18"/>
        </w:rPr>
        <w:t>收益，并在相关资产的使用寿命内按照合理、系统的方法分期计入当期损益或冲减相关资产的账面价值。与收益相关的政府补助，用于补偿以后期间的相关成本费用或损失的，</w:t>
      </w:r>
      <w:proofErr w:type="gramStart"/>
      <w:r w:rsidRPr="002B59B9">
        <w:rPr>
          <w:rFonts w:cs="Times New Roman" w:hint="eastAsia"/>
          <w:sz w:val="18"/>
          <w:szCs w:val="18"/>
        </w:rPr>
        <w:t>确认为递延</w:t>
      </w:r>
      <w:proofErr w:type="gramEnd"/>
      <w:r w:rsidRPr="002B59B9">
        <w:rPr>
          <w:rFonts w:cs="Times New Roman" w:hint="eastAsia"/>
          <w:sz w:val="18"/>
          <w:szCs w:val="18"/>
        </w:rPr>
        <w:t>收益，并在确认相关成本费用或损失的期间计入当期损益或冲减相关成本费用；用于补偿已经发生的相关成本费用或损失的，直接计入当期损益或冲减相关成本费用。</w:t>
      </w:r>
    </w:p>
    <w:p w:rsidR="008D4B2E" w:rsidRPr="002B59B9" w:rsidRDefault="008D4B2E" w:rsidP="00B818D2">
      <w:pPr>
        <w:pStyle w:val="a3"/>
        <w:spacing w:before="0" w:beforeAutospacing="0" w:after="0" w:afterAutospacing="0"/>
        <w:ind w:firstLine="400"/>
        <w:divId w:val="1718819569"/>
        <w:rPr>
          <w:rFonts w:cs="Times New Roman"/>
          <w:sz w:val="18"/>
          <w:szCs w:val="18"/>
        </w:rPr>
      </w:pPr>
      <w:r w:rsidRPr="002B59B9">
        <w:rPr>
          <w:rFonts w:cs="Times New Roman" w:hint="eastAsia"/>
          <w:sz w:val="18"/>
          <w:szCs w:val="18"/>
        </w:rPr>
        <w:t>同时包含与资产相关部分和与收益相关部分的政府补助，区分不同部分分别进行会计处理；难以区分的，将其整体归类为与收益相关的政府补助。</w:t>
      </w:r>
    </w:p>
    <w:p w:rsidR="008D4B2E" w:rsidRPr="002B59B9" w:rsidRDefault="008D4B2E" w:rsidP="00B818D2">
      <w:pPr>
        <w:pStyle w:val="a3"/>
        <w:spacing w:before="0" w:beforeAutospacing="0" w:after="0" w:afterAutospacing="0"/>
        <w:ind w:firstLine="400"/>
        <w:divId w:val="1718819569"/>
        <w:rPr>
          <w:rFonts w:cs="Times New Roman"/>
          <w:sz w:val="18"/>
          <w:szCs w:val="18"/>
        </w:rPr>
      </w:pPr>
      <w:r w:rsidRPr="002B59B9">
        <w:rPr>
          <w:rFonts w:cs="Times New Roman" w:hint="eastAsia"/>
          <w:sz w:val="18"/>
          <w:szCs w:val="18"/>
        </w:rPr>
        <w:t>与本公司日常活动相关的政府补助，按照经济业务的实质，计入其他收益或冲减相关成本费用；与日常活动无关的政府补助，计入营业外收支。</w:t>
      </w:r>
    </w:p>
    <w:p w:rsidR="008D4B2E" w:rsidRPr="002B59B9" w:rsidRDefault="008D4B2E" w:rsidP="00B818D2">
      <w:pPr>
        <w:pStyle w:val="a3"/>
        <w:spacing w:before="0" w:beforeAutospacing="0" w:after="0" w:afterAutospacing="0"/>
        <w:ind w:firstLine="400"/>
        <w:divId w:val="1718819569"/>
        <w:rPr>
          <w:rFonts w:cs="Times New Roman"/>
          <w:sz w:val="18"/>
          <w:szCs w:val="18"/>
        </w:rPr>
      </w:pPr>
      <w:r w:rsidRPr="002B59B9">
        <w:rPr>
          <w:rFonts w:cs="Times New Roman" w:hint="eastAsia"/>
          <w:sz w:val="18"/>
          <w:szCs w:val="18"/>
        </w:rPr>
        <w:t>已确认的政府补助需要退回时，存在相关递延收益余额的，冲减相关递延收益账面余额，超出部分计入当期损益或对初始确认时冲减相关资产账面价值的与资产相关的政府补助，调整资产账面价值；属于其他情况的，直接计入当期损益。</w:t>
      </w:r>
    </w:p>
    <w:p w:rsidR="00BA0365" w:rsidRDefault="008D4B2E" w:rsidP="00B818D2">
      <w:pPr>
        <w:pStyle w:val="3"/>
        <w:spacing w:line="240" w:lineRule="auto"/>
        <w:jc w:val="left"/>
        <w:rPr>
          <w:rFonts w:ascii="宋体" w:hAnsi="宋体" w:cs="宋体"/>
          <w:b/>
          <w:bCs/>
        </w:rPr>
      </w:pPr>
      <w:bookmarkStart w:id="214" w:name="_Toc989102"/>
      <w:r>
        <w:rPr>
          <w:rFonts w:ascii="宋体" w:hAnsi="宋体" w:cs="宋体"/>
          <w:b/>
          <w:bCs/>
        </w:rPr>
        <w:t>37、递延所得税资产/递延所得税负债</w:t>
      </w:r>
      <w:bookmarkEnd w:id="214"/>
    </w:p>
    <w:p w:rsidR="008D4B2E" w:rsidRPr="002B59B9" w:rsidRDefault="008D4B2E" w:rsidP="00B818D2">
      <w:pPr>
        <w:pStyle w:val="a3"/>
        <w:spacing w:before="0" w:beforeAutospacing="0" w:after="0" w:afterAutospacing="0"/>
        <w:ind w:firstLine="400"/>
        <w:divId w:val="303312830"/>
        <w:rPr>
          <w:rFonts w:cs="Times New Roman"/>
          <w:sz w:val="18"/>
          <w:szCs w:val="18"/>
        </w:rPr>
      </w:pPr>
      <w:r w:rsidRPr="002B59B9">
        <w:rPr>
          <w:rFonts w:cs="Times New Roman" w:hint="eastAsia"/>
          <w:sz w:val="18"/>
          <w:szCs w:val="18"/>
        </w:rPr>
        <w:t>（</w:t>
      </w:r>
      <w:r w:rsidRPr="002B59B9">
        <w:rPr>
          <w:rFonts w:cs="Times New Roman"/>
          <w:sz w:val="18"/>
          <w:szCs w:val="18"/>
        </w:rPr>
        <w:t>1</w:t>
      </w:r>
      <w:r w:rsidRPr="002B59B9">
        <w:rPr>
          <w:rFonts w:cs="Times New Roman" w:hint="eastAsia"/>
          <w:sz w:val="18"/>
          <w:szCs w:val="18"/>
        </w:rPr>
        <w:t>）当期所得税</w:t>
      </w:r>
    </w:p>
    <w:p w:rsidR="008D4B2E" w:rsidRPr="002B59B9" w:rsidRDefault="008D4B2E" w:rsidP="00B818D2">
      <w:pPr>
        <w:pStyle w:val="a3"/>
        <w:spacing w:before="0" w:beforeAutospacing="0" w:after="0" w:afterAutospacing="0"/>
        <w:ind w:firstLine="400"/>
        <w:divId w:val="303312830"/>
        <w:rPr>
          <w:rFonts w:cs="Times New Roman"/>
          <w:sz w:val="18"/>
          <w:szCs w:val="18"/>
        </w:rPr>
      </w:pPr>
      <w:r w:rsidRPr="002B59B9">
        <w:rPr>
          <w:rFonts w:cs="Times New Roman" w:hint="eastAsia"/>
          <w:sz w:val="18"/>
          <w:szCs w:val="18"/>
        </w:rPr>
        <w:t>资产负债表日，对于当期和以前期间形成的当期所得税负债（或资产），以按照税法规定计算的预期应交纳（或返还）的所得税金额计量。计算当期所得税费用所依据的应纳税</w:t>
      </w:r>
      <w:proofErr w:type="gramStart"/>
      <w:r w:rsidRPr="002B59B9">
        <w:rPr>
          <w:rFonts w:cs="Times New Roman" w:hint="eastAsia"/>
          <w:sz w:val="18"/>
          <w:szCs w:val="18"/>
        </w:rPr>
        <w:t>所得额系根据</w:t>
      </w:r>
      <w:proofErr w:type="gramEnd"/>
      <w:r w:rsidRPr="002B59B9">
        <w:rPr>
          <w:rFonts w:cs="Times New Roman" w:hint="eastAsia"/>
          <w:sz w:val="18"/>
          <w:szCs w:val="18"/>
        </w:rPr>
        <w:t>有关税法规定对本年度税前会计利润作相应调整后计算得出。</w:t>
      </w:r>
    </w:p>
    <w:p w:rsidR="008D4B2E" w:rsidRPr="002B59B9" w:rsidRDefault="008D4B2E" w:rsidP="00B818D2">
      <w:pPr>
        <w:pStyle w:val="a3"/>
        <w:spacing w:before="0" w:beforeAutospacing="0" w:after="0" w:afterAutospacing="0"/>
        <w:ind w:firstLine="400"/>
        <w:divId w:val="303312830"/>
        <w:rPr>
          <w:rFonts w:cs="Times New Roman"/>
          <w:sz w:val="18"/>
          <w:szCs w:val="18"/>
        </w:rPr>
      </w:pPr>
      <w:r w:rsidRPr="002B59B9">
        <w:rPr>
          <w:rFonts w:cs="Times New Roman" w:hint="eastAsia"/>
          <w:sz w:val="18"/>
          <w:szCs w:val="18"/>
        </w:rPr>
        <w:t>（</w:t>
      </w:r>
      <w:r w:rsidRPr="002B59B9">
        <w:rPr>
          <w:rFonts w:cs="Times New Roman"/>
          <w:sz w:val="18"/>
          <w:szCs w:val="18"/>
        </w:rPr>
        <w:t>2</w:t>
      </w:r>
      <w:r w:rsidRPr="002B59B9">
        <w:rPr>
          <w:rFonts w:cs="Times New Roman" w:hint="eastAsia"/>
          <w:sz w:val="18"/>
          <w:szCs w:val="18"/>
        </w:rPr>
        <w:t>）递延所得税资产及递延所得税负债</w:t>
      </w:r>
    </w:p>
    <w:p w:rsidR="008D4B2E" w:rsidRPr="002B59B9" w:rsidRDefault="008D4B2E" w:rsidP="00B818D2">
      <w:pPr>
        <w:pStyle w:val="a3"/>
        <w:spacing w:before="0" w:beforeAutospacing="0" w:after="0" w:afterAutospacing="0"/>
        <w:ind w:firstLine="400"/>
        <w:divId w:val="303312830"/>
        <w:rPr>
          <w:rFonts w:cs="Times New Roman"/>
          <w:sz w:val="18"/>
          <w:szCs w:val="18"/>
        </w:rPr>
      </w:pPr>
      <w:r w:rsidRPr="002B59B9">
        <w:rPr>
          <w:rFonts w:cs="Times New Roman" w:hint="eastAsia"/>
          <w:sz w:val="18"/>
          <w:szCs w:val="18"/>
        </w:rPr>
        <w:t>某些资产、负债项目的账面价值与其计税基础之间的差额，以及未作为资产和负债确认但按照税法规定可以确定其计税基础的项目的账面价值与计税基础之间的差额产生的暂时性差异，采用资产负债表债务法确认递延所得税资产及递延所得税负债。</w:t>
      </w:r>
    </w:p>
    <w:p w:rsidR="008D4B2E" w:rsidRPr="002B59B9" w:rsidRDefault="008D4B2E" w:rsidP="00B818D2">
      <w:pPr>
        <w:pStyle w:val="a3"/>
        <w:spacing w:before="0" w:beforeAutospacing="0" w:after="0" w:afterAutospacing="0"/>
        <w:ind w:firstLine="400"/>
        <w:divId w:val="303312830"/>
        <w:rPr>
          <w:rFonts w:cs="Times New Roman"/>
          <w:sz w:val="18"/>
          <w:szCs w:val="18"/>
        </w:rPr>
      </w:pPr>
      <w:r w:rsidRPr="002B59B9">
        <w:rPr>
          <w:rFonts w:cs="Times New Roman" w:hint="eastAsia"/>
          <w:sz w:val="18"/>
          <w:szCs w:val="18"/>
        </w:rPr>
        <w:t>与商誉的初始确认有关，</w:t>
      </w:r>
      <w:proofErr w:type="gramStart"/>
      <w:r w:rsidRPr="002B59B9">
        <w:rPr>
          <w:rFonts w:cs="Times New Roman" w:hint="eastAsia"/>
          <w:sz w:val="18"/>
          <w:szCs w:val="18"/>
        </w:rPr>
        <w:t>以及与既不是</w:t>
      </w:r>
      <w:proofErr w:type="gramEnd"/>
      <w:r w:rsidRPr="002B59B9">
        <w:rPr>
          <w:rFonts w:cs="Times New Roman" w:hint="eastAsia"/>
          <w:sz w:val="18"/>
          <w:szCs w:val="18"/>
        </w:rPr>
        <w:t>企业合并、发生时也不影响会计利润和应纳税所得额（或可抵扣亏损）的交易中产生的资产或负债的初始确认有关的应纳税暂时性差异，不予确认有关的递延所得税负债。此外，对与子公司、联营企业及合营企业投资相关的应纳税暂时性差异，如果本公司能够控制暂时性差异转回的时间，而且该暂时性差异在可预见的未来很可能不会转回，也不予确认有关的递延所得税负债。除上述例外情况，本公司确认其他所有应纳税暂时性差异产生的递延所得税负债。</w:t>
      </w:r>
    </w:p>
    <w:p w:rsidR="008D4B2E" w:rsidRPr="002B59B9" w:rsidRDefault="008D4B2E" w:rsidP="00B818D2">
      <w:pPr>
        <w:pStyle w:val="a3"/>
        <w:spacing w:before="0" w:beforeAutospacing="0" w:after="0" w:afterAutospacing="0"/>
        <w:ind w:firstLine="400"/>
        <w:divId w:val="303312830"/>
        <w:rPr>
          <w:rFonts w:cs="Times New Roman"/>
          <w:sz w:val="18"/>
          <w:szCs w:val="18"/>
        </w:rPr>
      </w:pPr>
      <w:proofErr w:type="gramStart"/>
      <w:r w:rsidRPr="002B59B9">
        <w:rPr>
          <w:rFonts w:cs="Times New Roman" w:hint="eastAsia"/>
          <w:sz w:val="18"/>
          <w:szCs w:val="18"/>
        </w:rPr>
        <w:t>与既不是</w:t>
      </w:r>
      <w:proofErr w:type="gramEnd"/>
      <w:r w:rsidRPr="002B59B9">
        <w:rPr>
          <w:rFonts w:cs="Times New Roman" w:hint="eastAsia"/>
          <w:sz w:val="18"/>
          <w:szCs w:val="18"/>
        </w:rPr>
        <w:t>企业合并、发生时也不影响会计利润和应纳税所得额（或可抵扣亏损）的交易中产生的资产或负债的初始确认有关的可抵扣暂时性差异，不予确认有关的递延所得税资产。此外，对与子公司、联营企业及合营企业投资相关的可抵扣暂时性差异，如果暂时性差异在可预见的未来不是很可能转回，或者未来不是很可能获得用来抵扣可抵扣暂时性差异的应纳税所得额，不予确认有关的递延所得税资产。除上述例外情况，本公司以很可能取得用来抵扣可抵扣暂时性差异的应纳税所得额为限，确认其他可抵扣暂时性差异产生的递延所得税资产。</w:t>
      </w:r>
    </w:p>
    <w:p w:rsidR="008D4B2E" w:rsidRPr="002B59B9" w:rsidRDefault="008D4B2E" w:rsidP="00B818D2">
      <w:pPr>
        <w:pStyle w:val="a3"/>
        <w:spacing w:before="0" w:beforeAutospacing="0" w:after="0" w:afterAutospacing="0"/>
        <w:ind w:firstLine="400"/>
        <w:divId w:val="303312830"/>
        <w:rPr>
          <w:rFonts w:cs="Times New Roman"/>
          <w:sz w:val="18"/>
          <w:szCs w:val="18"/>
        </w:rPr>
      </w:pPr>
      <w:r w:rsidRPr="002B59B9">
        <w:rPr>
          <w:rFonts w:cs="Times New Roman" w:hint="eastAsia"/>
          <w:sz w:val="18"/>
          <w:szCs w:val="18"/>
        </w:rPr>
        <w:t>对于能够结转以后年度的可抵扣亏损和税款抵减，以很可能获得用来抵扣可抵扣亏损和税款抵减的未来应纳税所得额为限，确认相应的递延所得税资产。</w:t>
      </w:r>
    </w:p>
    <w:p w:rsidR="008D4B2E" w:rsidRPr="002B59B9" w:rsidRDefault="008D4B2E" w:rsidP="00B818D2">
      <w:pPr>
        <w:pStyle w:val="a3"/>
        <w:spacing w:before="0" w:beforeAutospacing="0" w:after="0" w:afterAutospacing="0"/>
        <w:ind w:firstLine="400"/>
        <w:divId w:val="303312830"/>
        <w:rPr>
          <w:rFonts w:cs="Times New Roman"/>
          <w:sz w:val="18"/>
          <w:szCs w:val="18"/>
        </w:rPr>
      </w:pPr>
      <w:r w:rsidRPr="002B59B9">
        <w:rPr>
          <w:rFonts w:cs="Times New Roman" w:hint="eastAsia"/>
          <w:sz w:val="18"/>
          <w:szCs w:val="18"/>
        </w:rPr>
        <w:t>资产负债表日，对于递延所得税资产和递延所得税负债，根据税法规定，按照预期收回相关资产或清偿相关负债期间的适用税率计量。</w:t>
      </w:r>
    </w:p>
    <w:p w:rsidR="008D4B2E" w:rsidRPr="002B59B9" w:rsidRDefault="008D4B2E" w:rsidP="00B818D2">
      <w:pPr>
        <w:pStyle w:val="a3"/>
        <w:spacing w:before="0" w:beforeAutospacing="0" w:after="0" w:afterAutospacing="0"/>
        <w:ind w:firstLine="400"/>
        <w:divId w:val="303312830"/>
        <w:rPr>
          <w:rFonts w:cs="Times New Roman"/>
          <w:sz w:val="18"/>
          <w:szCs w:val="18"/>
        </w:rPr>
      </w:pPr>
      <w:r w:rsidRPr="002B59B9">
        <w:rPr>
          <w:rFonts w:cs="Times New Roman" w:hint="eastAsia"/>
          <w:sz w:val="18"/>
          <w:szCs w:val="18"/>
        </w:rPr>
        <w:t>于资产负债表日，对递延所得税资产的账面价值进行复核，如果未来很可能无法获得足够的应纳税所得额用以抵扣递延所得税资产的利益，则</w:t>
      </w:r>
      <w:proofErr w:type="gramStart"/>
      <w:r w:rsidRPr="002B59B9">
        <w:rPr>
          <w:rFonts w:cs="Times New Roman" w:hint="eastAsia"/>
          <w:sz w:val="18"/>
          <w:szCs w:val="18"/>
        </w:rPr>
        <w:t>减记递</w:t>
      </w:r>
      <w:proofErr w:type="gramEnd"/>
      <w:r w:rsidRPr="002B59B9">
        <w:rPr>
          <w:rFonts w:cs="Times New Roman" w:hint="eastAsia"/>
          <w:sz w:val="18"/>
          <w:szCs w:val="18"/>
        </w:rPr>
        <w:t>延所得税资产的账面价值。在很可能获得足够的应纳税所得额时，</w:t>
      </w:r>
      <w:proofErr w:type="gramStart"/>
      <w:r w:rsidRPr="002B59B9">
        <w:rPr>
          <w:rFonts w:cs="Times New Roman" w:hint="eastAsia"/>
          <w:sz w:val="18"/>
          <w:szCs w:val="18"/>
        </w:rPr>
        <w:t>减记的</w:t>
      </w:r>
      <w:proofErr w:type="gramEnd"/>
      <w:r w:rsidRPr="002B59B9">
        <w:rPr>
          <w:rFonts w:cs="Times New Roman" w:hint="eastAsia"/>
          <w:sz w:val="18"/>
          <w:szCs w:val="18"/>
        </w:rPr>
        <w:t>金额予以转回。</w:t>
      </w:r>
    </w:p>
    <w:p w:rsidR="008D4B2E" w:rsidRPr="002B59B9" w:rsidRDefault="008D4B2E" w:rsidP="00B818D2">
      <w:pPr>
        <w:pStyle w:val="a3"/>
        <w:spacing w:before="0" w:beforeAutospacing="0" w:after="0" w:afterAutospacing="0"/>
        <w:ind w:firstLine="400"/>
        <w:divId w:val="303312830"/>
        <w:rPr>
          <w:rFonts w:cs="Times New Roman"/>
          <w:sz w:val="18"/>
          <w:szCs w:val="18"/>
        </w:rPr>
      </w:pPr>
      <w:r w:rsidRPr="002B59B9">
        <w:rPr>
          <w:rFonts w:cs="Times New Roman" w:hint="eastAsia"/>
          <w:sz w:val="18"/>
          <w:szCs w:val="18"/>
        </w:rPr>
        <w:t>（</w:t>
      </w:r>
      <w:r w:rsidRPr="002B59B9">
        <w:rPr>
          <w:rFonts w:cs="Times New Roman"/>
          <w:sz w:val="18"/>
          <w:szCs w:val="18"/>
        </w:rPr>
        <w:t>3</w:t>
      </w:r>
      <w:r w:rsidRPr="002B59B9">
        <w:rPr>
          <w:rFonts w:cs="Times New Roman" w:hint="eastAsia"/>
          <w:sz w:val="18"/>
          <w:szCs w:val="18"/>
        </w:rPr>
        <w:t>）所得税费用</w:t>
      </w:r>
    </w:p>
    <w:p w:rsidR="008D4B2E" w:rsidRPr="002B59B9" w:rsidRDefault="008D4B2E" w:rsidP="00B818D2">
      <w:pPr>
        <w:pStyle w:val="a3"/>
        <w:spacing w:before="0" w:beforeAutospacing="0" w:after="0" w:afterAutospacing="0"/>
        <w:ind w:firstLine="400"/>
        <w:divId w:val="303312830"/>
        <w:rPr>
          <w:rFonts w:cs="Times New Roman"/>
          <w:sz w:val="18"/>
          <w:szCs w:val="18"/>
        </w:rPr>
      </w:pPr>
      <w:r w:rsidRPr="002B59B9">
        <w:rPr>
          <w:rFonts w:cs="Times New Roman" w:hint="eastAsia"/>
          <w:sz w:val="18"/>
          <w:szCs w:val="18"/>
        </w:rPr>
        <w:t>所得税费用包括当期所得税和递延所得税。</w:t>
      </w:r>
    </w:p>
    <w:p w:rsidR="008D4B2E" w:rsidRPr="002B59B9" w:rsidRDefault="008D4B2E" w:rsidP="00B818D2">
      <w:pPr>
        <w:pStyle w:val="a3"/>
        <w:spacing w:before="0" w:beforeAutospacing="0" w:after="0" w:afterAutospacing="0"/>
        <w:ind w:firstLine="400"/>
        <w:divId w:val="303312830"/>
        <w:rPr>
          <w:rFonts w:cs="Times New Roman"/>
          <w:sz w:val="18"/>
          <w:szCs w:val="18"/>
        </w:rPr>
      </w:pPr>
      <w:r w:rsidRPr="002B59B9">
        <w:rPr>
          <w:rFonts w:cs="Times New Roman" w:hint="eastAsia"/>
          <w:sz w:val="18"/>
          <w:szCs w:val="18"/>
        </w:rPr>
        <w:lastRenderedPageBreak/>
        <w:t>除确认为其他综合收益或直接计入股东权益的交易和事项相关的当期所得税和递延所得税计入其他综合收益或股东权益，以及企业合并产生的递延所得税调整商誉的账面价值外，其余当期所得税和递延所得税费用或收益计入当期损益。</w:t>
      </w:r>
    </w:p>
    <w:p w:rsidR="008D4B2E" w:rsidRPr="002B59B9" w:rsidRDefault="008D4B2E" w:rsidP="00B818D2">
      <w:pPr>
        <w:pStyle w:val="a3"/>
        <w:spacing w:before="0" w:beforeAutospacing="0" w:after="0" w:afterAutospacing="0"/>
        <w:ind w:firstLine="400"/>
        <w:divId w:val="303312830"/>
        <w:rPr>
          <w:rFonts w:cs="Times New Roman"/>
          <w:sz w:val="18"/>
          <w:szCs w:val="18"/>
        </w:rPr>
      </w:pPr>
      <w:r w:rsidRPr="002B59B9">
        <w:rPr>
          <w:rFonts w:cs="Times New Roman" w:hint="eastAsia"/>
          <w:sz w:val="18"/>
          <w:szCs w:val="18"/>
        </w:rPr>
        <w:t>（</w:t>
      </w:r>
      <w:r w:rsidRPr="002B59B9">
        <w:rPr>
          <w:rFonts w:cs="Times New Roman"/>
          <w:sz w:val="18"/>
          <w:szCs w:val="18"/>
        </w:rPr>
        <w:t>4</w:t>
      </w:r>
      <w:r w:rsidRPr="002B59B9">
        <w:rPr>
          <w:rFonts w:cs="Times New Roman" w:hint="eastAsia"/>
          <w:sz w:val="18"/>
          <w:szCs w:val="18"/>
        </w:rPr>
        <w:t>）所得税的</w:t>
      </w:r>
      <w:proofErr w:type="gramStart"/>
      <w:r w:rsidRPr="002B59B9">
        <w:rPr>
          <w:rFonts w:cs="Times New Roman" w:hint="eastAsia"/>
          <w:sz w:val="18"/>
          <w:szCs w:val="18"/>
        </w:rPr>
        <w:t>抵销</w:t>
      </w:r>
      <w:proofErr w:type="gramEnd"/>
    </w:p>
    <w:p w:rsidR="008D4B2E" w:rsidRPr="002B59B9" w:rsidRDefault="008D4B2E" w:rsidP="00B818D2">
      <w:pPr>
        <w:pStyle w:val="a3"/>
        <w:spacing w:before="0" w:beforeAutospacing="0" w:after="0" w:afterAutospacing="0"/>
        <w:ind w:firstLine="400"/>
        <w:divId w:val="303312830"/>
        <w:rPr>
          <w:rFonts w:cs="Times New Roman"/>
          <w:sz w:val="18"/>
          <w:szCs w:val="18"/>
        </w:rPr>
      </w:pPr>
      <w:r w:rsidRPr="002B59B9">
        <w:rPr>
          <w:rFonts w:cs="Times New Roman" w:hint="eastAsia"/>
          <w:sz w:val="18"/>
          <w:szCs w:val="18"/>
        </w:rPr>
        <w:t>当拥有以净额结算的法定权利，且意图以净额结算或取得资产、清偿负债同时进行时，本公司当期所得税资产及当期所得税负债以</w:t>
      </w:r>
      <w:proofErr w:type="gramStart"/>
      <w:r w:rsidRPr="002B59B9">
        <w:rPr>
          <w:rFonts w:cs="Times New Roman" w:hint="eastAsia"/>
          <w:sz w:val="18"/>
          <w:szCs w:val="18"/>
        </w:rPr>
        <w:t>抵销</w:t>
      </w:r>
      <w:proofErr w:type="gramEnd"/>
      <w:r w:rsidRPr="002B59B9">
        <w:rPr>
          <w:rFonts w:cs="Times New Roman" w:hint="eastAsia"/>
          <w:sz w:val="18"/>
          <w:szCs w:val="18"/>
        </w:rPr>
        <w:t>后的净额列报。</w:t>
      </w:r>
    </w:p>
    <w:p w:rsidR="008D4B2E" w:rsidRPr="002B59B9" w:rsidRDefault="008D4B2E" w:rsidP="00B818D2">
      <w:pPr>
        <w:pStyle w:val="a3"/>
        <w:spacing w:before="0" w:beforeAutospacing="0" w:after="0" w:afterAutospacing="0"/>
        <w:ind w:firstLine="400"/>
        <w:divId w:val="303312830"/>
        <w:rPr>
          <w:rFonts w:cs="Times New Roman"/>
          <w:sz w:val="18"/>
          <w:szCs w:val="18"/>
        </w:rPr>
      </w:pPr>
      <w:r w:rsidRPr="002B59B9">
        <w:rPr>
          <w:rFonts w:cs="Times New Roman" w:hint="eastAsia"/>
          <w:sz w:val="18"/>
          <w:szCs w:val="18"/>
        </w:rPr>
        <w:t>当拥有以净额结算当期所得税资产及当期所得税负债的法定权利，</w:t>
      </w:r>
      <w:proofErr w:type="gramStart"/>
      <w:r w:rsidRPr="002B59B9">
        <w:rPr>
          <w:rFonts w:cs="Times New Roman" w:hint="eastAsia"/>
          <w:sz w:val="18"/>
          <w:szCs w:val="18"/>
        </w:rPr>
        <w:t>且递延</w:t>
      </w:r>
      <w:proofErr w:type="gramEnd"/>
      <w:r w:rsidRPr="002B59B9">
        <w:rPr>
          <w:rFonts w:cs="Times New Roman" w:hint="eastAsia"/>
          <w:sz w:val="18"/>
          <w:szCs w:val="18"/>
        </w:rPr>
        <w:t>所得税资产及递延所得税负债是与同</w:t>
      </w:r>
      <w:proofErr w:type="gramStart"/>
      <w:r w:rsidRPr="002B59B9">
        <w:rPr>
          <w:rFonts w:cs="Times New Roman" w:hint="eastAsia"/>
          <w:sz w:val="18"/>
          <w:szCs w:val="18"/>
        </w:rPr>
        <w:t>一税收</w:t>
      </w:r>
      <w:proofErr w:type="gramEnd"/>
      <w:r w:rsidRPr="002B59B9">
        <w:rPr>
          <w:rFonts w:cs="Times New Roman" w:hint="eastAsia"/>
          <w:sz w:val="18"/>
          <w:szCs w:val="18"/>
        </w:rPr>
        <w:t>征管部门对同一纳税主体征收的所得税相关或者是对不同的纳税主体相关，但在未来每一具有重要性的递延所得税资产及负债转回的期间内，涉及的纳税主体意图以净额结算当期所得税资产和负债或是同时取得资产、清偿负债时，本公司递延所得税资产及递延所得税负债以</w:t>
      </w:r>
      <w:proofErr w:type="gramStart"/>
      <w:r w:rsidRPr="002B59B9">
        <w:rPr>
          <w:rFonts w:cs="Times New Roman" w:hint="eastAsia"/>
          <w:sz w:val="18"/>
          <w:szCs w:val="18"/>
        </w:rPr>
        <w:t>抵销</w:t>
      </w:r>
      <w:proofErr w:type="gramEnd"/>
      <w:r w:rsidRPr="002B59B9">
        <w:rPr>
          <w:rFonts w:cs="Times New Roman" w:hint="eastAsia"/>
          <w:sz w:val="18"/>
          <w:szCs w:val="18"/>
        </w:rPr>
        <w:t>后的净额列报。</w:t>
      </w:r>
    </w:p>
    <w:p w:rsidR="00BA0365" w:rsidRDefault="008D4B2E" w:rsidP="00B818D2">
      <w:pPr>
        <w:pStyle w:val="3"/>
        <w:spacing w:line="240" w:lineRule="auto"/>
        <w:jc w:val="left"/>
        <w:rPr>
          <w:rFonts w:ascii="宋体" w:hAnsi="宋体" w:cs="宋体"/>
          <w:b/>
          <w:bCs/>
        </w:rPr>
      </w:pPr>
      <w:bookmarkStart w:id="215" w:name="_Toc989103"/>
      <w:r>
        <w:rPr>
          <w:rFonts w:ascii="宋体" w:hAnsi="宋体" w:cs="宋体"/>
          <w:b/>
          <w:bCs/>
        </w:rPr>
        <w:t>38、租赁</w:t>
      </w:r>
      <w:bookmarkEnd w:id="215"/>
    </w:p>
    <w:p w:rsidR="00BA0365" w:rsidRDefault="008D4B2E" w:rsidP="00B818D2">
      <w:pPr>
        <w:keepNext/>
        <w:keepLines/>
        <w:spacing w:before="300" w:after="300"/>
        <w:outlineLvl w:val="3"/>
        <w:rPr>
          <w:rFonts w:ascii="宋体" w:eastAsia="宋体" w:hAnsi="宋体" w:cs="宋体"/>
          <w:b/>
          <w:bCs/>
          <w:szCs w:val="21"/>
        </w:rPr>
      </w:pPr>
      <w:bookmarkStart w:id="216" w:name="_Toc989104"/>
      <w:r>
        <w:rPr>
          <w:rFonts w:ascii="宋体" w:eastAsia="宋体" w:hAnsi="宋体" w:cs="宋体"/>
          <w:b/>
          <w:bCs/>
          <w:szCs w:val="21"/>
        </w:rPr>
        <w:t>（1） 作为承租方租赁的会计处理方法</w:t>
      </w:r>
      <w:bookmarkEnd w:id="216"/>
    </w:p>
    <w:p w:rsidR="008D4B2E" w:rsidRPr="002B59B9" w:rsidRDefault="008D4B2E" w:rsidP="00B818D2">
      <w:pPr>
        <w:pStyle w:val="a3"/>
        <w:spacing w:before="0" w:beforeAutospacing="0" w:after="0" w:afterAutospacing="0"/>
        <w:ind w:firstLine="400"/>
        <w:divId w:val="750391646"/>
        <w:rPr>
          <w:rFonts w:cs="Times New Roman"/>
          <w:sz w:val="18"/>
          <w:szCs w:val="18"/>
        </w:rPr>
      </w:pPr>
      <w:r w:rsidRPr="002B59B9">
        <w:rPr>
          <w:rFonts w:cs="Times New Roman" w:hint="eastAsia"/>
          <w:sz w:val="18"/>
          <w:szCs w:val="18"/>
        </w:rPr>
        <w:t>本公司租赁资产的类别主要为房屋建筑物等。</w:t>
      </w:r>
    </w:p>
    <w:p w:rsidR="008D4B2E" w:rsidRPr="002B59B9" w:rsidRDefault="008D4B2E" w:rsidP="00B818D2">
      <w:pPr>
        <w:pStyle w:val="a3"/>
        <w:spacing w:before="0" w:beforeAutospacing="0" w:after="0" w:afterAutospacing="0"/>
        <w:ind w:firstLine="400"/>
        <w:divId w:val="750391646"/>
        <w:rPr>
          <w:rFonts w:cs="Times New Roman"/>
          <w:sz w:val="18"/>
          <w:szCs w:val="18"/>
        </w:rPr>
      </w:pPr>
      <w:r w:rsidRPr="002B59B9">
        <w:rPr>
          <w:rFonts w:cs="Times New Roman" w:hint="eastAsia"/>
          <w:sz w:val="18"/>
          <w:szCs w:val="18"/>
        </w:rPr>
        <w:t>①初始计量</w:t>
      </w:r>
    </w:p>
    <w:p w:rsidR="008D4B2E" w:rsidRPr="002B59B9" w:rsidRDefault="008D4B2E" w:rsidP="00B818D2">
      <w:pPr>
        <w:pStyle w:val="a3"/>
        <w:spacing w:before="0" w:beforeAutospacing="0" w:after="0" w:afterAutospacing="0"/>
        <w:ind w:firstLine="400"/>
        <w:divId w:val="750391646"/>
        <w:rPr>
          <w:rFonts w:cs="Times New Roman"/>
          <w:sz w:val="18"/>
          <w:szCs w:val="18"/>
        </w:rPr>
      </w:pPr>
      <w:r w:rsidRPr="002B59B9">
        <w:rPr>
          <w:rFonts w:cs="Times New Roman" w:hint="eastAsia"/>
          <w:sz w:val="18"/>
          <w:szCs w:val="18"/>
        </w:rPr>
        <w:t>在租赁期开始日，本公司将可在租赁期内使用租赁资产的权利确认为使用权资产，将尚未支付的租赁付款额的现值确认为租赁负债，短期租赁和低价值资产租赁除外。在计算租赁付款额的现值时，本公司采用承租人增量借款利率作为折现率。</w:t>
      </w:r>
    </w:p>
    <w:p w:rsidR="008D4B2E" w:rsidRPr="002B59B9" w:rsidRDefault="008D4B2E" w:rsidP="00B818D2">
      <w:pPr>
        <w:pStyle w:val="a3"/>
        <w:spacing w:before="0" w:beforeAutospacing="0" w:after="0" w:afterAutospacing="0"/>
        <w:ind w:firstLine="400"/>
        <w:divId w:val="750391646"/>
        <w:rPr>
          <w:rFonts w:cs="Times New Roman"/>
          <w:sz w:val="18"/>
          <w:szCs w:val="18"/>
        </w:rPr>
      </w:pPr>
      <w:r w:rsidRPr="002B59B9">
        <w:rPr>
          <w:rFonts w:cs="Times New Roman" w:hint="eastAsia"/>
          <w:sz w:val="18"/>
          <w:szCs w:val="18"/>
        </w:rPr>
        <w:t>②后续计量</w:t>
      </w:r>
    </w:p>
    <w:p w:rsidR="008D4B2E" w:rsidRPr="002B59B9" w:rsidRDefault="008D4B2E" w:rsidP="00B818D2">
      <w:pPr>
        <w:pStyle w:val="a3"/>
        <w:spacing w:before="0" w:beforeAutospacing="0" w:after="0" w:afterAutospacing="0"/>
        <w:ind w:firstLine="400"/>
        <w:divId w:val="750391646"/>
        <w:rPr>
          <w:rFonts w:cs="Times New Roman"/>
          <w:sz w:val="18"/>
          <w:szCs w:val="18"/>
        </w:rPr>
      </w:pPr>
      <w:r w:rsidRPr="002B59B9">
        <w:rPr>
          <w:rFonts w:cs="Times New Roman" w:hint="eastAsia"/>
          <w:sz w:val="18"/>
          <w:szCs w:val="18"/>
        </w:rPr>
        <w:t>本公司自租赁期开始的次月对使用权资产计提折旧，能够合理确定租赁期届满时取得租赁资产所有权的，本公司在租赁资产剩余使用寿命内计提折旧。无法合理确定租赁期届满时能够取得租赁资产所有权的，本公司在租赁期与租赁资产剩余使用寿命两者孰短的期间内计提折旧。</w:t>
      </w:r>
    </w:p>
    <w:p w:rsidR="008D4B2E" w:rsidRPr="002B59B9" w:rsidRDefault="008D4B2E" w:rsidP="00B818D2">
      <w:pPr>
        <w:pStyle w:val="a3"/>
        <w:spacing w:before="0" w:beforeAutospacing="0" w:after="0" w:afterAutospacing="0"/>
        <w:ind w:firstLine="400"/>
        <w:divId w:val="750391646"/>
        <w:rPr>
          <w:rFonts w:cs="Times New Roman"/>
          <w:sz w:val="18"/>
          <w:szCs w:val="18"/>
        </w:rPr>
      </w:pPr>
      <w:r w:rsidRPr="002B59B9">
        <w:rPr>
          <w:rFonts w:cs="Times New Roman" w:hint="eastAsia"/>
          <w:sz w:val="18"/>
          <w:szCs w:val="18"/>
        </w:rPr>
        <w:t>对于租赁负债，本公司按照固定的周期性利率计算其在租赁期内各期间的利息费用，计入当期损益或计入相关资产成本。未纳入租赁负债计量的可变租赁付款额在实际发生时计入当期损益或相关资产成本。</w:t>
      </w:r>
    </w:p>
    <w:p w:rsidR="008D4B2E" w:rsidRPr="002B59B9" w:rsidRDefault="008D4B2E" w:rsidP="00B818D2">
      <w:pPr>
        <w:pStyle w:val="a3"/>
        <w:spacing w:before="0" w:beforeAutospacing="0" w:after="0" w:afterAutospacing="0"/>
        <w:ind w:firstLine="400"/>
        <w:divId w:val="750391646"/>
        <w:rPr>
          <w:rFonts w:cs="Times New Roman"/>
          <w:sz w:val="18"/>
          <w:szCs w:val="18"/>
        </w:rPr>
      </w:pPr>
      <w:r w:rsidRPr="002B59B9">
        <w:rPr>
          <w:rFonts w:cs="Times New Roman" w:hint="eastAsia"/>
          <w:sz w:val="18"/>
          <w:szCs w:val="18"/>
        </w:rPr>
        <w:t>租赁期开始日后，当实质固定付款额发生变动、担保余值预计的应付金额发生变化、用于确定租赁付款额的指数或比率发生变动、购买选择权、续租选择权或终止选择权的评估结果或实际行权情况发生变化时，本公司按照变动后的租赁付款额的现值重新计量租赁负债，并相应调整使用权资产的账面价值。使用权资产账面价值已调减至零，但租赁负债仍需进一步调减的，本公司将剩余金额计入当期损益。</w:t>
      </w:r>
    </w:p>
    <w:p w:rsidR="008D4B2E" w:rsidRPr="002B59B9" w:rsidRDefault="008D4B2E" w:rsidP="00B818D2">
      <w:pPr>
        <w:pStyle w:val="a3"/>
        <w:spacing w:before="0" w:beforeAutospacing="0" w:after="0" w:afterAutospacing="0"/>
        <w:ind w:firstLine="400"/>
        <w:divId w:val="750391646"/>
        <w:rPr>
          <w:rFonts w:cs="Times New Roman"/>
          <w:sz w:val="18"/>
          <w:szCs w:val="18"/>
        </w:rPr>
      </w:pPr>
      <w:r w:rsidRPr="002B59B9">
        <w:rPr>
          <w:rFonts w:cs="Times New Roman" w:hint="eastAsia"/>
          <w:sz w:val="18"/>
          <w:szCs w:val="18"/>
        </w:rPr>
        <w:t>③短期租赁和低价值资产租赁</w:t>
      </w:r>
      <w:r w:rsidRPr="002B59B9">
        <w:rPr>
          <w:rFonts w:cs="Times New Roman"/>
          <w:sz w:val="18"/>
          <w:szCs w:val="18"/>
        </w:rPr>
        <w:t xml:space="preserve"> </w:t>
      </w:r>
    </w:p>
    <w:p w:rsidR="008D4B2E" w:rsidRPr="002B59B9" w:rsidRDefault="008D4B2E" w:rsidP="00B818D2">
      <w:pPr>
        <w:pStyle w:val="a3"/>
        <w:spacing w:before="0" w:beforeAutospacing="0" w:after="0" w:afterAutospacing="0"/>
        <w:ind w:firstLine="400"/>
        <w:divId w:val="750391646"/>
        <w:rPr>
          <w:rFonts w:cs="Times New Roman"/>
          <w:sz w:val="18"/>
          <w:szCs w:val="18"/>
        </w:rPr>
      </w:pPr>
      <w:r w:rsidRPr="002B59B9">
        <w:rPr>
          <w:rFonts w:cs="Times New Roman" w:hint="eastAsia"/>
          <w:sz w:val="18"/>
          <w:szCs w:val="18"/>
        </w:rPr>
        <w:t>对于短期租赁（在租赁开始日租赁期不超过</w:t>
      </w:r>
      <w:r w:rsidRPr="002B59B9">
        <w:rPr>
          <w:rFonts w:cs="Times New Roman"/>
          <w:sz w:val="18"/>
          <w:szCs w:val="18"/>
        </w:rPr>
        <w:t>12</w:t>
      </w:r>
      <w:r w:rsidRPr="002B59B9">
        <w:rPr>
          <w:rFonts w:cs="Times New Roman" w:hint="eastAsia"/>
          <w:sz w:val="18"/>
          <w:szCs w:val="18"/>
        </w:rPr>
        <w:t>个月的租赁）和低价值资产租赁，本公司采取简化处理方法，不确认使用权资产和租赁负债，而在租赁期内各个期间按照直线法或其他系统合理的方法将租赁付款额计入相关资产成本或当期损益。</w:t>
      </w:r>
    </w:p>
    <w:p w:rsidR="008D4B2E" w:rsidRPr="002B59B9" w:rsidRDefault="008D4B2E" w:rsidP="00B818D2">
      <w:pPr>
        <w:pStyle w:val="a3"/>
        <w:spacing w:before="0" w:beforeAutospacing="0" w:after="0" w:afterAutospacing="0"/>
        <w:ind w:firstLine="400"/>
        <w:divId w:val="750391646"/>
        <w:rPr>
          <w:rFonts w:cs="Times New Roman"/>
          <w:sz w:val="18"/>
          <w:szCs w:val="18"/>
        </w:rPr>
      </w:pPr>
      <w:r w:rsidRPr="002B59B9">
        <w:rPr>
          <w:rFonts w:cs="Times New Roman" w:hint="eastAsia"/>
          <w:sz w:val="18"/>
          <w:szCs w:val="18"/>
        </w:rPr>
        <w:t>④租赁变更</w:t>
      </w:r>
    </w:p>
    <w:p w:rsidR="008D4B2E" w:rsidRPr="002B59B9" w:rsidRDefault="008D4B2E" w:rsidP="00B818D2">
      <w:pPr>
        <w:pStyle w:val="a3"/>
        <w:spacing w:before="0" w:beforeAutospacing="0" w:after="0" w:afterAutospacing="0"/>
        <w:ind w:firstLine="400"/>
        <w:divId w:val="750391646"/>
        <w:rPr>
          <w:rFonts w:cs="Times New Roman"/>
          <w:sz w:val="18"/>
          <w:szCs w:val="18"/>
        </w:rPr>
      </w:pPr>
      <w:r w:rsidRPr="002B59B9">
        <w:rPr>
          <w:rFonts w:cs="Times New Roman" w:hint="eastAsia"/>
          <w:sz w:val="18"/>
          <w:szCs w:val="18"/>
        </w:rPr>
        <w:t>租赁发生变更且同时符合下列条件的，本公司将该租赁变更作为一项单独租赁进行会计处理：</w:t>
      </w:r>
    </w:p>
    <w:p w:rsidR="008D4B2E" w:rsidRPr="002B59B9" w:rsidRDefault="008D4B2E" w:rsidP="00B818D2">
      <w:pPr>
        <w:pStyle w:val="a3"/>
        <w:spacing w:before="0" w:beforeAutospacing="0" w:after="0" w:afterAutospacing="0"/>
        <w:ind w:firstLine="400"/>
        <w:divId w:val="750391646"/>
        <w:rPr>
          <w:rFonts w:cs="Times New Roman"/>
          <w:sz w:val="18"/>
          <w:szCs w:val="18"/>
        </w:rPr>
      </w:pPr>
      <w:r w:rsidRPr="002B59B9">
        <w:rPr>
          <w:rFonts w:cs="Times New Roman"/>
          <w:sz w:val="18"/>
          <w:szCs w:val="18"/>
        </w:rPr>
        <w:t xml:space="preserve">• </w:t>
      </w:r>
      <w:r w:rsidRPr="002B59B9">
        <w:rPr>
          <w:rFonts w:cs="Times New Roman" w:hint="eastAsia"/>
          <w:sz w:val="18"/>
          <w:szCs w:val="18"/>
        </w:rPr>
        <w:t>该租赁变更通过增加一项或多项租赁资产的使用权而扩大了租赁范围；</w:t>
      </w:r>
    </w:p>
    <w:p w:rsidR="008D4B2E" w:rsidRPr="002B59B9" w:rsidRDefault="008D4B2E" w:rsidP="00B818D2">
      <w:pPr>
        <w:pStyle w:val="a3"/>
        <w:spacing w:before="0" w:beforeAutospacing="0" w:after="0" w:afterAutospacing="0"/>
        <w:ind w:firstLine="400"/>
        <w:divId w:val="750391646"/>
        <w:rPr>
          <w:rFonts w:cs="Times New Roman"/>
          <w:sz w:val="18"/>
          <w:szCs w:val="18"/>
        </w:rPr>
      </w:pPr>
      <w:r w:rsidRPr="002B59B9">
        <w:rPr>
          <w:rFonts w:cs="Times New Roman"/>
          <w:sz w:val="18"/>
          <w:szCs w:val="18"/>
        </w:rPr>
        <w:t xml:space="preserve">• </w:t>
      </w:r>
      <w:r w:rsidRPr="002B59B9">
        <w:rPr>
          <w:rFonts w:cs="Times New Roman" w:hint="eastAsia"/>
          <w:sz w:val="18"/>
          <w:szCs w:val="18"/>
        </w:rPr>
        <w:t>增加的对价与租赁范围扩大部分的单独价格按该合同情况调整后的金额相当。</w:t>
      </w:r>
    </w:p>
    <w:p w:rsidR="008D4B2E" w:rsidRPr="002B59B9" w:rsidRDefault="008D4B2E" w:rsidP="00B818D2">
      <w:pPr>
        <w:pStyle w:val="a3"/>
        <w:spacing w:before="0" w:beforeAutospacing="0" w:after="0" w:afterAutospacing="0"/>
        <w:ind w:firstLine="400"/>
        <w:divId w:val="750391646"/>
        <w:rPr>
          <w:rFonts w:cs="Times New Roman"/>
          <w:sz w:val="18"/>
          <w:szCs w:val="18"/>
        </w:rPr>
      </w:pPr>
      <w:r w:rsidRPr="002B59B9">
        <w:rPr>
          <w:rFonts w:cs="Times New Roman" w:hint="eastAsia"/>
          <w:sz w:val="18"/>
          <w:szCs w:val="18"/>
        </w:rPr>
        <w:t>租赁变更未作为一项单独租赁进行会计处理的，在租赁变更生效日，本公司重新分摊变更后合同的对价，重新确定租赁期，并按照变更后租赁付款额和修订后的折现率计算的现值重新计量租赁负债。</w:t>
      </w:r>
    </w:p>
    <w:p w:rsidR="008D4B2E" w:rsidRPr="002B59B9" w:rsidRDefault="008D4B2E" w:rsidP="00B818D2">
      <w:pPr>
        <w:pStyle w:val="a3"/>
        <w:spacing w:before="0" w:beforeAutospacing="0" w:after="0" w:afterAutospacing="0"/>
        <w:ind w:firstLine="400"/>
        <w:divId w:val="750391646"/>
        <w:rPr>
          <w:rFonts w:cs="Times New Roman"/>
          <w:sz w:val="18"/>
          <w:szCs w:val="18"/>
        </w:rPr>
      </w:pPr>
      <w:r w:rsidRPr="002B59B9">
        <w:rPr>
          <w:rFonts w:cs="Times New Roman" w:hint="eastAsia"/>
          <w:sz w:val="18"/>
          <w:szCs w:val="18"/>
        </w:rPr>
        <w:t>租赁变更导致租赁范围缩小或租赁期缩短的，本公司相应调减使用权资产的账面价值，并将部分终止或完全终止租赁的相关利得或损失计入当期损益。其他租赁变更导致租赁负债重新计量的，本公司相应调整使用权资产的账面价值。</w:t>
      </w:r>
    </w:p>
    <w:p w:rsidR="00BA0365" w:rsidRDefault="008D4B2E" w:rsidP="00B818D2">
      <w:pPr>
        <w:keepNext/>
        <w:keepLines/>
        <w:spacing w:before="300" w:after="300"/>
        <w:outlineLvl w:val="3"/>
        <w:rPr>
          <w:rFonts w:ascii="宋体" w:eastAsia="宋体" w:hAnsi="宋体" w:cs="宋体"/>
          <w:b/>
          <w:bCs/>
          <w:szCs w:val="21"/>
        </w:rPr>
      </w:pPr>
      <w:bookmarkStart w:id="217" w:name="_Toc989105"/>
      <w:r>
        <w:rPr>
          <w:rFonts w:ascii="宋体" w:eastAsia="宋体" w:hAnsi="宋体" w:cs="宋体"/>
          <w:b/>
          <w:bCs/>
          <w:szCs w:val="21"/>
        </w:rPr>
        <w:lastRenderedPageBreak/>
        <w:t>（2） 作为出租方租赁的会计处理方法</w:t>
      </w:r>
      <w:bookmarkEnd w:id="217"/>
    </w:p>
    <w:p w:rsidR="008D4B2E" w:rsidRPr="002B59B9" w:rsidRDefault="008D4B2E" w:rsidP="00B818D2">
      <w:pPr>
        <w:pStyle w:val="a3"/>
        <w:spacing w:before="0" w:beforeAutospacing="0" w:after="0" w:afterAutospacing="0"/>
        <w:ind w:firstLine="400"/>
        <w:divId w:val="1512336598"/>
        <w:rPr>
          <w:rFonts w:cs="Times New Roman"/>
          <w:sz w:val="18"/>
          <w:szCs w:val="18"/>
        </w:rPr>
      </w:pPr>
      <w:r w:rsidRPr="002B59B9">
        <w:rPr>
          <w:rFonts w:cs="Times New Roman" w:hint="eastAsia"/>
          <w:sz w:val="18"/>
          <w:szCs w:val="18"/>
        </w:rPr>
        <w:t>本公司在租赁开始日，基于交易的实质，将租赁分为融资租赁和经营租赁。融资租赁是指实质上转移了与租赁资产所有权有关的几乎全部风险和报酬的租赁。经营租赁是指除融资租赁以外的其他租赁。</w:t>
      </w:r>
    </w:p>
    <w:p w:rsidR="008D4B2E" w:rsidRPr="002B59B9" w:rsidRDefault="008D4B2E" w:rsidP="00B818D2">
      <w:pPr>
        <w:pStyle w:val="a3"/>
        <w:spacing w:before="0" w:beforeAutospacing="0" w:after="0" w:afterAutospacing="0"/>
        <w:ind w:firstLine="400"/>
        <w:divId w:val="1512336598"/>
        <w:rPr>
          <w:rFonts w:cs="Times New Roman"/>
          <w:sz w:val="18"/>
          <w:szCs w:val="18"/>
        </w:rPr>
      </w:pPr>
      <w:r w:rsidRPr="002B59B9">
        <w:rPr>
          <w:rFonts w:cs="Times New Roman" w:hint="eastAsia"/>
          <w:sz w:val="18"/>
          <w:szCs w:val="18"/>
        </w:rPr>
        <w:t>①</w:t>
      </w:r>
      <w:r w:rsidRPr="002B59B9">
        <w:rPr>
          <w:rFonts w:cs="Times New Roman"/>
          <w:sz w:val="18"/>
          <w:szCs w:val="18"/>
        </w:rPr>
        <w:t xml:space="preserve"> </w:t>
      </w:r>
      <w:r w:rsidRPr="002B59B9">
        <w:rPr>
          <w:rFonts w:cs="Times New Roman" w:hint="eastAsia"/>
          <w:sz w:val="18"/>
          <w:szCs w:val="18"/>
        </w:rPr>
        <w:t>经营租赁</w:t>
      </w:r>
    </w:p>
    <w:p w:rsidR="008D4B2E" w:rsidRPr="002B59B9" w:rsidRDefault="008D4B2E" w:rsidP="00B818D2">
      <w:pPr>
        <w:pStyle w:val="a3"/>
        <w:spacing w:before="0" w:beforeAutospacing="0" w:after="0" w:afterAutospacing="0"/>
        <w:ind w:firstLine="400"/>
        <w:divId w:val="1512336598"/>
        <w:rPr>
          <w:rFonts w:cs="Times New Roman"/>
          <w:sz w:val="18"/>
          <w:szCs w:val="18"/>
        </w:rPr>
      </w:pPr>
      <w:r w:rsidRPr="002B59B9">
        <w:rPr>
          <w:rFonts w:cs="Times New Roman" w:hint="eastAsia"/>
          <w:sz w:val="18"/>
          <w:szCs w:val="18"/>
        </w:rPr>
        <w:t>本公司采用直线法将经营租赁的</w:t>
      </w:r>
      <w:proofErr w:type="gramStart"/>
      <w:r w:rsidRPr="002B59B9">
        <w:rPr>
          <w:rFonts w:cs="Times New Roman" w:hint="eastAsia"/>
          <w:sz w:val="18"/>
          <w:szCs w:val="18"/>
        </w:rPr>
        <w:t>租赁收</w:t>
      </w:r>
      <w:proofErr w:type="gramEnd"/>
      <w:r w:rsidRPr="002B59B9">
        <w:rPr>
          <w:rFonts w:cs="Times New Roman" w:hint="eastAsia"/>
          <w:sz w:val="18"/>
          <w:szCs w:val="18"/>
        </w:rPr>
        <w:t>款额确认为租赁期内各期间的租金收入。与经营租赁有关的未计入</w:t>
      </w:r>
      <w:proofErr w:type="gramStart"/>
      <w:r w:rsidRPr="002B59B9">
        <w:rPr>
          <w:rFonts w:cs="Times New Roman" w:hint="eastAsia"/>
          <w:sz w:val="18"/>
          <w:szCs w:val="18"/>
        </w:rPr>
        <w:t>租赁收</w:t>
      </w:r>
      <w:proofErr w:type="gramEnd"/>
      <w:r w:rsidRPr="002B59B9">
        <w:rPr>
          <w:rFonts w:cs="Times New Roman" w:hint="eastAsia"/>
          <w:sz w:val="18"/>
          <w:szCs w:val="18"/>
        </w:rPr>
        <w:t>款额的可变租赁付款额，于实际发生时计入当期损益。</w:t>
      </w:r>
    </w:p>
    <w:p w:rsidR="008D4B2E" w:rsidRPr="002B59B9" w:rsidRDefault="008D4B2E" w:rsidP="00B818D2">
      <w:pPr>
        <w:pStyle w:val="a3"/>
        <w:spacing w:before="0" w:beforeAutospacing="0" w:after="0" w:afterAutospacing="0"/>
        <w:ind w:firstLine="400"/>
        <w:divId w:val="1512336598"/>
        <w:rPr>
          <w:rFonts w:cs="Times New Roman"/>
          <w:sz w:val="18"/>
          <w:szCs w:val="18"/>
        </w:rPr>
      </w:pPr>
      <w:r w:rsidRPr="002B59B9">
        <w:rPr>
          <w:rFonts w:cs="Times New Roman" w:hint="eastAsia"/>
          <w:sz w:val="18"/>
          <w:szCs w:val="18"/>
        </w:rPr>
        <w:t>②</w:t>
      </w:r>
      <w:r w:rsidRPr="002B59B9">
        <w:rPr>
          <w:rFonts w:cs="Times New Roman"/>
          <w:sz w:val="18"/>
          <w:szCs w:val="18"/>
        </w:rPr>
        <w:t xml:space="preserve"> </w:t>
      </w:r>
      <w:r w:rsidRPr="002B59B9">
        <w:rPr>
          <w:rFonts w:cs="Times New Roman" w:hint="eastAsia"/>
          <w:sz w:val="18"/>
          <w:szCs w:val="18"/>
        </w:rPr>
        <w:t>融资租赁</w:t>
      </w:r>
    </w:p>
    <w:p w:rsidR="008D4B2E" w:rsidRPr="002B59B9" w:rsidRDefault="008D4B2E" w:rsidP="00B818D2">
      <w:pPr>
        <w:pStyle w:val="a3"/>
        <w:spacing w:before="0" w:beforeAutospacing="0" w:after="0" w:afterAutospacing="0"/>
        <w:ind w:firstLine="400"/>
        <w:divId w:val="1512336598"/>
        <w:rPr>
          <w:rFonts w:cs="Times New Roman"/>
          <w:sz w:val="18"/>
          <w:szCs w:val="18"/>
        </w:rPr>
      </w:pPr>
      <w:r w:rsidRPr="002B59B9">
        <w:rPr>
          <w:rFonts w:cs="Times New Roman" w:hint="eastAsia"/>
          <w:sz w:val="18"/>
          <w:szCs w:val="18"/>
        </w:rPr>
        <w:t>于租赁期开始日，本公司确认应收融资租赁款，并终止确认融资租赁资产。应收融资租赁款以租赁投资净额（未担保余值和租赁期开始日尚未收到的</w:t>
      </w:r>
      <w:proofErr w:type="gramStart"/>
      <w:r w:rsidRPr="002B59B9">
        <w:rPr>
          <w:rFonts w:cs="Times New Roman" w:hint="eastAsia"/>
          <w:sz w:val="18"/>
          <w:szCs w:val="18"/>
        </w:rPr>
        <w:t>租赁收</w:t>
      </w:r>
      <w:proofErr w:type="gramEnd"/>
      <w:r w:rsidRPr="002B59B9">
        <w:rPr>
          <w:rFonts w:cs="Times New Roman" w:hint="eastAsia"/>
          <w:sz w:val="18"/>
          <w:szCs w:val="18"/>
        </w:rPr>
        <w:t>款额按照租赁内含利率折现的现值之和）进行初始计量，并按照固定的周期性利率计算确认租赁期内的利息收入。本公司取得的未纳入租赁投资净额计量的可变租赁付款额在实际发生时计入当期损益。</w:t>
      </w:r>
    </w:p>
    <w:p w:rsidR="008D4B2E" w:rsidRPr="002B59B9" w:rsidRDefault="008D4B2E" w:rsidP="00B818D2">
      <w:pPr>
        <w:pStyle w:val="a3"/>
        <w:spacing w:before="0" w:beforeAutospacing="0" w:after="0" w:afterAutospacing="0"/>
        <w:ind w:firstLine="400"/>
        <w:divId w:val="1512336598"/>
        <w:rPr>
          <w:rFonts w:cs="Times New Roman"/>
          <w:sz w:val="18"/>
          <w:szCs w:val="18"/>
        </w:rPr>
      </w:pPr>
      <w:r w:rsidRPr="002B59B9">
        <w:rPr>
          <w:rFonts w:cs="Times New Roman" w:hint="eastAsia"/>
          <w:sz w:val="18"/>
          <w:szCs w:val="18"/>
        </w:rPr>
        <w:t>③</w:t>
      </w:r>
      <w:r w:rsidRPr="002B59B9">
        <w:rPr>
          <w:rFonts w:cs="Times New Roman"/>
          <w:sz w:val="18"/>
          <w:szCs w:val="18"/>
        </w:rPr>
        <w:t xml:space="preserve"> </w:t>
      </w:r>
      <w:r w:rsidRPr="002B59B9">
        <w:rPr>
          <w:rFonts w:cs="Times New Roman" w:hint="eastAsia"/>
          <w:sz w:val="18"/>
          <w:szCs w:val="18"/>
        </w:rPr>
        <w:t>租赁变更</w:t>
      </w:r>
    </w:p>
    <w:p w:rsidR="008D4B2E" w:rsidRPr="002B59B9" w:rsidRDefault="008D4B2E" w:rsidP="00B818D2">
      <w:pPr>
        <w:pStyle w:val="a3"/>
        <w:spacing w:before="0" w:beforeAutospacing="0" w:after="0" w:afterAutospacing="0"/>
        <w:ind w:firstLine="400"/>
        <w:divId w:val="1512336598"/>
        <w:rPr>
          <w:rFonts w:cs="Times New Roman"/>
          <w:sz w:val="18"/>
          <w:szCs w:val="18"/>
        </w:rPr>
      </w:pPr>
      <w:r w:rsidRPr="002B59B9">
        <w:rPr>
          <w:rFonts w:cs="Times New Roman" w:hint="eastAsia"/>
          <w:sz w:val="18"/>
          <w:szCs w:val="18"/>
        </w:rPr>
        <w:t>经营租赁发生变更的，本公司自变更生效日起将其作为一项新租赁进行会计处理，与变更前租赁有关的预收或应收</w:t>
      </w:r>
      <w:proofErr w:type="gramStart"/>
      <w:r w:rsidRPr="002B59B9">
        <w:rPr>
          <w:rFonts w:cs="Times New Roman" w:hint="eastAsia"/>
          <w:sz w:val="18"/>
          <w:szCs w:val="18"/>
        </w:rPr>
        <w:t>租赁收</w:t>
      </w:r>
      <w:proofErr w:type="gramEnd"/>
      <w:r w:rsidRPr="002B59B9">
        <w:rPr>
          <w:rFonts w:cs="Times New Roman" w:hint="eastAsia"/>
          <w:sz w:val="18"/>
          <w:szCs w:val="18"/>
        </w:rPr>
        <w:t>款额视为新租赁的收款额。</w:t>
      </w:r>
      <w:r w:rsidRPr="002B59B9">
        <w:rPr>
          <w:rFonts w:cs="Times New Roman"/>
          <w:sz w:val="18"/>
          <w:szCs w:val="18"/>
        </w:rPr>
        <w:t xml:space="preserve">     </w:t>
      </w:r>
    </w:p>
    <w:p w:rsidR="008D4B2E" w:rsidRPr="002B59B9" w:rsidRDefault="008D4B2E" w:rsidP="00B818D2">
      <w:pPr>
        <w:pStyle w:val="a3"/>
        <w:spacing w:before="0" w:beforeAutospacing="0" w:after="0" w:afterAutospacing="0"/>
        <w:ind w:firstLine="400"/>
        <w:divId w:val="1512336598"/>
        <w:rPr>
          <w:rFonts w:cs="Times New Roman"/>
          <w:sz w:val="18"/>
          <w:szCs w:val="18"/>
        </w:rPr>
      </w:pPr>
      <w:r w:rsidRPr="002B59B9">
        <w:rPr>
          <w:rFonts w:cs="Times New Roman" w:hint="eastAsia"/>
          <w:sz w:val="18"/>
          <w:szCs w:val="18"/>
        </w:rPr>
        <w:t>融资租赁发生变更且同时符合下列条件的，本公司将该变更作为一项单独租赁进行会计处理：</w:t>
      </w:r>
    </w:p>
    <w:p w:rsidR="008D4B2E" w:rsidRPr="002B59B9" w:rsidRDefault="008D4B2E" w:rsidP="00B818D2">
      <w:pPr>
        <w:pStyle w:val="a3"/>
        <w:spacing w:before="0" w:beforeAutospacing="0" w:after="0" w:afterAutospacing="0"/>
        <w:ind w:firstLine="400"/>
        <w:divId w:val="1512336598"/>
        <w:rPr>
          <w:rFonts w:cs="Times New Roman"/>
          <w:sz w:val="18"/>
          <w:szCs w:val="18"/>
        </w:rPr>
      </w:pPr>
      <w:r w:rsidRPr="002B59B9">
        <w:rPr>
          <w:rFonts w:cs="Times New Roman"/>
          <w:sz w:val="18"/>
          <w:szCs w:val="18"/>
        </w:rPr>
        <w:t xml:space="preserve">• </w:t>
      </w:r>
      <w:r w:rsidRPr="002B59B9">
        <w:rPr>
          <w:rFonts w:cs="Times New Roman" w:hint="eastAsia"/>
          <w:sz w:val="18"/>
          <w:szCs w:val="18"/>
        </w:rPr>
        <w:t>该变更通过增加一项或多项租赁资产的使用权而扩大了租赁范围；</w:t>
      </w:r>
    </w:p>
    <w:p w:rsidR="008D4B2E" w:rsidRPr="002B59B9" w:rsidRDefault="008D4B2E" w:rsidP="00B818D2">
      <w:pPr>
        <w:pStyle w:val="a3"/>
        <w:spacing w:before="0" w:beforeAutospacing="0" w:after="0" w:afterAutospacing="0"/>
        <w:ind w:firstLine="400"/>
        <w:divId w:val="1512336598"/>
        <w:rPr>
          <w:rFonts w:cs="Times New Roman"/>
          <w:sz w:val="18"/>
          <w:szCs w:val="18"/>
        </w:rPr>
      </w:pPr>
      <w:r w:rsidRPr="002B59B9">
        <w:rPr>
          <w:rFonts w:cs="Times New Roman"/>
          <w:sz w:val="18"/>
          <w:szCs w:val="18"/>
        </w:rPr>
        <w:t xml:space="preserve">• </w:t>
      </w:r>
      <w:r w:rsidRPr="002B59B9">
        <w:rPr>
          <w:rFonts w:cs="Times New Roman" w:hint="eastAsia"/>
          <w:sz w:val="18"/>
          <w:szCs w:val="18"/>
        </w:rPr>
        <w:t>增加的对价与租赁范围扩大部分的单独价格按该合同情况调整后的金额相当。</w:t>
      </w:r>
    </w:p>
    <w:p w:rsidR="008D4B2E" w:rsidRPr="002B59B9" w:rsidRDefault="008D4B2E" w:rsidP="00B818D2">
      <w:pPr>
        <w:pStyle w:val="a3"/>
        <w:spacing w:before="0" w:beforeAutospacing="0" w:after="0" w:afterAutospacing="0"/>
        <w:ind w:firstLine="400"/>
        <w:divId w:val="1512336598"/>
        <w:rPr>
          <w:rFonts w:cs="Times New Roman"/>
          <w:sz w:val="18"/>
          <w:szCs w:val="18"/>
        </w:rPr>
      </w:pPr>
      <w:r w:rsidRPr="002B59B9">
        <w:rPr>
          <w:rFonts w:cs="Times New Roman" w:hint="eastAsia"/>
          <w:sz w:val="18"/>
          <w:szCs w:val="18"/>
        </w:rPr>
        <w:t>融资租赁的变更未作为一项单独租赁进行会计处理的，本公司</w:t>
      </w:r>
      <w:proofErr w:type="gramStart"/>
      <w:r w:rsidRPr="002B59B9">
        <w:rPr>
          <w:rFonts w:cs="Times New Roman" w:hint="eastAsia"/>
          <w:sz w:val="18"/>
          <w:szCs w:val="18"/>
        </w:rPr>
        <w:t>分下列</w:t>
      </w:r>
      <w:proofErr w:type="gramEnd"/>
      <w:r w:rsidRPr="002B59B9">
        <w:rPr>
          <w:rFonts w:cs="Times New Roman" w:hint="eastAsia"/>
          <w:sz w:val="18"/>
          <w:szCs w:val="18"/>
        </w:rPr>
        <w:t>情形对变更后的租赁进行处理：</w:t>
      </w:r>
    </w:p>
    <w:p w:rsidR="008D4B2E" w:rsidRPr="002B59B9" w:rsidRDefault="008D4B2E" w:rsidP="00B818D2">
      <w:pPr>
        <w:pStyle w:val="a3"/>
        <w:spacing w:before="0" w:beforeAutospacing="0" w:after="0" w:afterAutospacing="0"/>
        <w:ind w:firstLine="400"/>
        <w:divId w:val="1512336598"/>
        <w:rPr>
          <w:rFonts w:cs="Times New Roman"/>
          <w:sz w:val="18"/>
          <w:szCs w:val="18"/>
        </w:rPr>
      </w:pPr>
      <w:r w:rsidRPr="002B59B9">
        <w:rPr>
          <w:rFonts w:cs="Times New Roman"/>
          <w:sz w:val="18"/>
          <w:szCs w:val="18"/>
        </w:rPr>
        <w:t xml:space="preserve">• </w:t>
      </w:r>
      <w:r w:rsidRPr="002B59B9">
        <w:rPr>
          <w:rFonts w:cs="Times New Roman" w:hint="eastAsia"/>
          <w:sz w:val="18"/>
          <w:szCs w:val="18"/>
        </w:rPr>
        <w:t>假如变更在租赁开始日生效，该租赁会被分类为经营租赁的，本公司自租赁变更生效日开始将其作为一项新租赁进行会计处理，并以租赁变更生效日前的租赁投资净额作为租赁资产的账面价值；</w:t>
      </w:r>
    </w:p>
    <w:p w:rsidR="008D4B2E" w:rsidRPr="002B59B9" w:rsidRDefault="008D4B2E" w:rsidP="00B818D2">
      <w:pPr>
        <w:pStyle w:val="a3"/>
        <w:spacing w:before="0" w:beforeAutospacing="0" w:after="0" w:afterAutospacing="0"/>
        <w:ind w:firstLine="400"/>
        <w:divId w:val="1512336598"/>
        <w:rPr>
          <w:rFonts w:cs="Times New Roman"/>
          <w:sz w:val="18"/>
          <w:szCs w:val="18"/>
        </w:rPr>
      </w:pPr>
      <w:r w:rsidRPr="002B59B9">
        <w:rPr>
          <w:rFonts w:cs="Times New Roman"/>
          <w:sz w:val="18"/>
          <w:szCs w:val="18"/>
        </w:rPr>
        <w:t xml:space="preserve">• </w:t>
      </w:r>
      <w:r w:rsidRPr="002B59B9">
        <w:rPr>
          <w:rFonts w:cs="Times New Roman" w:hint="eastAsia"/>
          <w:sz w:val="18"/>
          <w:szCs w:val="18"/>
        </w:rPr>
        <w:t>假如变更在租赁开始日生效，该租赁会被分类为融资租赁的，本公司按照《企业会计准则第</w:t>
      </w:r>
      <w:r w:rsidRPr="002B59B9">
        <w:rPr>
          <w:rFonts w:cs="Times New Roman"/>
          <w:sz w:val="18"/>
          <w:szCs w:val="18"/>
        </w:rPr>
        <w:t xml:space="preserve">22 </w:t>
      </w:r>
      <w:r w:rsidRPr="002B59B9">
        <w:rPr>
          <w:rFonts w:cs="Times New Roman" w:hint="eastAsia"/>
          <w:sz w:val="18"/>
          <w:szCs w:val="18"/>
        </w:rPr>
        <w:t>号</w:t>
      </w:r>
      <w:r w:rsidRPr="002B59B9">
        <w:rPr>
          <w:rFonts w:cs="Times New Roman"/>
          <w:sz w:val="18"/>
          <w:szCs w:val="18"/>
        </w:rPr>
        <w:t>——</w:t>
      </w:r>
      <w:r w:rsidRPr="002B59B9">
        <w:rPr>
          <w:rFonts w:cs="Times New Roman" w:hint="eastAsia"/>
          <w:sz w:val="18"/>
          <w:szCs w:val="18"/>
        </w:rPr>
        <w:t>金融工具确认和计量》关于修改或重新议定合同的规定进行会计处理。</w:t>
      </w:r>
    </w:p>
    <w:p w:rsidR="00BA0365" w:rsidRDefault="008D4B2E" w:rsidP="00B818D2">
      <w:pPr>
        <w:pStyle w:val="3"/>
        <w:spacing w:line="240" w:lineRule="auto"/>
        <w:jc w:val="left"/>
        <w:rPr>
          <w:rFonts w:ascii="宋体" w:hAnsi="宋体" w:cs="宋体"/>
          <w:b/>
          <w:bCs/>
        </w:rPr>
      </w:pPr>
      <w:bookmarkStart w:id="218" w:name="_Toc989106"/>
      <w:r>
        <w:rPr>
          <w:rFonts w:ascii="宋体" w:hAnsi="宋体" w:cs="宋体"/>
          <w:b/>
          <w:bCs/>
        </w:rPr>
        <w:t>39、其他重要的会计政策和会计估计</w:t>
      </w:r>
      <w:bookmarkEnd w:id="218"/>
    </w:p>
    <w:p w:rsidR="008D4B2E" w:rsidRPr="002B59B9" w:rsidRDefault="008D4B2E" w:rsidP="00B818D2">
      <w:pPr>
        <w:pStyle w:val="a3"/>
        <w:spacing w:before="0" w:beforeAutospacing="0" w:after="0" w:afterAutospacing="0"/>
        <w:ind w:firstLine="400"/>
        <w:jc w:val="both"/>
        <w:divId w:val="1777864355"/>
        <w:rPr>
          <w:rFonts w:cs="Times New Roman"/>
          <w:sz w:val="18"/>
          <w:szCs w:val="18"/>
        </w:rPr>
      </w:pPr>
      <w:r w:rsidRPr="002B59B9">
        <w:rPr>
          <w:rFonts w:cs="Times New Roman" w:hint="eastAsia"/>
          <w:sz w:val="18"/>
          <w:szCs w:val="18"/>
        </w:rPr>
        <w:t>（</w:t>
      </w:r>
      <w:r w:rsidRPr="002B59B9">
        <w:rPr>
          <w:rFonts w:cs="Times New Roman"/>
          <w:sz w:val="18"/>
          <w:szCs w:val="18"/>
        </w:rPr>
        <w:t>1</w:t>
      </w:r>
      <w:r w:rsidRPr="002B59B9">
        <w:rPr>
          <w:rFonts w:cs="Times New Roman" w:hint="eastAsia"/>
          <w:sz w:val="18"/>
          <w:szCs w:val="18"/>
        </w:rPr>
        <w:t>）终止经营</w:t>
      </w:r>
    </w:p>
    <w:p w:rsidR="008D4B2E" w:rsidRPr="002B59B9" w:rsidRDefault="008D4B2E" w:rsidP="00B818D2">
      <w:pPr>
        <w:pStyle w:val="a3"/>
        <w:spacing w:before="0" w:beforeAutospacing="0" w:after="0" w:afterAutospacing="0"/>
        <w:ind w:firstLine="400"/>
        <w:jc w:val="both"/>
        <w:divId w:val="1777864355"/>
        <w:rPr>
          <w:rFonts w:cs="Times New Roman"/>
          <w:sz w:val="18"/>
          <w:szCs w:val="18"/>
        </w:rPr>
      </w:pPr>
      <w:r w:rsidRPr="002B59B9">
        <w:rPr>
          <w:rFonts w:cs="Times New Roman" w:hint="eastAsia"/>
          <w:sz w:val="18"/>
          <w:szCs w:val="18"/>
        </w:rPr>
        <w:t>终止经营，是指满足下列条件之一的、能够单独区分且已被本公司处置或划分为持有待售类别的组成部分：①该组成部分代表一项独立的主要业务或一个单独的主要经营地区；②该组成部分是拟对一项独立的主要业务或一个单独的主要经营地区进行处置的一项相关联计划的一部分；③该组成部分是专为了转售而取得的子公司。</w:t>
      </w:r>
    </w:p>
    <w:p w:rsidR="008D4B2E" w:rsidRPr="002B59B9" w:rsidRDefault="008D4B2E" w:rsidP="00B818D2">
      <w:pPr>
        <w:pStyle w:val="a3"/>
        <w:spacing w:before="0" w:beforeAutospacing="0" w:after="0" w:afterAutospacing="0"/>
        <w:ind w:firstLine="400"/>
        <w:jc w:val="both"/>
        <w:divId w:val="1777864355"/>
        <w:rPr>
          <w:rFonts w:cs="Times New Roman"/>
          <w:sz w:val="18"/>
          <w:szCs w:val="18"/>
        </w:rPr>
      </w:pPr>
      <w:r w:rsidRPr="002B59B9">
        <w:rPr>
          <w:rFonts w:cs="Times New Roman" w:hint="eastAsia"/>
          <w:sz w:val="18"/>
          <w:szCs w:val="18"/>
        </w:rPr>
        <w:t>终止经营的会计处理方法参见本附注四、</w:t>
      </w:r>
      <w:r w:rsidRPr="002B59B9">
        <w:rPr>
          <w:rFonts w:cs="Times New Roman"/>
          <w:sz w:val="18"/>
          <w:szCs w:val="18"/>
        </w:rPr>
        <w:t>“</w:t>
      </w:r>
      <w:r w:rsidRPr="002B59B9">
        <w:rPr>
          <w:rFonts w:cs="Times New Roman" w:hint="eastAsia"/>
          <w:sz w:val="18"/>
          <w:szCs w:val="18"/>
        </w:rPr>
        <w:t>持有待售资产和处置组</w:t>
      </w:r>
      <w:r w:rsidRPr="002B59B9">
        <w:rPr>
          <w:rFonts w:cs="Times New Roman"/>
          <w:sz w:val="18"/>
          <w:szCs w:val="18"/>
        </w:rPr>
        <w:t>”</w:t>
      </w:r>
      <w:r w:rsidRPr="002B59B9">
        <w:rPr>
          <w:rFonts w:cs="Times New Roman" w:hint="eastAsia"/>
          <w:sz w:val="18"/>
          <w:szCs w:val="18"/>
        </w:rPr>
        <w:t>相关描述。</w:t>
      </w:r>
    </w:p>
    <w:p w:rsidR="008D4B2E" w:rsidRPr="002B59B9" w:rsidRDefault="008D4B2E" w:rsidP="00B818D2">
      <w:pPr>
        <w:pStyle w:val="a3"/>
        <w:spacing w:before="0" w:beforeAutospacing="0" w:after="0" w:afterAutospacing="0"/>
        <w:ind w:firstLine="400"/>
        <w:jc w:val="both"/>
        <w:divId w:val="1777864355"/>
        <w:rPr>
          <w:rFonts w:cs="Times New Roman"/>
          <w:sz w:val="18"/>
          <w:szCs w:val="18"/>
        </w:rPr>
      </w:pPr>
      <w:r w:rsidRPr="002B59B9">
        <w:rPr>
          <w:rFonts w:cs="Times New Roman" w:hint="eastAsia"/>
          <w:sz w:val="18"/>
          <w:szCs w:val="18"/>
        </w:rPr>
        <w:t>（</w:t>
      </w:r>
      <w:r w:rsidRPr="002B59B9">
        <w:rPr>
          <w:rFonts w:cs="Times New Roman"/>
          <w:sz w:val="18"/>
          <w:szCs w:val="18"/>
        </w:rPr>
        <w:t>2</w:t>
      </w:r>
      <w:r w:rsidRPr="002B59B9">
        <w:rPr>
          <w:rFonts w:cs="Times New Roman" w:hint="eastAsia"/>
          <w:sz w:val="18"/>
          <w:szCs w:val="18"/>
        </w:rPr>
        <w:t>）回购股份</w:t>
      </w:r>
    </w:p>
    <w:p w:rsidR="008D4B2E" w:rsidRPr="002B59B9" w:rsidRDefault="008D4B2E" w:rsidP="00B818D2">
      <w:pPr>
        <w:pStyle w:val="a3"/>
        <w:spacing w:before="0" w:beforeAutospacing="0" w:after="0" w:afterAutospacing="0"/>
        <w:ind w:firstLine="400"/>
        <w:divId w:val="1777864355"/>
        <w:rPr>
          <w:rFonts w:cs="Times New Roman"/>
          <w:sz w:val="18"/>
          <w:szCs w:val="18"/>
        </w:rPr>
      </w:pPr>
      <w:r w:rsidRPr="002B59B9">
        <w:rPr>
          <w:rFonts w:cs="Times New Roman" w:hint="eastAsia"/>
          <w:sz w:val="18"/>
          <w:szCs w:val="18"/>
        </w:rPr>
        <w:t>股份回购中支付的对价和交易费用减少股东权益，回购、转让或注销本公司股份时，不确认利得或损失。</w:t>
      </w:r>
    </w:p>
    <w:p w:rsidR="008D4B2E" w:rsidRPr="002B59B9" w:rsidRDefault="008D4B2E" w:rsidP="00B818D2">
      <w:pPr>
        <w:pStyle w:val="a3"/>
        <w:spacing w:before="0" w:beforeAutospacing="0" w:after="0" w:afterAutospacing="0"/>
        <w:ind w:firstLine="400"/>
        <w:divId w:val="1777864355"/>
        <w:rPr>
          <w:rFonts w:cs="Times New Roman"/>
          <w:sz w:val="18"/>
          <w:szCs w:val="18"/>
        </w:rPr>
      </w:pPr>
      <w:r w:rsidRPr="002B59B9">
        <w:rPr>
          <w:rFonts w:cs="Times New Roman" w:hint="eastAsia"/>
          <w:sz w:val="18"/>
          <w:szCs w:val="18"/>
        </w:rPr>
        <w:t>转让库存股，按实际收到的金额与库存股账面金额的差额，计入资本公积，资本公</w:t>
      </w:r>
      <w:proofErr w:type="gramStart"/>
      <w:r w:rsidRPr="002B59B9">
        <w:rPr>
          <w:rFonts w:cs="Times New Roman" w:hint="eastAsia"/>
          <w:sz w:val="18"/>
          <w:szCs w:val="18"/>
        </w:rPr>
        <w:t>积不足</w:t>
      </w:r>
      <w:proofErr w:type="gramEnd"/>
      <w:r w:rsidRPr="002B59B9">
        <w:rPr>
          <w:rFonts w:cs="Times New Roman" w:hint="eastAsia"/>
          <w:sz w:val="18"/>
          <w:szCs w:val="18"/>
        </w:rPr>
        <w:t>冲减的，冲减盈余公积和未分配利润。注销库存股，按股票面值和注销股数减少股本，按注销库存股的账面余额与面值的差额，冲减资本公积，资本公</w:t>
      </w:r>
      <w:proofErr w:type="gramStart"/>
      <w:r w:rsidRPr="002B59B9">
        <w:rPr>
          <w:rFonts w:cs="Times New Roman" w:hint="eastAsia"/>
          <w:sz w:val="18"/>
          <w:szCs w:val="18"/>
        </w:rPr>
        <w:t>积不足</w:t>
      </w:r>
      <w:proofErr w:type="gramEnd"/>
      <w:r w:rsidRPr="002B59B9">
        <w:rPr>
          <w:rFonts w:cs="Times New Roman" w:hint="eastAsia"/>
          <w:sz w:val="18"/>
          <w:szCs w:val="18"/>
        </w:rPr>
        <w:t>冲减的，冲减盈余公积和未分配利润。</w:t>
      </w:r>
    </w:p>
    <w:p w:rsidR="00BA0365" w:rsidRDefault="008D4B2E" w:rsidP="00B818D2">
      <w:pPr>
        <w:pStyle w:val="3"/>
        <w:spacing w:line="240" w:lineRule="auto"/>
        <w:jc w:val="left"/>
        <w:rPr>
          <w:rFonts w:ascii="宋体" w:hAnsi="宋体" w:cs="宋体"/>
          <w:b/>
          <w:bCs/>
        </w:rPr>
      </w:pPr>
      <w:bookmarkStart w:id="219" w:name="_Toc989107"/>
      <w:r>
        <w:rPr>
          <w:rFonts w:ascii="宋体" w:hAnsi="宋体" w:cs="宋体"/>
          <w:b/>
          <w:bCs/>
        </w:rPr>
        <w:t>40、重要会计政策和会计估计变更</w:t>
      </w:r>
      <w:bookmarkEnd w:id="219"/>
    </w:p>
    <w:p w:rsidR="00BA0365" w:rsidRDefault="008D4B2E" w:rsidP="00B818D2">
      <w:pPr>
        <w:keepNext/>
        <w:keepLines/>
        <w:spacing w:before="300" w:after="300"/>
        <w:outlineLvl w:val="3"/>
        <w:rPr>
          <w:rFonts w:ascii="宋体" w:eastAsia="宋体" w:hAnsi="宋体" w:cs="宋体"/>
          <w:b/>
          <w:bCs/>
          <w:sz w:val="18"/>
          <w:szCs w:val="18"/>
        </w:rPr>
      </w:pPr>
      <w:bookmarkStart w:id="220" w:name="_Toc989108"/>
      <w:r>
        <w:rPr>
          <w:rFonts w:ascii="宋体" w:eastAsia="宋体" w:hAnsi="宋体" w:cs="宋体"/>
          <w:b/>
          <w:bCs/>
          <w:sz w:val="18"/>
          <w:szCs w:val="18"/>
        </w:rPr>
        <w:t>（1） 重要会计政策变更</w:t>
      </w:r>
      <w:bookmarkEnd w:id="220"/>
    </w:p>
    <w:p w:rsidR="00BA0365" w:rsidRDefault="008D4B2E" w:rsidP="00B818D2">
      <w:pPr>
        <w:spacing w:before="100" w:after="100"/>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rsidP="00B818D2">
      <w:pPr>
        <w:keepNext/>
        <w:keepLines/>
        <w:spacing w:before="300" w:after="300"/>
        <w:outlineLvl w:val="3"/>
        <w:rPr>
          <w:rFonts w:ascii="宋体" w:eastAsia="宋体" w:hAnsi="宋体" w:cs="宋体"/>
          <w:b/>
          <w:bCs/>
          <w:sz w:val="18"/>
          <w:szCs w:val="18"/>
        </w:rPr>
      </w:pPr>
      <w:bookmarkStart w:id="221" w:name="_Toc989109"/>
      <w:r>
        <w:rPr>
          <w:rFonts w:ascii="宋体" w:eastAsia="宋体" w:hAnsi="宋体" w:cs="宋体"/>
          <w:b/>
          <w:bCs/>
          <w:sz w:val="18"/>
          <w:szCs w:val="18"/>
        </w:rPr>
        <w:t>（2） 重要会计估计变更</w:t>
      </w:r>
      <w:bookmarkEnd w:id="221"/>
    </w:p>
    <w:p w:rsidR="00BA0365" w:rsidRDefault="008D4B2E" w:rsidP="00B818D2">
      <w:pPr>
        <w:spacing w:before="100" w:after="100"/>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rsidP="00B818D2">
      <w:pPr>
        <w:keepNext/>
        <w:keepLines/>
        <w:spacing w:before="300" w:after="300"/>
        <w:outlineLvl w:val="3"/>
        <w:rPr>
          <w:rFonts w:ascii="宋体" w:eastAsia="宋体" w:hAnsi="宋体" w:cs="宋体"/>
          <w:b/>
          <w:bCs/>
          <w:sz w:val="18"/>
          <w:szCs w:val="18"/>
        </w:rPr>
      </w:pPr>
      <w:bookmarkStart w:id="222" w:name="_Toc989110"/>
      <w:r>
        <w:rPr>
          <w:rFonts w:ascii="宋体" w:eastAsia="宋体" w:hAnsi="宋体" w:cs="宋体"/>
          <w:b/>
          <w:bCs/>
          <w:sz w:val="18"/>
          <w:szCs w:val="18"/>
        </w:rPr>
        <w:lastRenderedPageBreak/>
        <w:t>（3） 2023年起首次执行新会计准则调整首次执行当年年初财务报表相关项目情况</w:t>
      </w:r>
      <w:bookmarkEnd w:id="222"/>
    </w:p>
    <w:p w:rsidR="00BA0365" w:rsidRDefault="008D4B2E" w:rsidP="00B818D2">
      <w:pPr>
        <w:spacing w:before="40" w:after="40"/>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rsidP="00B818D2">
      <w:pPr>
        <w:pStyle w:val="3"/>
        <w:spacing w:line="240" w:lineRule="auto"/>
        <w:jc w:val="left"/>
        <w:rPr>
          <w:rFonts w:ascii="宋体" w:hAnsi="宋体" w:cs="宋体"/>
          <w:b/>
          <w:bCs/>
        </w:rPr>
      </w:pPr>
      <w:bookmarkStart w:id="223" w:name="_Toc989111"/>
      <w:r>
        <w:rPr>
          <w:rFonts w:ascii="宋体" w:hAnsi="宋体" w:cs="宋体"/>
          <w:b/>
          <w:bCs/>
        </w:rPr>
        <w:t>41、重大会计判断和估计</w:t>
      </w:r>
      <w:bookmarkEnd w:id="223"/>
    </w:p>
    <w:p w:rsidR="008D4B2E" w:rsidRPr="002B59B9" w:rsidRDefault="008D4B2E" w:rsidP="00B818D2">
      <w:pPr>
        <w:pStyle w:val="a3"/>
        <w:spacing w:before="0" w:beforeAutospacing="0" w:after="0" w:afterAutospacing="0"/>
        <w:ind w:firstLine="400"/>
        <w:jc w:val="both"/>
        <w:divId w:val="473523013"/>
        <w:rPr>
          <w:rFonts w:cs="Times New Roman"/>
          <w:sz w:val="18"/>
          <w:szCs w:val="18"/>
        </w:rPr>
      </w:pPr>
      <w:r w:rsidRPr="002B59B9">
        <w:rPr>
          <w:rFonts w:cs="Times New Roman" w:hint="eastAsia"/>
          <w:sz w:val="18"/>
          <w:szCs w:val="18"/>
        </w:rPr>
        <w:t>本公司在运用会计政策过程中，由于经营活动内在的不确定性，本公司需要对无法准确计量的报表项目的账面价值进行判断、估计和假设。这些判断、估计和假设是基于本公司管理</w:t>
      </w:r>
      <w:proofErr w:type="gramStart"/>
      <w:r w:rsidRPr="002B59B9">
        <w:rPr>
          <w:rFonts w:cs="Times New Roman" w:hint="eastAsia"/>
          <w:sz w:val="18"/>
          <w:szCs w:val="18"/>
        </w:rPr>
        <w:t>层过去</w:t>
      </w:r>
      <w:proofErr w:type="gramEnd"/>
      <w:r w:rsidRPr="002B59B9">
        <w:rPr>
          <w:rFonts w:cs="Times New Roman" w:hint="eastAsia"/>
          <w:sz w:val="18"/>
          <w:szCs w:val="18"/>
        </w:rPr>
        <w:t>的历史经验，并在考虑其他相关因素的基础上做出的。这些判断、估计和假设会影响收入、费用、资产和负债的报告金额以及资产负债表日或有负债的披露。然而，这些估计的不确定性所导致的实际结果可能与本公司管理</w:t>
      </w:r>
      <w:proofErr w:type="gramStart"/>
      <w:r w:rsidRPr="002B59B9">
        <w:rPr>
          <w:rFonts w:cs="Times New Roman" w:hint="eastAsia"/>
          <w:sz w:val="18"/>
          <w:szCs w:val="18"/>
        </w:rPr>
        <w:t>层当前</w:t>
      </w:r>
      <w:proofErr w:type="gramEnd"/>
      <w:r w:rsidRPr="002B59B9">
        <w:rPr>
          <w:rFonts w:cs="Times New Roman" w:hint="eastAsia"/>
          <w:sz w:val="18"/>
          <w:szCs w:val="18"/>
        </w:rPr>
        <w:t>的估计存在差异，进而造成对未来受影响的资产或负债的账面金额进行重大调整。</w:t>
      </w:r>
    </w:p>
    <w:p w:rsidR="008D4B2E" w:rsidRPr="002B59B9" w:rsidRDefault="008D4B2E" w:rsidP="00B818D2">
      <w:pPr>
        <w:pStyle w:val="a3"/>
        <w:spacing w:before="0" w:beforeAutospacing="0" w:after="0" w:afterAutospacing="0"/>
        <w:ind w:firstLine="400"/>
        <w:jc w:val="both"/>
        <w:divId w:val="473523013"/>
        <w:rPr>
          <w:rFonts w:cs="Times New Roman"/>
          <w:sz w:val="18"/>
          <w:szCs w:val="18"/>
        </w:rPr>
      </w:pPr>
      <w:r w:rsidRPr="002B59B9">
        <w:rPr>
          <w:rFonts w:cs="Times New Roman" w:hint="eastAsia"/>
          <w:sz w:val="18"/>
          <w:szCs w:val="18"/>
        </w:rPr>
        <w:t>本公司对前述判断、估计和假设在持续经营的基础上进行定期复核，会计估计的</w:t>
      </w:r>
      <w:proofErr w:type="gramStart"/>
      <w:r w:rsidRPr="002B59B9">
        <w:rPr>
          <w:rFonts w:cs="Times New Roman" w:hint="eastAsia"/>
          <w:sz w:val="18"/>
          <w:szCs w:val="18"/>
        </w:rPr>
        <w:t>变更仅</w:t>
      </w:r>
      <w:proofErr w:type="gramEnd"/>
      <w:r w:rsidRPr="002B59B9">
        <w:rPr>
          <w:rFonts w:cs="Times New Roman" w:hint="eastAsia"/>
          <w:sz w:val="18"/>
          <w:szCs w:val="18"/>
        </w:rPr>
        <w:t>影响变更当期的，其影响数在变更当期予以确认；既影响变更当期又影响未来期间的，其影响数在变更当期和未来期间予以确认。</w:t>
      </w:r>
    </w:p>
    <w:p w:rsidR="008D4B2E" w:rsidRPr="002B59B9" w:rsidRDefault="008D4B2E" w:rsidP="00B818D2">
      <w:pPr>
        <w:pStyle w:val="a3"/>
        <w:spacing w:before="0" w:beforeAutospacing="0" w:after="0" w:afterAutospacing="0"/>
        <w:ind w:firstLine="400"/>
        <w:jc w:val="both"/>
        <w:divId w:val="473523013"/>
        <w:rPr>
          <w:rFonts w:cs="Times New Roman"/>
          <w:sz w:val="18"/>
          <w:szCs w:val="18"/>
        </w:rPr>
      </w:pPr>
      <w:r w:rsidRPr="002B59B9">
        <w:rPr>
          <w:rFonts w:cs="Times New Roman" w:hint="eastAsia"/>
          <w:sz w:val="18"/>
          <w:szCs w:val="18"/>
        </w:rPr>
        <w:t>于资产负债表日，本公司需对财务报表项目金额进行判断、估计和假设的重要领域如下：</w:t>
      </w:r>
    </w:p>
    <w:p w:rsidR="008D4B2E" w:rsidRPr="002B59B9" w:rsidRDefault="008D4B2E" w:rsidP="00B818D2">
      <w:pPr>
        <w:pStyle w:val="a3"/>
        <w:spacing w:before="0" w:beforeAutospacing="0" w:after="0" w:afterAutospacing="0"/>
        <w:ind w:firstLine="400"/>
        <w:jc w:val="both"/>
        <w:divId w:val="473523013"/>
        <w:rPr>
          <w:rFonts w:cs="Times New Roman"/>
          <w:sz w:val="18"/>
          <w:szCs w:val="18"/>
        </w:rPr>
      </w:pPr>
      <w:r w:rsidRPr="002B59B9">
        <w:rPr>
          <w:rFonts w:cs="Times New Roman" w:hint="eastAsia"/>
          <w:sz w:val="18"/>
          <w:szCs w:val="18"/>
        </w:rPr>
        <w:t>（</w:t>
      </w:r>
      <w:r w:rsidRPr="002B59B9">
        <w:rPr>
          <w:rFonts w:cs="Times New Roman"/>
          <w:sz w:val="18"/>
          <w:szCs w:val="18"/>
        </w:rPr>
        <w:t>1</w:t>
      </w:r>
      <w:r w:rsidRPr="002B59B9">
        <w:rPr>
          <w:rFonts w:cs="Times New Roman" w:hint="eastAsia"/>
          <w:sz w:val="18"/>
          <w:szCs w:val="18"/>
        </w:rPr>
        <w:t>）租赁的归类</w:t>
      </w:r>
    </w:p>
    <w:p w:rsidR="008D4B2E" w:rsidRPr="002B59B9" w:rsidRDefault="008D4B2E" w:rsidP="00B818D2">
      <w:pPr>
        <w:pStyle w:val="a3"/>
        <w:spacing w:before="0" w:beforeAutospacing="0" w:after="0" w:afterAutospacing="0"/>
        <w:ind w:firstLine="400"/>
        <w:jc w:val="both"/>
        <w:divId w:val="473523013"/>
        <w:rPr>
          <w:rFonts w:cs="Times New Roman"/>
          <w:sz w:val="18"/>
          <w:szCs w:val="18"/>
        </w:rPr>
      </w:pPr>
      <w:r w:rsidRPr="002B59B9">
        <w:rPr>
          <w:rFonts w:cs="Times New Roman" w:hint="eastAsia"/>
          <w:sz w:val="18"/>
          <w:szCs w:val="18"/>
        </w:rPr>
        <w:t>①租赁的识别</w:t>
      </w:r>
    </w:p>
    <w:p w:rsidR="008D4B2E" w:rsidRPr="002B59B9" w:rsidRDefault="008D4B2E" w:rsidP="00B818D2">
      <w:pPr>
        <w:pStyle w:val="a3"/>
        <w:spacing w:before="0" w:beforeAutospacing="0" w:after="0" w:afterAutospacing="0"/>
        <w:ind w:firstLine="400"/>
        <w:jc w:val="both"/>
        <w:divId w:val="473523013"/>
        <w:rPr>
          <w:rFonts w:cs="Times New Roman"/>
          <w:sz w:val="18"/>
          <w:szCs w:val="18"/>
        </w:rPr>
      </w:pPr>
      <w:r w:rsidRPr="002B59B9">
        <w:rPr>
          <w:rFonts w:cs="Times New Roman" w:hint="eastAsia"/>
          <w:sz w:val="18"/>
          <w:szCs w:val="18"/>
        </w:rPr>
        <w:t>本集团在识别一项合同是否为租赁或包含租赁时，需要评估是否存在一项已识别资产，且客户控制了该资产在一定期间内的使用权。在评估时，需要考虑资产的性质、实质性替换权、以及客户是否有权获得因在该期间使用该资产所产生的几乎全部经济利益，并能够主导该资产的使用。</w:t>
      </w:r>
    </w:p>
    <w:p w:rsidR="008D4B2E" w:rsidRPr="002B59B9" w:rsidRDefault="008D4B2E" w:rsidP="00B818D2">
      <w:pPr>
        <w:pStyle w:val="a3"/>
        <w:spacing w:before="0" w:beforeAutospacing="0" w:after="0" w:afterAutospacing="0"/>
        <w:ind w:firstLine="400"/>
        <w:jc w:val="both"/>
        <w:divId w:val="473523013"/>
        <w:rPr>
          <w:rFonts w:cs="Times New Roman"/>
          <w:sz w:val="18"/>
          <w:szCs w:val="18"/>
        </w:rPr>
      </w:pPr>
      <w:r w:rsidRPr="002B59B9">
        <w:rPr>
          <w:rFonts w:cs="Times New Roman" w:hint="eastAsia"/>
          <w:sz w:val="18"/>
          <w:szCs w:val="18"/>
        </w:rPr>
        <w:t>②租赁的分类</w:t>
      </w:r>
    </w:p>
    <w:p w:rsidR="008D4B2E" w:rsidRPr="002B59B9" w:rsidRDefault="008D4B2E" w:rsidP="00B818D2">
      <w:pPr>
        <w:pStyle w:val="a3"/>
        <w:spacing w:before="0" w:beforeAutospacing="0" w:after="0" w:afterAutospacing="0"/>
        <w:ind w:firstLine="400"/>
        <w:jc w:val="both"/>
        <w:divId w:val="473523013"/>
        <w:rPr>
          <w:rFonts w:cs="Times New Roman"/>
          <w:sz w:val="18"/>
          <w:szCs w:val="18"/>
        </w:rPr>
      </w:pPr>
      <w:r w:rsidRPr="002B59B9">
        <w:rPr>
          <w:rFonts w:cs="Times New Roman" w:hint="eastAsia"/>
          <w:sz w:val="18"/>
          <w:szCs w:val="18"/>
        </w:rPr>
        <w:t>本集团作为出租人时，将租赁分类为经营租赁和融资租赁。在进行分类时，管理层需要对是否已将与租出资产所有权有关的全部风险和报酬实质上转移给承租人</w:t>
      </w:r>
      <w:proofErr w:type="gramStart"/>
      <w:r w:rsidRPr="002B59B9">
        <w:rPr>
          <w:rFonts w:cs="Times New Roman" w:hint="eastAsia"/>
          <w:sz w:val="18"/>
          <w:szCs w:val="18"/>
        </w:rPr>
        <w:t>作出</w:t>
      </w:r>
      <w:proofErr w:type="gramEnd"/>
      <w:r w:rsidRPr="002B59B9">
        <w:rPr>
          <w:rFonts w:cs="Times New Roman" w:hint="eastAsia"/>
          <w:sz w:val="18"/>
          <w:szCs w:val="18"/>
        </w:rPr>
        <w:t>分析和判断。</w:t>
      </w:r>
    </w:p>
    <w:p w:rsidR="008D4B2E" w:rsidRPr="002B59B9" w:rsidRDefault="008D4B2E" w:rsidP="00B818D2">
      <w:pPr>
        <w:pStyle w:val="a3"/>
        <w:spacing w:before="0" w:beforeAutospacing="0" w:after="0" w:afterAutospacing="0"/>
        <w:ind w:firstLine="400"/>
        <w:jc w:val="both"/>
        <w:divId w:val="473523013"/>
        <w:rPr>
          <w:rFonts w:cs="Times New Roman"/>
          <w:sz w:val="18"/>
          <w:szCs w:val="18"/>
        </w:rPr>
      </w:pPr>
      <w:r w:rsidRPr="002B59B9">
        <w:rPr>
          <w:rFonts w:cs="Times New Roman" w:hint="eastAsia"/>
          <w:sz w:val="18"/>
          <w:szCs w:val="18"/>
        </w:rPr>
        <w:t>③租赁负债</w:t>
      </w:r>
    </w:p>
    <w:p w:rsidR="008D4B2E" w:rsidRPr="002B59B9" w:rsidRDefault="008D4B2E" w:rsidP="00B818D2">
      <w:pPr>
        <w:pStyle w:val="a3"/>
        <w:spacing w:before="0" w:beforeAutospacing="0" w:after="0" w:afterAutospacing="0"/>
        <w:ind w:firstLine="400"/>
        <w:jc w:val="both"/>
        <w:divId w:val="473523013"/>
        <w:rPr>
          <w:rFonts w:cs="Times New Roman"/>
          <w:sz w:val="18"/>
          <w:szCs w:val="18"/>
        </w:rPr>
      </w:pPr>
      <w:r w:rsidRPr="002B59B9">
        <w:rPr>
          <w:rFonts w:cs="Times New Roman" w:hint="eastAsia"/>
          <w:sz w:val="18"/>
          <w:szCs w:val="18"/>
        </w:rPr>
        <w:t>本集团作为承租人时，租赁负债按照租赁期开始日尚未支付的租赁付款额的现值进行初始计量。在计量租赁付款额的现值时，本集团对使用的折现率以及存在续租选择权或终止选择权的租赁合同的租赁期进行估计。在评估租赁期时，本集团综合考虑与本集团行使选择权带来经济利益的所有相关事实和情况，包括自租赁期开始日至选择权行使日之间的事实和情况的预期变化等。不同的判断及估计可能会影响租赁负债和使用权资产的确认，并将影响后续期间的损益。</w:t>
      </w:r>
    </w:p>
    <w:p w:rsidR="008D4B2E" w:rsidRPr="002B59B9" w:rsidRDefault="008D4B2E" w:rsidP="00B818D2">
      <w:pPr>
        <w:pStyle w:val="a3"/>
        <w:spacing w:before="0" w:beforeAutospacing="0" w:after="0" w:afterAutospacing="0"/>
        <w:ind w:firstLine="400"/>
        <w:jc w:val="both"/>
        <w:divId w:val="473523013"/>
        <w:rPr>
          <w:rFonts w:cs="Times New Roman"/>
          <w:sz w:val="18"/>
          <w:szCs w:val="18"/>
        </w:rPr>
      </w:pPr>
      <w:r w:rsidRPr="002B59B9">
        <w:rPr>
          <w:rFonts w:cs="Times New Roman" w:hint="eastAsia"/>
          <w:sz w:val="18"/>
          <w:szCs w:val="18"/>
        </w:rPr>
        <w:t>（</w:t>
      </w:r>
      <w:r w:rsidRPr="002B59B9">
        <w:rPr>
          <w:rFonts w:cs="Times New Roman"/>
          <w:sz w:val="18"/>
          <w:szCs w:val="18"/>
        </w:rPr>
        <w:t>2</w:t>
      </w:r>
      <w:r w:rsidRPr="002B59B9">
        <w:rPr>
          <w:rFonts w:cs="Times New Roman" w:hint="eastAsia"/>
          <w:sz w:val="18"/>
          <w:szCs w:val="18"/>
        </w:rPr>
        <w:t>）金融资产减值</w:t>
      </w:r>
    </w:p>
    <w:p w:rsidR="008D4B2E" w:rsidRPr="002B59B9" w:rsidRDefault="008D4B2E" w:rsidP="00B818D2">
      <w:pPr>
        <w:pStyle w:val="a3"/>
        <w:spacing w:before="0" w:beforeAutospacing="0" w:after="0" w:afterAutospacing="0"/>
        <w:ind w:firstLine="400"/>
        <w:jc w:val="both"/>
        <w:divId w:val="473523013"/>
        <w:rPr>
          <w:rFonts w:cs="Times New Roman"/>
          <w:sz w:val="18"/>
          <w:szCs w:val="18"/>
        </w:rPr>
      </w:pPr>
      <w:r w:rsidRPr="002B59B9">
        <w:rPr>
          <w:rFonts w:cs="Times New Roman" w:hint="eastAsia"/>
          <w:sz w:val="18"/>
          <w:szCs w:val="18"/>
        </w:rPr>
        <w:t>本公司采用预期信用损失模型对金融工具的减值进行评估，应用预期信用损失模型需要做出重大判断和估计，需考虑所有合理且有依据的信息，包括前瞻性信息。在做出该等判断和估计时，本公司根据历史数据结合经济政策、宏观经济指标、行业风险、外部市场环境、技术环境、客户情况的变化等因素推断债务人信用风险的预期变动。</w:t>
      </w:r>
    </w:p>
    <w:p w:rsidR="008D4B2E" w:rsidRPr="002B59B9" w:rsidRDefault="008D4B2E" w:rsidP="00B818D2">
      <w:pPr>
        <w:pStyle w:val="a3"/>
        <w:spacing w:before="0" w:beforeAutospacing="0" w:after="0" w:afterAutospacing="0"/>
        <w:ind w:firstLine="400"/>
        <w:jc w:val="both"/>
        <w:divId w:val="473523013"/>
        <w:rPr>
          <w:rFonts w:cs="Times New Roman"/>
          <w:sz w:val="18"/>
          <w:szCs w:val="18"/>
        </w:rPr>
      </w:pPr>
      <w:r w:rsidRPr="002B59B9">
        <w:rPr>
          <w:rFonts w:cs="Times New Roman" w:hint="eastAsia"/>
          <w:sz w:val="18"/>
          <w:szCs w:val="18"/>
        </w:rPr>
        <w:t>（</w:t>
      </w:r>
      <w:r w:rsidRPr="002B59B9">
        <w:rPr>
          <w:rFonts w:cs="Times New Roman"/>
          <w:sz w:val="18"/>
          <w:szCs w:val="18"/>
        </w:rPr>
        <w:t>3</w:t>
      </w:r>
      <w:r w:rsidRPr="002B59B9">
        <w:rPr>
          <w:rFonts w:cs="Times New Roman" w:hint="eastAsia"/>
          <w:sz w:val="18"/>
          <w:szCs w:val="18"/>
        </w:rPr>
        <w:t>）存货跌价准备</w:t>
      </w:r>
    </w:p>
    <w:p w:rsidR="008D4B2E" w:rsidRPr="002B59B9" w:rsidRDefault="008D4B2E" w:rsidP="00B818D2">
      <w:pPr>
        <w:pStyle w:val="a3"/>
        <w:spacing w:before="0" w:beforeAutospacing="0" w:after="0" w:afterAutospacing="0"/>
        <w:ind w:firstLine="400"/>
        <w:jc w:val="both"/>
        <w:divId w:val="473523013"/>
        <w:rPr>
          <w:rFonts w:cs="Times New Roman"/>
          <w:sz w:val="18"/>
          <w:szCs w:val="18"/>
        </w:rPr>
      </w:pPr>
      <w:r w:rsidRPr="002B59B9">
        <w:rPr>
          <w:rFonts w:cs="Times New Roman" w:hint="eastAsia"/>
          <w:sz w:val="18"/>
          <w:szCs w:val="18"/>
        </w:rPr>
        <w:t>本公司根据存货会计政策，按照成本与可变现净值孰低计量，对成本高于可变现净值及陈旧和滞销的存货，计提存货跌价准备。存货减值至可变现净值是基于评估存货的可售性及其可变现净值。鉴定存货减值要求管理层在取得确凿证据，并且考虑持有存货的目的、资产负债表日后事项的影响等因素的基础上</w:t>
      </w:r>
      <w:proofErr w:type="gramStart"/>
      <w:r w:rsidRPr="002B59B9">
        <w:rPr>
          <w:rFonts w:cs="Times New Roman" w:hint="eastAsia"/>
          <w:sz w:val="18"/>
          <w:szCs w:val="18"/>
        </w:rPr>
        <w:t>作出</w:t>
      </w:r>
      <w:proofErr w:type="gramEnd"/>
      <w:r w:rsidRPr="002B59B9">
        <w:rPr>
          <w:rFonts w:cs="Times New Roman" w:hint="eastAsia"/>
          <w:sz w:val="18"/>
          <w:szCs w:val="18"/>
        </w:rPr>
        <w:t>判断和估计。实际的结果与原先估计的差异将在估计被改变的期间影响存货的账面价值及存货跌价准备的计提或转回。</w:t>
      </w:r>
    </w:p>
    <w:p w:rsidR="008D4B2E" w:rsidRPr="002B59B9" w:rsidRDefault="008D4B2E" w:rsidP="00B818D2">
      <w:pPr>
        <w:pStyle w:val="a3"/>
        <w:spacing w:before="0" w:beforeAutospacing="0" w:after="0" w:afterAutospacing="0"/>
        <w:ind w:firstLine="400"/>
        <w:jc w:val="both"/>
        <w:divId w:val="473523013"/>
        <w:rPr>
          <w:rFonts w:cs="Times New Roman"/>
          <w:sz w:val="18"/>
          <w:szCs w:val="18"/>
        </w:rPr>
      </w:pPr>
      <w:r w:rsidRPr="002B59B9">
        <w:rPr>
          <w:rFonts w:cs="Times New Roman" w:hint="eastAsia"/>
          <w:sz w:val="18"/>
          <w:szCs w:val="18"/>
        </w:rPr>
        <w:t>（</w:t>
      </w:r>
      <w:r w:rsidRPr="002B59B9">
        <w:rPr>
          <w:rFonts w:cs="Times New Roman"/>
          <w:sz w:val="18"/>
          <w:szCs w:val="18"/>
        </w:rPr>
        <w:t>4</w:t>
      </w:r>
      <w:r w:rsidRPr="002B59B9">
        <w:rPr>
          <w:rFonts w:cs="Times New Roman" w:hint="eastAsia"/>
          <w:sz w:val="18"/>
          <w:szCs w:val="18"/>
        </w:rPr>
        <w:t>）金融工具公允价值</w:t>
      </w:r>
    </w:p>
    <w:p w:rsidR="008D4B2E" w:rsidRPr="002B59B9" w:rsidRDefault="008D4B2E" w:rsidP="00B818D2">
      <w:pPr>
        <w:pStyle w:val="a3"/>
        <w:spacing w:before="0" w:beforeAutospacing="0" w:after="0" w:afterAutospacing="0"/>
        <w:ind w:firstLine="400"/>
        <w:jc w:val="both"/>
        <w:divId w:val="473523013"/>
        <w:rPr>
          <w:rFonts w:cs="Times New Roman"/>
          <w:sz w:val="18"/>
          <w:szCs w:val="18"/>
        </w:rPr>
      </w:pPr>
      <w:r w:rsidRPr="002B59B9">
        <w:rPr>
          <w:rFonts w:cs="Times New Roman" w:hint="eastAsia"/>
          <w:sz w:val="18"/>
          <w:szCs w:val="18"/>
        </w:rPr>
        <w:t>对不存在活跃交易市场的金融工具，本公司通过各种估值方法确定其公允价值。这些估值方法包括贴现现金流模型分析等。估值时本公司需对未来现金流量、信用风险、市场波动率和相关性等方面进行估计，并选择适当的折现率。这些相关假设具有不确定性，其变化会对金融工具的公允价值产生影响。权益工具投资或合同有公开报价的，本公司不将成本作为其公允价值的最佳估计。</w:t>
      </w:r>
    </w:p>
    <w:p w:rsidR="008D4B2E" w:rsidRPr="002B59B9" w:rsidRDefault="008D4B2E" w:rsidP="00B818D2">
      <w:pPr>
        <w:pStyle w:val="a3"/>
        <w:spacing w:before="0" w:beforeAutospacing="0" w:after="0" w:afterAutospacing="0"/>
        <w:ind w:firstLine="400"/>
        <w:jc w:val="both"/>
        <w:divId w:val="473523013"/>
        <w:rPr>
          <w:rFonts w:cs="Times New Roman"/>
          <w:sz w:val="18"/>
          <w:szCs w:val="18"/>
        </w:rPr>
      </w:pPr>
      <w:r w:rsidRPr="002B59B9">
        <w:rPr>
          <w:rFonts w:cs="Times New Roman" w:hint="eastAsia"/>
          <w:sz w:val="18"/>
          <w:szCs w:val="18"/>
        </w:rPr>
        <w:t>（</w:t>
      </w:r>
      <w:r w:rsidRPr="002B59B9">
        <w:rPr>
          <w:rFonts w:cs="Times New Roman"/>
          <w:sz w:val="18"/>
          <w:szCs w:val="18"/>
        </w:rPr>
        <w:t>5</w:t>
      </w:r>
      <w:r w:rsidRPr="002B59B9">
        <w:rPr>
          <w:rFonts w:cs="Times New Roman" w:hint="eastAsia"/>
          <w:sz w:val="18"/>
          <w:szCs w:val="18"/>
        </w:rPr>
        <w:t>）长期资产减值准备</w:t>
      </w:r>
    </w:p>
    <w:p w:rsidR="008D4B2E" w:rsidRPr="002B59B9" w:rsidRDefault="008D4B2E" w:rsidP="00B818D2">
      <w:pPr>
        <w:pStyle w:val="a3"/>
        <w:spacing w:before="0" w:beforeAutospacing="0" w:after="0" w:afterAutospacing="0"/>
        <w:ind w:firstLine="400"/>
        <w:jc w:val="both"/>
        <w:divId w:val="473523013"/>
        <w:rPr>
          <w:rFonts w:cs="Times New Roman"/>
          <w:sz w:val="18"/>
          <w:szCs w:val="18"/>
        </w:rPr>
      </w:pPr>
      <w:r w:rsidRPr="002B59B9">
        <w:rPr>
          <w:rFonts w:cs="Times New Roman" w:hint="eastAsia"/>
          <w:sz w:val="18"/>
          <w:szCs w:val="18"/>
        </w:rPr>
        <w:lastRenderedPageBreak/>
        <w:t>本公司于资产负债表日对除金融资产之外的非流动资产判断是否存在可能发生减值的迹象。对使用寿命不确定的无形资产，除每年进行的减值测试外，当其存在减值迹象时，也进行减值测试。其他除金融资产之外的非流动资产，当存在迹象表明其账面金额不可收回时，进行减值测试。</w:t>
      </w:r>
    </w:p>
    <w:p w:rsidR="008D4B2E" w:rsidRPr="002B59B9" w:rsidRDefault="008D4B2E" w:rsidP="00B818D2">
      <w:pPr>
        <w:pStyle w:val="a3"/>
        <w:spacing w:before="0" w:beforeAutospacing="0" w:after="0" w:afterAutospacing="0"/>
        <w:ind w:firstLine="400"/>
        <w:jc w:val="both"/>
        <w:divId w:val="473523013"/>
        <w:rPr>
          <w:rFonts w:cs="Times New Roman"/>
          <w:sz w:val="18"/>
          <w:szCs w:val="18"/>
        </w:rPr>
      </w:pPr>
      <w:r w:rsidRPr="002B59B9">
        <w:rPr>
          <w:rFonts w:cs="Times New Roman" w:hint="eastAsia"/>
          <w:sz w:val="18"/>
          <w:szCs w:val="18"/>
        </w:rPr>
        <w:t>当资产或资产组的账面价值高于可收回金额，即公允价值减去处置费用后的净额和预计未来现金流量的现值中的较高者，表明发生了减值。</w:t>
      </w:r>
    </w:p>
    <w:p w:rsidR="008D4B2E" w:rsidRPr="002B59B9" w:rsidRDefault="008D4B2E" w:rsidP="00B818D2">
      <w:pPr>
        <w:pStyle w:val="a3"/>
        <w:spacing w:before="0" w:beforeAutospacing="0" w:after="0" w:afterAutospacing="0"/>
        <w:ind w:firstLine="400"/>
        <w:jc w:val="both"/>
        <w:divId w:val="473523013"/>
        <w:rPr>
          <w:rFonts w:cs="Times New Roman"/>
          <w:sz w:val="18"/>
          <w:szCs w:val="18"/>
        </w:rPr>
      </w:pPr>
      <w:r w:rsidRPr="002B59B9">
        <w:rPr>
          <w:rFonts w:cs="Times New Roman" w:hint="eastAsia"/>
          <w:sz w:val="18"/>
          <w:szCs w:val="18"/>
        </w:rPr>
        <w:t>公允价值减去处置费用后的净额，参考公平交易中类似资产的销售协议价格或可观察到的市场价格，减去可直接归属于该资产处置的增量成本确定。</w:t>
      </w:r>
    </w:p>
    <w:p w:rsidR="008D4B2E" w:rsidRPr="002B59B9" w:rsidRDefault="008D4B2E" w:rsidP="00B818D2">
      <w:pPr>
        <w:pStyle w:val="a3"/>
        <w:spacing w:before="0" w:beforeAutospacing="0" w:after="0" w:afterAutospacing="0"/>
        <w:ind w:firstLine="400"/>
        <w:jc w:val="both"/>
        <w:divId w:val="473523013"/>
        <w:rPr>
          <w:rFonts w:cs="Times New Roman"/>
          <w:sz w:val="18"/>
          <w:szCs w:val="18"/>
        </w:rPr>
      </w:pPr>
      <w:r w:rsidRPr="002B59B9">
        <w:rPr>
          <w:rFonts w:cs="Times New Roman" w:hint="eastAsia"/>
          <w:sz w:val="18"/>
          <w:szCs w:val="18"/>
        </w:rPr>
        <w:t>在预计未来现金流量现值时，需要对该资产（或资产组）的产量、售价、相关经营成本以及计算现值时使用的折现率等</w:t>
      </w:r>
      <w:proofErr w:type="gramStart"/>
      <w:r w:rsidRPr="002B59B9">
        <w:rPr>
          <w:rFonts w:cs="Times New Roman" w:hint="eastAsia"/>
          <w:sz w:val="18"/>
          <w:szCs w:val="18"/>
        </w:rPr>
        <w:t>作出</w:t>
      </w:r>
      <w:proofErr w:type="gramEnd"/>
      <w:r w:rsidRPr="002B59B9">
        <w:rPr>
          <w:rFonts w:cs="Times New Roman" w:hint="eastAsia"/>
          <w:sz w:val="18"/>
          <w:szCs w:val="18"/>
        </w:rPr>
        <w:t>重大判断。本公司在估计可收回金额时会采用所有能够获得的相关资料，包括根据合理和</w:t>
      </w:r>
      <w:proofErr w:type="gramStart"/>
      <w:r w:rsidRPr="002B59B9">
        <w:rPr>
          <w:rFonts w:cs="Times New Roman" w:hint="eastAsia"/>
          <w:sz w:val="18"/>
          <w:szCs w:val="18"/>
        </w:rPr>
        <w:t>可</w:t>
      </w:r>
      <w:proofErr w:type="gramEnd"/>
      <w:r w:rsidRPr="002B59B9">
        <w:rPr>
          <w:rFonts w:cs="Times New Roman" w:hint="eastAsia"/>
          <w:sz w:val="18"/>
          <w:szCs w:val="18"/>
        </w:rPr>
        <w:t>支持的假设所</w:t>
      </w:r>
      <w:proofErr w:type="gramStart"/>
      <w:r w:rsidRPr="002B59B9">
        <w:rPr>
          <w:rFonts w:cs="Times New Roman" w:hint="eastAsia"/>
          <w:sz w:val="18"/>
          <w:szCs w:val="18"/>
        </w:rPr>
        <w:t>作出</w:t>
      </w:r>
      <w:proofErr w:type="gramEnd"/>
      <w:r w:rsidRPr="002B59B9">
        <w:rPr>
          <w:rFonts w:cs="Times New Roman" w:hint="eastAsia"/>
          <w:sz w:val="18"/>
          <w:szCs w:val="18"/>
        </w:rPr>
        <w:t>有关产量、售价和相关经营成本的预测。</w:t>
      </w:r>
    </w:p>
    <w:p w:rsidR="008D4B2E" w:rsidRPr="002B59B9" w:rsidRDefault="008D4B2E" w:rsidP="00B818D2">
      <w:pPr>
        <w:pStyle w:val="a3"/>
        <w:spacing w:before="0" w:beforeAutospacing="0" w:after="0" w:afterAutospacing="0"/>
        <w:ind w:firstLine="400"/>
        <w:jc w:val="both"/>
        <w:divId w:val="473523013"/>
        <w:rPr>
          <w:rFonts w:cs="Times New Roman"/>
          <w:sz w:val="18"/>
          <w:szCs w:val="18"/>
        </w:rPr>
      </w:pPr>
      <w:r w:rsidRPr="002B59B9">
        <w:rPr>
          <w:rFonts w:cs="Times New Roman" w:hint="eastAsia"/>
          <w:sz w:val="18"/>
          <w:szCs w:val="18"/>
        </w:rPr>
        <w:t>本公司至少每年测试商誉是否发生减值。这要求对分配了商誉的资产组或者资产组组合的未来现金流量的现值进行预计。对未来现金流量的现值进行预计时，本公司需要预计未来资产组或者资产组组合产生的现金流量，同时选择恰当的折现率确定未来现金流量的现值。</w:t>
      </w:r>
    </w:p>
    <w:p w:rsidR="008D4B2E" w:rsidRPr="002B59B9" w:rsidRDefault="008D4B2E" w:rsidP="00B818D2">
      <w:pPr>
        <w:pStyle w:val="a3"/>
        <w:spacing w:before="0" w:beforeAutospacing="0" w:after="0" w:afterAutospacing="0"/>
        <w:ind w:firstLine="400"/>
        <w:jc w:val="both"/>
        <w:divId w:val="473523013"/>
        <w:rPr>
          <w:rFonts w:cs="Times New Roman"/>
          <w:sz w:val="18"/>
          <w:szCs w:val="18"/>
        </w:rPr>
      </w:pPr>
      <w:r w:rsidRPr="002B59B9">
        <w:rPr>
          <w:rFonts w:cs="Times New Roman" w:hint="eastAsia"/>
          <w:sz w:val="18"/>
          <w:szCs w:val="18"/>
        </w:rPr>
        <w:t>（</w:t>
      </w:r>
      <w:r w:rsidRPr="002B59B9">
        <w:rPr>
          <w:rFonts w:cs="Times New Roman"/>
          <w:sz w:val="18"/>
          <w:szCs w:val="18"/>
        </w:rPr>
        <w:t>6</w:t>
      </w:r>
      <w:r w:rsidRPr="002B59B9">
        <w:rPr>
          <w:rFonts w:cs="Times New Roman" w:hint="eastAsia"/>
          <w:sz w:val="18"/>
          <w:szCs w:val="18"/>
        </w:rPr>
        <w:t>）折旧和摊销</w:t>
      </w:r>
    </w:p>
    <w:p w:rsidR="008D4B2E" w:rsidRPr="002B59B9" w:rsidRDefault="008D4B2E" w:rsidP="00B818D2">
      <w:pPr>
        <w:pStyle w:val="a3"/>
        <w:spacing w:before="0" w:beforeAutospacing="0" w:after="0" w:afterAutospacing="0"/>
        <w:ind w:firstLine="400"/>
        <w:jc w:val="both"/>
        <w:divId w:val="473523013"/>
        <w:rPr>
          <w:rFonts w:cs="Times New Roman"/>
          <w:sz w:val="18"/>
          <w:szCs w:val="18"/>
        </w:rPr>
      </w:pPr>
      <w:r w:rsidRPr="002B59B9">
        <w:rPr>
          <w:rFonts w:cs="Times New Roman" w:hint="eastAsia"/>
          <w:sz w:val="18"/>
          <w:szCs w:val="18"/>
        </w:rPr>
        <w:t>本公司对投资性房地产、固定资产和无形资产在考虑其残值后，在使用寿命内按直线法计提折旧和摊销。本公司定期复核使用寿命，以决定将计入每个报告期的折旧和摊销费用数额。使用寿命是本公司根据对同类资产的以往经验并结合预期的技术更新而确定的。如果以前的估计发生重大变化，则会在未来期间对折旧和摊销费用进行调整。</w:t>
      </w:r>
    </w:p>
    <w:p w:rsidR="008D4B2E" w:rsidRPr="002B59B9" w:rsidRDefault="008D4B2E" w:rsidP="00B818D2">
      <w:pPr>
        <w:pStyle w:val="a3"/>
        <w:spacing w:before="0" w:beforeAutospacing="0" w:after="0" w:afterAutospacing="0"/>
        <w:ind w:firstLine="400"/>
        <w:jc w:val="both"/>
        <w:divId w:val="473523013"/>
        <w:rPr>
          <w:rFonts w:cs="Times New Roman"/>
          <w:sz w:val="18"/>
          <w:szCs w:val="18"/>
        </w:rPr>
      </w:pPr>
      <w:r w:rsidRPr="002B59B9">
        <w:rPr>
          <w:rFonts w:cs="Times New Roman" w:hint="eastAsia"/>
          <w:sz w:val="18"/>
          <w:szCs w:val="18"/>
        </w:rPr>
        <w:t>（</w:t>
      </w:r>
      <w:r w:rsidRPr="002B59B9">
        <w:rPr>
          <w:rFonts w:cs="Times New Roman"/>
          <w:sz w:val="18"/>
          <w:szCs w:val="18"/>
        </w:rPr>
        <w:t>7</w:t>
      </w:r>
      <w:r w:rsidRPr="002B59B9">
        <w:rPr>
          <w:rFonts w:cs="Times New Roman" w:hint="eastAsia"/>
          <w:sz w:val="18"/>
          <w:szCs w:val="18"/>
        </w:rPr>
        <w:t>）递延所得税资产</w:t>
      </w:r>
    </w:p>
    <w:p w:rsidR="008D4B2E" w:rsidRPr="002B59B9" w:rsidRDefault="008D4B2E" w:rsidP="00B818D2">
      <w:pPr>
        <w:pStyle w:val="a3"/>
        <w:spacing w:before="0" w:beforeAutospacing="0" w:after="0" w:afterAutospacing="0"/>
        <w:ind w:firstLine="400"/>
        <w:jc w:val="both"/>
        <w:divId w:val="473523013"/>
        <w:rPr>
          <w:rFonts w:cs="Times New Roman"/>
          <w:sz w:val="18"/>
          <w:szCs w:val="18"/>
        </w:rPr>
      </w:pPr>
      <w:r w:rsidRPr="002B59B9">
        <w:rPr>
          <w:rFonts w:cs="Times New Roman" w:hint="eastAsia"/>
          <w:sz w:val="18"/>
          <w:szCs w:val="18"/>
        </w:rPr>
        <w:t>在很有可能有足够的应纳税利润来抵扣亏损的限度内，本公司就所有未利用的税务亏损确认递延所得税资产。这需要本公司管理层运用大量的判断来估计未来应纳税利润发生的时间和金额，结合纳税筹划策略，以决定应确认的递延所得税资产的金额。</w:t>
      </w:r>
    </w:p>
    <w:p w:rsidR="002B59B9" w:rsidRDefault="008D4B2E" w:rsidP="00B818D2">
      <w:pPr>
        <w:pStyle w:val="a3"/>
        <w:spacing w:before="0" w:beforeAutospacing="0" w:after="0" w:afterAutospacing="0"/>
        <w:ind w:firstLine="400"/>
        <w:jc w:val="both"/>
        <w:divId w:val="473523013"/>
        <w:rPr>
          <w:rFonts w:cs="Times New Roman"/>
          <w:sz w:val="18"/>
          <w:szCs w:val="18"/>
        </w:rPr>
      </w:pPr>
      <w:r w:rsidRPr="002B59B9">
        <w:rPr>
          <w:rFonts w:cs="Times New Roman" w:hint="eastAsia"/>
          <w:sz w:val="18"/>
          <w:szCs w:val="18"/>
        </w:rPr>
        <w:t>（</w:t>
      </w:r>
      <w:r w:rsidRPr="002B59B9">
        <w:rPr>
          <w:rFonts w:cs="Times New Roman"/>
          <w:sz w:val="18"/>
          <w:szCs w:val="18"/>
        </w:rPr>
        <w:t>8</w:t>
      </w:r>
      <w:r w:rsidRPr="002B59B9">
        <w:rPr>
          <w:rFonts w:cs="Times New Roman" w:hint="eastAsia"/>
          <w:sz w:val="18"/>
          <w:szCs w:val="18"/>
        </w:rPr>
        <w:t>）所得税</w:t>
      </w:r>
    </w:p>
    <w:p w:rsidR="008D4B2E" w:rsidRPr="002B59B9" w:rsidRDefault="008D4B2E" w:rsidP="00B818D2">
      <w:pPr>
        <w:pStyle w:val="a3"/>
        <w:spacing w:before="0" w:beforeAutospacing="0" w:after="0" w:afterAutospacing="0"/>
        <w:ind w:firstLine="400"/>
        <w:jc w:val="both"/>
        <w:divId w:val="473523013"/>
        <w:rPr>
          <w:rFonts w:cs="Times New Roman"/>
          <w:sz w:val="18"/>
          <w:szCs w:val="18"/>
        </w:rPr>
      </w:pPr>
      <w:r w:rsidRPr="002B59B9">
        <w:rPr>
          <w:rFonts w:cs="Times New Roman" w:hint="eastAsia"/>
          <w:sz w:val="18"/>
          <w:szCs w:val="18"/>
        </w:rPr>
        <w:t>本公司在正常的经营活动中，有部分交易其最终的税务处理和计算存在一定的不确定性。部分项目是否能够在税前列支需要税收主管机关的审批。如果这些税务事项的最终认定结果同最初估计的金额存在差异，则该差异将对其最终认定期间的当期所得税和递延所得税产生影响。</w:t>
      </w:r>
    </w:p>
    <w:p w:rsidR="00BA0365" w:rsidRDefault="008D4B2E" w:rsidP="00B818D2">
      <w:pPr>
        <w:pStyle w:val="2"/>
        <w:spacing w:before="300" w:after="300"/>
        <w:rPr>
          <w:rFonts w:ascii="宋体" w:eastAsia="宋体" w:hAnsi="宋体" w:cs="宋体"/>
          <w:b/>
          <w:bCs/>
          <w:sz w:val="24"/>
          <w:szCs w:val="24"/>
        </w:rPr>
      </w:pPr>
      <w:bookmarkStart w:id="224" w:name="_Toc989113"/>
      <w:r>
        <w:rPr>
          <w:rFonts w:ascii="宋体" w:eastAsia="宋体" w:hAnsi="宋体" w:cs="宋体"/>
          <w:b/>
          <w:bCs/>
          <w:sz w:val="24"/>
          <w:szCs w:val="24"/>
        </w:rPr>
        <w:t>六、税项</w:t>
      </w:r>
      <w:bookmarkEnd w:id="224"/>
    </w:p>
    <w:p w:rsidR="00BA0365" w:rsidRDefault="008D4B2E" w:rsidP="00B818D2">
      <w:pPr>
        <w:pStyle w:val="3"/>
        <w:spacing w:line="240" w:lineRule="auto"/>
        <w:jc w:val="left"/>
        <w:rPr>
          <w:rFonts w:ascii="宋体" w:hAnsi="宋体" w:cs="宋体"/>
          <w:b/>
          <w:bCs/>
        </w:rPr>
      </w:pPr>
      <w:bookmarkStart w:id="225" w:name="_Toc989114"/>
      <w:r>
        <w:rPr>
          <w:rFonts w:ascii="宋体" w:hAnsi="宋体" w:cs="宋体"/>
          <w:b/>
          <w:bCs/>
        </w:rPr>
        <w:t>1、主要税种及税率</w:t>
      </w:r>
      <w:bookmarkEnd w:id="225"/>
    </w:p>
    <w:tbl>
      <w:tblPr>
        <w:tblW w:w="9639" w:type="dxa"/>
        <w:tblLayout w:type="fixed"/>
        <w:tblLook w:val="04A0" w:firstRow="1" w:lastRow="0" w:firstColumn="1" w:lastColumn="0" w:noHBand="0" w:noVBand="1"/>
      </w:tblPr>
      <w:tblGrid>
        <w:gridCol w:w="1668"/>
        <w:gridCol w:w="4758"/>
        <w:gridCol w:w="3213"/>
      </w:tblGrid>
      <w:tr w:rsidR="00157EA0" w:rsidTr="00F87C44">
        <w:trPr>
          <w:trHeight w:val="240"/>
        </w:trPr>
        <w:tc>
          <w:tcPr>
            <w:tcW w:w="166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rsidP="00B818D2">
            <w:pPr>
              <w:spacing w:before="40" w:after="40"/>
              <w:jc w:val="center"/>
              <w:rPr>
                <w:rFonts w:ascii="宋体" w:eastAsia="宋体" w:hAnsi="宋体" w:cs="宋体"/>
                <w:sz w:val="18"/>
                <w:szCs w:val="18"/>
              </w:rPr>
            </w:pPr>
            <w:r>
              <w:rPr>
                <w:rFonts w:ascii="宋体" w:eastAsia="宋体" w:hAnsi="宋体" w:cs="宋体"/>
                <w:sz w:val="18"/>
                <w:szCs w:val="18"/>
              </w:rPr>
              <w:t>税种</w:t>
            </w:r>
          </w:p>
        </w:tc>
        <w:tc>
          <w:tcPr>
            <w:tcW w:w="475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rsidP="00B818D2">
            <w:pPr>
              <w:spacing w:before="40" w:after="40"/>
              <w:jc w:val="center"/>
              <w:rPr>
                <w:rFonts w:ascii="宋体" w:eastAsia="宋体" w:hAnsi="宋体" w:cs="宋体"/>
                <w:sz w:val="18"/>
                <w:szCs w:val="18"/>
              </w:rPr>
            </w:pPr>
            <w:r>
              <w:rPr>
                <w:rFonts w:ascii="宋体" w:eastAsia="宋体" w:hAnsi="宋体" w:cs="宋体"/>
                <w:sz w:val="18"/>
                <w:szCs w:val="18"/>
              </w:rPr>
              <w:t>计税依据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rsidP="00B818D2">
            <w:pPr>
              <w:spacing w:before="40" w:after="40"/>
              <w:jc w:val="center"/>
              <w:rPr>
                <w:rFonts w:ascii="宋体" w:eastAsia="宋体" w:hAnsi="宋体" w:cs="宋体"/>
                <w:sz w:val="18"/>
                <w:szCs w:val="18"/>
              </w:rPr>
            </w:pPr>
            <w:r>
              <w:rPr>
                <w:rFonts w:ascii="宋体" w:eastAsia="宋体" w:hAnsi="宋体" w:cs="宋体"/>
                <w:sz w:val="18"/>
                <w:szCs w:val="18"/>
              </w:rPr>
              <w:t>税率</w:t>
            </w:r>
          </w:p>
        </w:tc>
      </w:tr>
      <w:tr w:rsidR="00157EA0" w:rsidTr="00F87C44">
        <w:trPr>
          <w:trHeight w:val="240"/>
        </w:trPr>
        <w:tc>
          <w:tcPr>
            <w:tcW w:w="166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rsidP="00B818D2">
            <w:pPr>
              <w:spacing w:before="40" w:after="40"/>
              <w:rPr>
                <w:rFonts w:ascii="宋体" w:eastAsia="宋体" w:hAnsi="宋体" w:cs="宋体"/>
                <w:sz w:val="18"/>
                <w:szCs w:val="18"/>
              </w:rPr>
            </w:pPr>
            <w:r>
              <w:rPr>
                <w:rFonts w:ascii="宋体" w:eastAsia="宋体" w:hAnsi="宋体" w:cs="宋体"/>
                <w:sz w:val="18"/>
                <w:szCs w:val="18"/>
              </w:rPr>
              <w:t>增值税</w:t>
            </w:r>
          </w:p>
        </w:tc>
        <w:tc>
          <w:tcPr>
            <w:tcW w:w="4758"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r>
              <w:rPr>
                <w:rFonts w:ascii="宋体" w:eastAsia="宋体" w:hAnsi="宋体" w:cs="宋体"/>
                <w:sz w:val="18"/>
                <w:szCs w:val="18"/>
              </w:rPr>
              <w:t>销售货物或提供应税劳务过程中产生的增值额、水费、资金利息收入、技术服务费收入、资产租赁收入</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jc w:val="right"/>
              <w:rPr>
                <w:rFonts w:ascii="宋体" w:eastAsia="宋体" w:hAnsi="宋体" w:cs="宋体"/>
                <w:sz w:val="18"/>
                <w:szCs w:val="18"/>
              </w:rPr>
            </w:pPr>
            <w:r>
              <w:rPr>
                <w:rFonts w:ascii="宋体" w:eastAsia="宋体" w:hAnsi="宋体" w:cs="宋体"/>
                <w:sz w:val="18"/>
                <w:szCs w:val="18"/>
              </w:rPr>
              <w:t>13</w:t>
            </w:r>
            <w:r w:rsidR="00570C59">
              <w:rPr>
                <w:rFonts w:ascii="宋体" w:eastAsia="宋体" w:hAnsi="宋体" w:cs="宋体" w:hint="eastAsia"/>
                <w:sz w:val="18"/>
                <w:szCs w:val="18"/>
              </w:rPr>
              <w:t>%</w:t>
            </w:r>
            <w:r>
              <w:rPr>
                <w:rFonts w:ascii="宋体" w:eastAsia="宋体" w:hAnsi="宋体" w:cs="宋体"/>
                <w:sz w:val="18"/>
                <w:szCs w:val="18"/>
              </w:rPr>
              <w:t>、9</w:t>
            </w:r>
            <w:r w:rsidR="00570C59">
              <w:rPr>
                <w:rFonts w:ascii="宋体" w:eastAsia="宋体" w:hAnsi="宋体" w:cs="宋体" w:hint="eastAsia"/>
                <w:sz w:val="18"/>
                <w:szCs w:val="18"/>
              </w:rPr>
              <w:t>%</w:t>
            </w:r>
            <w:r>
              <w:rPr>
                <w:rFonts w:ascii="宋体" w:eastAsia="宋体" w:hAnsi="宋体" w:cs="宋体"/>
                <w:sz w:val="18"/>
                <w:szCs w:val="18"/>
              </w:rPr>
              <w:t>、6</w:t>
            </w:r>
            <w:r w:rsidR="00570C59">
              <w:rPr>
                <w:rFonts w:ascii="宋体" w:eastAsia="宋体" w:hAnsi="宋体" w:cs="宋体" w:hint="eastAsia"/>
                <w:sz w:val="18"/>
                <w:szCs w:val="18"/>
              </w:rPr>
              <w:t>%</w:t>
            </w:r>
            <w:r>
              <w:rPr>
                <w:rFonts w:ascii="宋体" w:eastAsia="宋体" w:hAnsi="宋体" w:cs="宋体"/>
                <w:sz w:val="18"/>
                <w:szCs w:val="18"/>
              </w:rPr>
              <w:t>、5</w:t>
            </w:r>
            <w:r w:rsidR="00570C59">
              <w:rPr>
                <w:rFonts w:ascii="宋体" w:eastAsia="宋体" w:hAnsi="宋体" w:cs="宋体" w:hint="eastAsia"/>
                <w:sz w:val="18"/>
                <w:szCs w:val="18"/>
              </w:rPr>
              <w:t>%</w:t>
            </w:r>
          </w:p>
        </w:tc>
      </w:tr>
      <w:tr w:rsidR="00157EA0" w:rsidTr="00F87C44">
        <w:trPr>
          <w:trHeight w:val="240"/>
        </w:trPr>
        <w:tc>
          <w:tcPr>
            <w:tcW w:w="166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rsidP="00B818D2">
            <w:pPr>
              <w:spacing w:before="40" w:after="40"/>
              <w:rPr>
                <w:rFonts w:ascii="宋体" w:eastAsia="宋体" w:hAnsi="宋体" w:cs="宋体"/>
                <w:sz w:val="18"/>
                <w:szCs w:val="18"/>
              </w:rPr>
            </w:pPr>
            <w:r>
              <w:rPr>
                <w:rFonts w:ascii="宋体" w:eastAsia="宋体" w:hAnsi="宋体" w:cs="宋体"/>
                <w:sz w:val="18"/>
                <w:szCs w:val="18"/>
              </w:rPr>
              <w:t>消费税</w:t>
            </w:r>
          </w:p>
        </w:tc>
        <w:tc>
          <w:tcPr>
            <w:tcW w:w="4758"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r>
              <w:rPr>
                <w:rFonts w:ascii="宋体" w:eastAsia="宋体" w:hAnsi="宋体" w:cs="宋体"/>
                <w:sz w:val="18"/>
                <w:szCs w:val="18"/>
              </w:rPr>
              <w:t>软件产品税负超过3%部分，即征即退</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jc w:val="right"/>
              <w:rPr>
                <w:rFonts w:ascii="宋体" w:eastAsia="宋体" w:hAnsi="宋体" w:cs="宋体"/>
                <w:sz w:val="18"/>
                <w:szCs w:val="18"/>
              </w:rPr>
            </w:pPr>
            <w:r>
              <w:rPr>
                <w:rFonts w:ascii="宋体" w:eastAsia="宋体" w:hAnsi="宋体" w:cs="宋体"/>
                <w:sz w:val="18"/>
                <w:szCs w:val="18"/>
              </w:rPr>
              <w:t>3</w:t>
            </w:r>
            <w:r w:rsidR="00570C59">
              <w:rPr>
                <w:rFonts w:ascii="宋体" w:eastAsia="宋体" w:hAnsi="宋体" w:cs="宋体" w:hint="eastAsia"/>
                <w:sz w:val="18"/>
                <w:szCs w:val="18"/>
              </w:rPr>
              <w:t>%</w:t>
            </w:r>
          </w:p>
        </w:tc>
      </w:tr>
      <w:tr w:rsidR="00157EA0" w:rsidTr="00F87C44">
        <w:trPr>
          <w:trHeight w:val="240"/>
        </w:trPr>
        <w:tc>
          <w:tcPr>
            <w:tcW w:w="166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rsidP="00B818D2">
            <w:pPr>
              <w:spacing w:before="40" w:after="40"/>
              <w:rPr>
                <w:rFonts w:ascii="宋体" w:eastAsia="宋体" w:hAnsi="宋体" w:cs="宋体"/>
                <w:sz w:val="18"/>
                <w:szCs w:val="18"/>
              </w:rPr>
            </w:pPr>
            <w:r>
              <w:rPr>
                <w:rFonts w:ascii="宋体" w:eastAsia="宋体" w:hAnsi="宋体" w:cs="宋体"/>
                <w:sz w:val="18"/>
                <w:szCs w:val="18"/>
              </w:rPr>
              <w:t>城市维护建设税</w:t>
            </w:r>
          </w:p>
        </w:tc>
        <w:tc>
          <w:tcPr>
            <w:tcW w:w="4758"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r>
              <w:rPr>
                <w:rFonts w:ascii="宋体" w:eastAsia="宋体" w:hAnsi="宋体" w:cs="宋体"/>
                <w:sz w:val="18"/>
                <w:szCs w:val="18"/>
              </w:rPr>
              <w:t>应纳流转税额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jc w:val="right"/>
              <w:rPr>
                <w:rFonts w:ascii="宋体" w:eastAsia="宋体" w:hAnsi="宋体" w:cs="宋体"/>
                <w:sz w:val="18"/>
                <w:szCs w:val="18"/>
              </w:rPr>
            </w:pPr>
            <w:r>
              <w:rPr>
                <w:rFonts w:ascii="宋体" w:eastAsia="宋体" w:hAnsi="宋体" w:cs="宋体"/>
                <w:sz w:val="18"/>
                <w:szCs w:val="18"/>
              </w:rPr>
              <w:t>7</w:t>
            </w:r>
            <w:r w:rsidR="00570C59">
              <w:rPr>
                <w:rFonts w:ascii="宋体" w:eastAsia="宋体" w:hAnsi="宋体" w:cs="宋体" w:hint="eastAsia"/>
                <w:sz w:val="18"/>
                <w:szCs w:val="18"/>
              </w:rPr>
              <w:t>%</w:t>
            </w:r>
          </w:p>
        </w:tc>
      </w:tr>
      <w:tr w:rsidR="00157EA0" w:rsidTr="00614C8D">
        <w:trPr>
          <w:trHeight w:val="240"/>
        </w:trPr>
        <w:tc>
          <w:tcPr>
            <w:tcW w:w="166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rsidP="00B818D2">
            <w:pPr>
              <w:spacing w:before="40" w:after="40"/>
              <w:rPr>
                <w:rFonts w:ascii="宋体" w:eastAsia="宋体" w:hAnsi="宋体" w:cs="宋体"/>
                <w:sz w:val="18"/>
                <w:szCs w:val="18"/>
              </w:rPr>
            </w:pPr>
            <w:r>
              <w:rPr>
                <w:rFonts w:ascii="宋体" w:eastAsia="宋体" w:hAnsi="宋体" w:cs="宋体"/>
                <w:sz w:val="18"/>
                <w:szCs w:val="18"/>
              </w:rPr>
              <w:t>企业所得税</w:t>
            </w:r>
          </w:p>
        </w:tc>
        <w:tc>
          <w:tcPr>
            <w:tcW w:w="4758"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r>
              <w:rPr>
                <w:rFonts w:ascii="宋体" w:eastAsia="宋体" w:hAnsi="宋体" w:cs="宋体"/>
                <w:sz w:val="18"/>
                <w:szCs w:val="18"/>
              </w:rPr>
              <w:t>应纳税所得额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jc w:val="right"/>
              <w:rPr>
                <w:rFonts w:ascii="宋体" w:eastAsia="宋体" w:hAnsi="宋体" w:cs="宋体"/>
                <w:sz w:val="18"/>
                <w:szCs w:val="18"/>
              </w:rPr>
            </w:pPr>
            <w:r>
              <w:rPr>
                <w:rFonts w:ascii="宋体" w:eastAsia="宋体" w:hAnsi="宋体" w:cs="宋体"/>
                <w:sz w:val="18"/>
                <w:szCs w:val="18"/>
              </w:rPr>
              <w:t>见附表</w:t>
            </w:r>
          </w:p>
        </w:tc>
      </w:tr>
      <w:tr w:rsidR="00157EA0" w:rsidTr="00614C8D">
        <w:trPr>
          <w:trHeight w:val="240"/>
        </w:trPr>
        <w:tc>
          <w:tcPr>
            <w:tcW w:w="1668" w:type="dxa"/>
            <w:tcBorders>
              <w:top w:val="single" w:sz="2" w:space="0" w:color="auto"/>
              <w:left w:val="single" w:sz="2" w:space="0" w:color="auto"/>
              <w:bottom w:val="single" w:sz="2" w:space="0" w:color="auto"/>
              <w:right w:val="single" w:sz="2" w:space="0" w:color="auto"/>
            </w:tcBorders>
            <w:shd w:val="pct15" w:color="auto" w:fill="auto"/>
            <w:vAlign w:val="center"/>
          </w:tcPr>
          <w:p w:rsidR="00BA0365" w:rsidRDefault="008D4B2E" w:rsidP="00B818D2">
            <w:pPr>
              <w:rPr>
                <w:rFonts w:ascii="宋体" w:eastAsia="宋体" w:hAnsi="宋体" w:cs="宋体"/>
                <w:sz w:val="18"/>
                <w:szCs w:val="18"/>
              </w:rPr>
            </w:pPr>
            <w:r>
              <w:rPr>
                <w:rFonts w:ascii="宋体" w:eastAsia="宋体" w:hAnsi="宋体" w:cs="宋体"/>
                <w:sz w:val="18"/>
                <w:szCs w:val="18"/>
              </w:rPr>
              <w:t>教育费附加</w:t>
            </w:r>
          </w:p>
        </w:tc>
        <w:tc>
          <w:tcPr>
            <w:tcW w:w="4758"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r>
              <w:rPr>
                <w:rFonts w:ascii="宋体" w:eastAsia="宋体" w:hAnsi="宋体" w:cs="宋体"/>
                <w:sz w:val="18"/>
                <w:szCs w:val="18"/>
              </w:rPr>
              <w:t>应纳税所得额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jc w:val="right"/>
              <w:rPr>
                <w:rFonts w:ascii="宋体" w:eastAsia="宋体" w:hAnsi="宋体" w:cs="宋体"/>
                <w:sz w:val="18"/>
                <w:szCs w:val="18"/>
              </w:rPr>
            </w:pPr>
            <w:r>
              <w:rPr>
                <w:rFonts w:ascii="宋体" w:eastAsia="宋体" w:hAnsi="宋体" w:cs="宋体"/>
                <w:sz w:val="18"/>
                <w:szCs w:val="18"/>
              </w:rPr>
              <w:t>3</w:t>
            </w:r>
            <w:r w:rsidR="00570C59">
              <w:rPr>
                <w:rFonts w:ascii="宋体" w:eastAsia="宋体" w:hAnsi="宋体" w:cs="宋体" w:hint="eastAsia"/>
                <w:sz w:val="18"/>
                <w:szCs w:val="18"/>
              </w:rPr>
              <w:t>%</w:t>
            </w:r>
          </w:p>
        </w:tc>
      </w:tr>
      <w:tr w:rsidR="00157EA0" w:rsidTr="00614C8D">
        <w:trPr>
          <w:trHeight w:val="240"/>
        </w:trPr>
        <w:tc>
          <w:tcPr>
            <w:tcW w:w="1668" w:type="dxa"/>
            <w:tcBorders>
              <w:top w:val="single" w:sz="2" w:space="0" w:color="auto"/>
              <w:left w:val="single" w:sz="2" w:space="0" w:color="auto"/>
              <w:bottom w:val="single" w:sz="2" w:space="0" w:color="auto"/>
              <w:right w:val="single" w:sz="2" w:space="0" w:color="auto"/>
            </w:tcBorders>
            <w:shd w:val="pct15" w:color="auto" w:fill="auto"/>
            <w:vAlign w:val="center"/>
          </w:tcPr>
          <w:p w:rsidR="00BA0365" w:rsidRDefault="008D4B2E" w:rsidP="00B818D2">
            <w:pPr>
              <w:rPr>
                <w:rFonts w:ascii="宋体" w:eastAsia="宋体" w:hAnsi="宋体" w:cs="宋体"/>
                <w:sz w:val="18"/>
                <w:szCs w:val="18"/>
              </w:rPr>
            </w:pPr>
            <w:r>
              <w:rPr>
                <w:rFonts w:ascii="宋体" w:eastAsia="宋体" w:hAnsi="宋体" w:cs="宋体"/>
                <w:sz w:val="18"/>
                <w:szCs w:val="18"/>
              </w:rPr>
              <w:t>地方教育费附加</w:t>
            </w:r>
          </w:p>
        </w:tc>
        <w:tc>
          <w:tcPr>
            <w:tcW w:w="4758"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r>
              <w:rPr>
                <w:rFonts w:ascii="宋体" w:eastAsia="宋体" w:hAnsi="宋体" w:cs="宋体"/>
                <w:sz w:val="18"/>
                <w:szCs w:val="18"/>
              </w:rPr>
              <w:t>应纳税所得额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jc w:val="right"/>
              <w:rPr>
                <w:rFonts w:ascii="宋体" w:eastAsia="宋体" w:hAnsi="宋体" w:cs="宋体"/>
                <w:sz w:val="18"/>
                <w:szCs w:val="18"/>
              </w:rPr>
            </w:pPr>
            <w:r>
              <w:rPr>
                <w:rFonts w:ascii="宋体" w:eastAsia="宋体" w:hAnsi="宋体" w:cs="宋体"/>
                <w:sz w:val="18"/>
                <w:szCs w:val="18"/>
              </w:rPr>
              <w:t>2</w:t>
            </w:r>
            <w:r w:rsidR="00570C59">
              <w:rPr>
                <w:rFonts w:ascii="宋体" w:eastAsia="宋体" w:hAnsi="宋体" w:cs="宋体" w:hint="eastAsia"/>
                <w:sz w:val="18"/>
                <w:szCs w:val="18"/>
              </w:rPr>
              <w:t>%</w:t>
            </w:r>
          </w:p>
        </w:tc>
      </w:tr>
      <w:tr w:rsidR="00157EA0" w:rsidTr="00614C8D">
        <w:trPr>
          <w:trHeight w:val="240"/>
        </w:trPr>
        <w:tc>
          <w:tcPr>
            <w:tcW w:w="1668" w:type="dxa"/>
            <w:tcBorders>
              <w:top w:val="single" w:sz="2" w:space="0" w:color="auto"/>
              <w:left w:val="single" w:sz="2" w:space="0" w:color="auto"/>
              <w:bottom w:val="single" w:sz="2" w:space="0" w:color="auto"/>
              <w:right w:val="single" w:sz="2" w:space="0" w:color="auto"/>
            </w:tcBorders>
            <w:shd w:val="pct15" w:color="auto" w:fill="auto"/>
            <w:vAlign w:val="center"/>
          </w:tcPr>
          <w:p w:rsidR="00BA0365" w:rsidRDefault="008D4B2E" w:rsidP="00B818D2">
            <w:pPr>
              <w:rPr>
                <w:rFonts w:ascii="宋体" w:eastAsia="宋体" w:hAnsi="宋体" w:cs="宋体"/>
                <w:sz w:val="18"/>
                <w:szCs w:val="18"/>
              </w:rPr>
            </w:pPr>
            <w:r>
              <w:rPr>
                <w:rFonts w:ascii="宋体" w:eastAsia="宋体" w:hAnsi="宋体" w:cs="宋体"/>
                <w:sz w:val="18"/>
                <w:szCs w:val="18"/>
              </w:rPr>
              <w:t>房产税</w:t>
            </w:r>
          </w:p>
        </w:tc>
        <w:tc>
          <w:tcPr>
            <w:tcW w:w="4758"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r>
              <w:rPr>
                <w:rFonts w:ascii="宋体" w:eastAsia="宋体" w:hAnsi="宋体" w:cs="宋体"/>
                <w:sz w:val="18"/>
                <w:szCs w:val="18"/>
              </w:rPr>
              <w:t>从价计征的，计税依据为房产原值一次减除30%后的余值</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jc w:val="right"/>
              <w:rPr>
                <w:rFonts w:ascii="宋体" w:eastAsia="宋体" w:hAnsi="宋体" w:cs="宋体"/>
                <w:sz w:val="18"/>
                <w:szCs w:val="18"/>
              </w:rPr>
            </w:pPr>
            <w:r>
              <w:rPr>
                <w:rFonts w:ascii="宋体" w:eastAsia="宋体" w:hAnsi="宋体" w:cs="宋体"/>
                <w:sz w:val="18"/>
                <w:szCs w:val="18"/>
              </w:rPr>
              <w:t>1.2</w:t>
            </w:r>
            <w:r w:rsidR="00570C59">
              <w:rPr>
                <w:rFonts w:ascii="宋体" w:eastAsia="宋体" w:hAnsi="宋体" w:cs="宋体" w:hint="eastAsia"/>
                <w:sz w:val="18"/>
                <w:szCs w:val="18"/>
              </w:rPr>
              <w:t>%</w:t>
            </w:r>
          </w:p>
        </w:tc>
      </w:tr>
      <w:tr w:rsidR="00157EA0" w:rsidTr="00614C8D">
        <w:trPr>
          <w:trHeight w:val="240"/>
        </w:trPr>
        <w:tc>
          <w:tcPr>
            <w:tcW w:w="1668" w:type="dxa"/>
            <w:tcBorders>
              <w:top w:val="single" w:sz="2" w:space="0" w:color="auto"/>
              <w:left w:val="single" w:sz="2" w:space="0" w:color="auto"/>
              <w:bottom w:val="single" w:sz="2" w:space="0" w:color="auto"/>
              <w:right w:val="single" w:sz="2" w:space="0" w:color="auto"/>
            </w:tcBorders>
            <w:shd w:val="pct15" w:color="auto" w:fill="auto"/>
            <w:vAlign w:val="center"/>
          </w:tcPr>
          <w:p w:rsidR="00BA0365" w:rsidRDefault="008D4B2E" w:rsidP="00B818D2">
            <w:pPr>
              <w:rPr>
                <w:rFonts w:ascii="宋体" w:eastAsia="宋体" w:hAnsi="宋体" w:cs="宋体"/>
                <w:sz w:val="18"/>
                <w:szCs w:val="18"/>
              </w:rPr>
            </w:pPr>
            <w:r>
              <w:rPr>
                <w:rFonts w:ascii="宋体" w:eastAsia="宋体" w:hAnsi="宋体" w:cs="宋体"/>
                <w:sz w:val="18"/>
                <w:szCs w:val="18"/>
              </w:rPr>
              <w:t>房产税</w:t>
            </w:r>
          </w:p>
        </w:tc>
        <w:tc>
          <w:tcPr>
            <w:tcW w:w="4758"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proofErr w:type="gramStart"/>
            <w:r>
              <w:rPr>
                <w:rFonts w:ascii="宋体" w:eastAsia="宋体" w:hAnsi="宋体" w:cs="宋体"/>
                <w:sz w:val="18"/>
                <w:szCs w:val="18"/>
              </w:rPr>
              <w:t>从租计征</w:t>
            </w:r>
            <w:proofErr w:type="gramEnd"/>
            <w:r>
              <w:rPr>
                <w:rFonts w:ascii="宋体" w:eastAsia="宋体" w:hAnsi="宋体" w:cs="宋体"/>
                <w:sz w:val="18"/>
                <w:szCs w:val="18"/>
              </w:rPr>
              <w:t>的，计税依据为租金收入</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jc w:val="right"/>
              <w:rPr>
                <w:rFonts w:ascii="宋体" w:eastAsia="宋体" w:hAnsi="宋体" w:cs="宋体"/>
                <w:sz w:val="18"/>
                <w:szCs w:val="18"/>
              </w:rPr>
            </w:pPr>
            <w:r>
              <w:rPr>
                <w:rFonts w:ascii="宋体" w:eastAsia="宋体" w:hAnsi="宋体" w:cs="宋体"/>
                <w:sz w:val="18"/>
                <w:szCs w:val="18"/>
              </w:rPr>
              <w:t>12</w:t>
            </w:r>
            <w:r w:rsidR="00570C59">
              <w:rPr>
                <w:rFonts w:ascii="宋体" w:eastAsia="宋体" w:hAnsi="宋体" w:cs="宋体" w:hint="eastAsia"/>
                <w:sz w:val="18"/>
                <w:szCs w:val="18"/>
              </w:rPr>
              <w:t>%</w:t>
            </w:r>
          </w:p>
        </w:tc>
      </w:tr>
      <w:tr w:rsidR="00157EA0" w:rsidTr="00614C8D">
        <w:trPr>
          <w:trHeight w:val="240"/>
        </w:trPr>
        <w:tc>
          <w:tcPr>
            <w:tcW w:w="1668" w:type="dxa"/>
            <w:tcBorders>
              <w:top w:val="single" w:sz="2" w:space="0" w:color="auto"/>
              <w:left w:val="single" w:sz="2" w:space="0" w:color="auto"/>
              <w:bottom w:val="single" w:sz="2" w:space="0" w:color="auto"/>
              <w:right w:val="single" w:sz="2" w:space="0" w:color="auto"/>
            </w:tcBorders>
            <w:shd w:val="pct15" w:color="auto" w:fill="auto"/>
            <w:vAlign w:val="center"/>
          </w:tcPr>
          <w:p w:rsidR="00BA0365" w:rsidRDefault="008D4B2E" w:rsidP="00B818D2">
            <w:pPr>
              <w:rPr>
                <w:rFonts w:ascii="宋体" w:eastAsia="宋体" w:hAnsi="宋体" w:cs="宋体"/>
                <w:sz w:val="18"/>
                <w:szCs w:val="18"/>
              </w:rPr>
            </w:pPr>
            <w:r>
              <w:rPr>
                <w:rFonts w:ascii="宋体" w:eastAsia="宋体" w:hAnsi="宋体" w:cs="宋体"/>
                <w:sz w:val="18"/>
                <w:szCs w:val="18"/>
              </w:rPr>
              <w:t>土地使用税</w:t>
            </w:r>
          </w:p>
        </w:tc>
        <w:tc>
          <w:tcPr>
            <w:tcW w:w="4758"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r>
              <w:rPr>
                <w:rFonts w:ascii="宋体" w:eastAsia="宋体" w:hAnsi="宋体" w:cs="宋体"/>
                <w:sz w:val="18"/>
                <w:szCs w:val="18"/>
              </w:rPr>
              <w:t>土地面积</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jc w:val="right"/>
              <w:rPr>
                <w:rFonts w:ascii="宋体" w:eastAsia="宋体" w:hAnsi="宋体" w:cs="宋体"/>
                <w:sz w:val="18"/>
                <w:szCs w:val="18"/>
              </w:rPr>
            </w:pPr>
            <w:r>
              <w:rPr>
                <w:rFonts w:ascii="宋体" w:eastAsia="宋体" w:hAnsi="宋体" w:cs="宋体"/>
                <w:sz w:val="18"/>
                <w:szCs w:val="18"/>
              </w:rPr>
              <w:t>6-12元/平方米</w:t>
            </w:r>
          </w:p>
        </w:tc>
      </w:tr>
    </w:tbl>
    <w:p w:rsidR="00BA0365" w:rsidRDefault="008D4B2E" w:rsidP="00B818D2">
      <w:pPr>
        <w:spacing w:before="100" w:after="100"/>
        <w:rPr>
          <w:rFonts w:ascii="宋体" w:eastAsia="宋体" w:hAnsi="宋体" w:cs="宋体"/>
          <w:sz w:val="18"/>
          <w:szCs w:val="18"/>
        </w:rPr>
      </w:pPr>
      <w:r>
        <w:rPr>
          <w:rFonts w:ascii="宋体" w:eastAsia="宋体" w:hAnsi="宋体" w:cs="宋体"/>
          <w:sz w:val="18"/>
          <w:szCs w:val="18"/>
        </w:rPr>
        <w:t>存在不同企业所得税税率纳税主体的，披露情况说明</w:t>
      </w:r>
    </w:p>
    <w:tbl>
      <w:tblPr>
        <w:tblW w:w="9639" w:type="dxa"/>
        <w:tblLayout w:type="fixed"/>
        <w:tblLook w:val="04A0" w:firstRow="1" w:lastRow="0" w:firstColumn="1" w:lastColumn="0" w:noHBand="0" w:noVBand="1"/>
      </w:tblPr>
      <w:tblGrid>
        <w:gridCol w:w="4820"/>
        <w:gridCol w:w="4819"/>
      </w:tblGrid>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rsidP="00B818D2">
            <w:pPr>
              <w:spacing w:before="40" w:after="40"/>
              <w:jc w:val="center"/>
              <w:rPr>
                <w:rFonts w:ascii="宋体" w:eastAsia="宋体" w:hAnsi="宋体" w:cs="宋体"/>
                <w:sz w:val="18"/>
                <w:szCs w:val="18"/>
              </w:rPr>
            </w:pPr>
            <w:r>
              <w:rPr>
                <w:rFonts w:ascii="宋体" w:eastAsia="宋体" w:hAnsi="宋体" w:cs="宋体"/>
                <w:sz w:val="18"/>
                <w:szCs w:val="18"/>
              </w:rPr>
              <w:t>纳税主体名称</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rsidP="00B818D2">
            <w:pPr>
              <w:spacing w:before="40" w:after="40"/>
              <w:jc w:val="center"/>
              <w:rPr>
                <w:rFonts w:ascii="宋体" w:eastAsia="宋体" w:hAnsi="宋体" w:cs="宋体"/>
                <w:sz w:val="18"/>
                <w:szCs w:val="18"/>
              </w:rPr>
            </w:pPr>
            <w:r>
              <w:rPr>
                <w:rFonts w:ascii="宋体" w:eastAsia="宋体" w:hAnsi="宋体" w:cs="宋体"/>
                <w:sz w:val="18"/>
                <w:szCs w:val="18"/>
              </w:rPr>
              <w:t>所得税税率</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proofErr w:type="gramStart"/>
            <w:r>
              <w:rPr>
                <w:rFonts w:ascii="宋体" w:eastAsia="宋体" w:hAnsi="宋体" w:cs="宋体"/>
                <w:sz w:val="18"/>
                <w:szCs w:val="18"/>
              </w:rPr>
              <w:t>软控股份有限公司</w:t>
            </w:r>
            <w:proofErr w:type="gramEnd"/>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jc w:val="right"/>
              <w:rPr>
                <w:rFonts w:ascii="宋体" w:eastAsia="宋体" w:hAnsi="宋体" w:cs="宋体"/>
                <w:sz w:val="18"/>
                <w:szCs w:val="18"/>
              </w:rPr>
            </w:pPr>
            <w:r>
              <w:rPr>
                <w:rFonts w:ascii="宋体" w:eastAsia="宋体" w:hAnsi="宋体" w:cs="宋体"/>
                <w:sz w:val="18"/>
                <w:szCs w:val="18"/>
              </w:rPr>
              <w:t>15</w:t>
            </w:r>
            <w:r w:rsidR="00570C59">
              <w:rPr>
                <w:rFonts w:ascii="宋体" w:eastAsia="宋体" w:hAnsi="宋体" w:cs="宋体" w:hint="eastAsia"/>
                <w:sz w:val="18"/>
                <w:szCs w:val="18"/>
              </w:rPr>
              <w:t>%</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proofErr w:type="gramStart"/>
            <w:r>
              <w:rPr>
                <w:rFonts w:ascii="宋体" w:eastAsia="宋体" w:hAnsi="宋体" w:cs="宋体"/>
                <w:sz w:val="18"/>
                <w:szCs w:val="18"/>
              </w:rPr>
              <w:t>青岛软控机电工程</w:t>
            </w:r>
            <w:proofErr w:type="gramEnd"/>
            <w:r>
              <w:rPr>
                <w:rFonts w:ascii="宋体" w:eastAsia="宋体" w:hAnsi="宋体" w:cs="宋体"/>
                <w:sz w:val="18"/>
                <w:szCs w:val="18"/>
              </w:rPr>
              <w:t>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jc w:val="right"/>
              <w:rPr>
                <w:rFonts w:ascii="宋体" w:eastAsia="宋体" w:hAnsi="宋体" w:cs="宋体"/>
                <w:sz w:val="18"/>
                <w:szCs w:val="18"/>
              </w:rPr>
            </w:pPr>
            <w:r>
              <w:rPr>
                <w:rFonts w:ascii="宋体" w:eastAsia="宋体" w:hAnsi="宋体" w:cs="宋体"/>
                <w:sz w:val="18"/>
                <w:szCs w:val="18"/>
              </w:rPr>
              <w:t>15</w:t>
            </w:r>
            <w:r w:rsidR="00570C59">
              <w:rPr>
                <w:rFonts w:ascii="宋体" w:eastAsia="宋体" w:hAnsi="宋体" w:cs="宋体" w:hint="eastAsia"/>
                <w:sz w:val="18"/>
                <w:szCs w:val="18"/>
              </w:rPr>
              <w:t>%</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r>
              <w:rPr>
                <w:rFonts w:ascii="宋体" w:eastAsia="宋体" w:hAnsi="宋体" w:cs="宋体"/>
                <w:sz w:val="18"/>
                <w:szCs w:val="18"/>
              </w:rPr>
              <w:t>青岛华控能源科技有限公司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jc w:val="right"/>
              <w:rPr>
                <w:rFonts w:ascii="宋体" w:eastAsia="宋体" w:hAnsi="宋体" w:cs="宋体"/>
                <w:sz w:val="18"/>
                <w:szCs w:val="18"/>
              </w:rPr>
            </w:pPr>
            <w:r>
              <w:rPr>
                <w:rFonts w:ascii="宋体" w:eastAsia="宋体" w:hAnsi="宋体" w:cs="宋体"/>
                <w:sz w:val="18"/>
                <w:szCs w:val="18"/>
              </w:rPr>
              <w:t>15</w:t>
            </w:r>
            <w:r w:rsidR="00570C59">
              <w:rPr>
                <w:rFonts w:ascii="宋体" w:eastAsia="宋体" w:hAnsi="宋体" w:cs="宋体" w:hint="eastAsia"/>
                <w:sz w:val="18"/>
                <w:szCs w:val="18"/>
              </w:rPr>
              <w:t>%</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r>
              <w:rPr>
                <w:rFonts w:ascii="宋体" w:eastAsia="宋体" w:hAnsi="宋体" w:cs="宋体"/>
                <w:sz w:val="18"/>
                <w:szCs w:val="18"/>
              </w:rPr>
              <w:lastRenderedPageBreak/>
              <w:t>北京敬业机械设备有限公司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jc w:val="right"/>
              <w:rPr>
                <w:rFonts w:ascii="宋体" w:eastAsia="宋体" w:hAnsi="宋体" w:cs="宋体"/>
                <w:sz w:val="18"/>
                <w:szCs w:val="18"/>
              </w:rPr>
            </w:pPr>
            <w:r>
              <w:rPr>
                <w:rFonts w:ascii="宋体" w:eastAsia="宋体" w:hAnsi="宋体" w:cs="宋体"/>
                <w:sz w:val="18"/>
                <w:szCs w:val="18"/>
              </w:rPr>
              <w:t>15</w:t>
            </w:r>
            <w:r w:rsidR="00570C59">
              <w:rPr>
                <w:rFonts w:ascii="宋体" w:eastAsia="宋体" w:hAnsi="宋体" w:cs="宋体" w:hint="eastAsia"/>
                <w:sz w:val="18"/>
                <w:szCs w:val="18"/>
              </w:rPr>
              <w:t>%</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r>
              <w:rPr>
                <w:rFonts w:ascii="宋体" w:eastAsia="宋体" w:hAnsi="宋体" w:cs="宋体"/>
                <w:sz w:val="18"/>
                <w:szCs w:val="18"/>
              </w:rPr>
              <w:t>抚顺伊科思新材料有限公司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jc w:val="right"/>
              <w:rPr>
                <w:rFonts w:ascii="宋体" w:eastAsia="宋体" w:hAnsi="宋体" w:cs="宋体"/>
                <w:sz w:val="18"/>
                <w:szCs w:val="18"/>
              </w:rPr>
            </w:pPr>
            <w:r>
              <w:rPr>
                <w:rFonts w:ascii="宋体" w:eastAsia="宋体" w:hAnsi="宋体" w:cs="宋体"/>
                <w:sz w:val="18"/>
                <w:szCs w:val="18"/>
              </w:rPr>
              <w:t>15</w:t>
            </w:r>
            <w:r w:rsidR="00570C59">
              <w:rPr>
                <w:rFonts w:ascii="宋体" w:eastAsia="宋体" w:hAnsi="宋体" w:cs="宋体" w:hint="eastAsia"/>
                <w:sz w:val="18"/>
                <w:szCs w:val="18"/>
              </w:rPr>
              <w:t>%</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proofErr w:type="gramStart"/>
            <w:r>
              <w:rPr>
                <w:rFonts w:ascii="宋体" w:eastAsia="宋体" w:hAnsi="宋体" w:cs="宋体"/>
                <w:sz w:val="18"/>
                <w:szCs w:val="18"/>
              </w:rPr>
              <w:t>软控联合</w:t>
            </w:r>
            <w:proofErr w:type="gramEnd"/>
            <w:r>
              <w:rPr>
                <w:rFonts w:ascii="宋体" w:eastAsia="宋体" w:hAnsi="宋体" w:cs="宋体"/>
                <w:sz w:val="18"/>
                <w:szCs w:val="18"/>
              </w:rPr>
              <w:t>科技有限公司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jc w:val="right"/>
              <w:rPr>
                <w:rFonts w:ascii="宋体" w:eastAsia="宋体" w:hAnsi="宋体" w:cs="宋体"/>
                <w:sz w:val="18"/>
                <w:szCs w:val="18"/>
              </w:rPr>
            </w:pPr>
            <w:r>
              <w:rPr>
                <w:rFonts w:ascii="宋体" w:eastAsia="宋体" w:hAnsi="宋体" w:cs="宋体"/>
                <w:sz w:val="18"/>
                <w:szCs w:val="18"/>
              </w:rPr>
              <w:t>15</w:t>
            </w:r>
            <w:r w:rsidR="00570C59">
              <w:rPr>
                <w:rFonts w:ascii="宋体" w:eastAsia="宋体" w:hAnsi="宋体" w:cs="宋体" w:hint="eastAsia"/>
                <w:sz w:val="18"/>
                <w:szCs w:val="18"/>
              </w:rPr>
              <w:t>%</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r>
              <w:rPr>
                <w:rFonts w:ascii="宋体" w:eastAsia="宋体" w:hAnsi="宋体" w:cs="宋体"/>
                <w:sz w:val="18"/>
                <w:szCs w:val="18"/>
              </w:rPr>
              <w:t>青岛海威物联科技有限公司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jc w:val="right"/>
              <w:rPr>
                <w:rFonts w:ascii="宋体" w:eastAsia="宋体" w:hAnsi="宋体" w:cs="宋体"/>
                <w:sz w:val="18"/>
                <w:szCs w:val="18"/>
              </w:rPr>
            </w:pPr>
            <w:r>
              <w:rPr>
                <w:rFonts w:ascii="宋体" w:eastAsia="宋体" w:hAnsi="宋体" w:cs="宋体"/>
                <w:sz w:val="18"/>
                <w:szCs w:val="18"/>
              </w:rPr>
              <w:t>15</w:t>
            </w:r>
            <w:r w:rsidR="00570C59">
              <w:rPr>
                <w:rFonts w:ascii="宋体" w:eastAsia="宋体" w:hAnsi="宋体" w:cs="宋体" w:hint="eastAsia"/>
                <w:sz w:val="18"/>
                <w:szCs w:val="18"/>
              </w:rPr>
              <w:t>%</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r>
              <w:rPr>
                <w:rFonts w:ascii="宋体" w:eastAsia="宋体" w:hAnsi="宋体" w:cs="宋体"/>
                <w:sz w:val="18"/>
                <w:szCs w:val="18"/>
              </w:rPr>
              <w:t>青岛软控海科科技有限公司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jc w:val="right"/>
              <w:rPr>
                <w:rFonts w:ascii="宋体" w:eastAsia="宋体" w:hAnsi="宋体" w:cs="宋体"/>
                <w:sz w:val="18"/>
                <w:szCs w:val="18"/>
              </w:rPr>
            </w:pPr>
            <w:r>
              <w:rPr>
                <w:rFonts w:ascii="宋体" w:eastAsia="宋体" w:hAnsi="宋体" w:cs="宋体"/>
                <w:sz w:val="18"/>
                <w:szCs w:val="18"/>
              </w:rPr>
              <w:t>15</w:t>
            </w:r>
            <w:r w:rsidR="00570C59">
              <w:rPr>
                <w:rFonts w:ascii="宋体" w:eastAsia="宋体" w:hAnsi="宋体" w:cs="宋体" w:hint="eastAsia"/>
                <w:sz w:val="18"/>
                <w:szCs w:val="18"/>
              </w:rPr>
              <w:t>%</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r>
              <w:rPr>
                <w:rFonts w:ascii="宋体" w:eastAsia="宋体" w:hAnsi="宋体" w:cs="宋体"/>
                <w:sz w:val="18"/>
                <w:szCs w:val="18"/>
              </w:rPr>
              <w:t>浙江软控智能科技</w:t>
            </w:r>
            <w:r w:rsidR="001542D9">
              <w:rPr>
                <w:rFonts w:ascii="宋体" w:eastAsia="宋体" w:hAnsi="宋体" w:cs="宋体"/>
                <w:sz w:val="18"/>
                <w:szCs w:val="18"/>
              </w:rPr>
              <w:t>股份</w:t>
            </w:r>
            <w:r>
              <w:rPr>
                <w:rFonts w:ascii="宋体" w:eastAsia="宋体" w:hAnsi="宋体" w:cs="宋体"/>
                <w:sz w:val="18"/>
                <w:szCs w:val="18"/>
              </w:rPr>
              <w:t>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jc w:val="right"/>
              <w:rPr>
                <w:rFonts w:ascii="宋体" w:eastAsia="宋体" w:hAnsi="宋体" w:cs="宋体"/>
                <w:sz w:val="18"/>
                <w:szCs w:val="18"/>
              </w:rPr>
            </w:pPr>
            <w:r>
              <w:rPr>
                <w:rFonts w:ascii="宋体" w:eastAsia="宋体" w:hAnsi="宋体" w:cs="宋体"/>
                <w:sz w:val="18"/>
                <w:szCs w:val="18"/>
              </w:rPr>
              <w:t>15</w:t>
            </w:r>
            <w:r w:rsidR="00570C59">
              <w:rPr>
                <w:rFonts w:ascii="宋体" w:eastAsia="宋体" w:hAnsi="宋体" w:cs="宋体" w:hint="eastAsia"/>
                <w:sz w:val="18"/>
                <w:szCs w:val="18"/>
              </w:rPr>
              <w:t>%</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r>
              <w:rPr>
                <w:rFonts w:ascii="宋体" w:eastAsia="宋体" w:hAnsi="宋体" w:cs="宋体"/>
                <w:sz w:val="18"/>
                <w:szCs w:val="18"/>
              </w:rPr>
              <w:t>益</w:t>
            </w:r>
            <w:proofErr w:type="gramStart"/>
            <w:r>
              <w:rPr>
                <w:rFonts w:ascii="宋体" w:eastAsia="宋体" w:hAnsi="宋体" w:cs="宋体"/>
                <w:sz w:val="18"/>
                <w:szCs w:val="18"/>
              </w:rPr>
              <w:t>凯</w:t>
            </w:r>
            <w:proofErr w:type="gramEnd"/>
            <w:r>
              <w:rPr>
                <w:rFonts w:ascii="宋体" w:eastAsia="宋体" w:hAnsi="宋体" w:cs="宋体"/>
                <w:sz w:val="18"/>
                <w:szCs w:val="18"/>
              </w:rPr>
              <w:t>新材料有限公司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jc w:val="right"/>
              <w:rPr>
                <w:rFonts w:ascii="宋体" w:eastAsia="宋体" w:hAnsi="宋体" w:cs="宋体"/>
                <w:sz w:val="18"/>
                <w:szCs w:val="18"/>
              </w:rPr>
            </w:pPr>
            <w:r>
              <w:rPr>
                <w:rFonts w:ascii="宋体" w:eastAsia="宋体" w:hAnsi="宋体" w:cs="宋体"/>
                <w:sz w:val="18"/>
                <w:szCs w:val="18"/>
              </w:rPr>
              <w:t>15</w:t>
            </w:r>
            <w:r w:rsidR="00570C59">
              <w:rPr>
                <w:rFonts w:ascii="宋体" w:eastAsia="宋体" w:hAnsi="宋体" w:cs="宋体" w:hint="eastAsia"/>
                <w:sz w:val="18"/>
                <w:szCs w:val="18"/>
              </w:rPr>
              <w:t>%</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r>
              <w:rPr>
                <w:rFonts w:ascii="宋体" w:eastAsia="宋体" w:hAnsi="宋体" w:cs="宋体"/>
                <w:sz w:val="18"/>
                <w:szCs w:val="18"/>
              </w:rPr>
              <w:t>大连软控机电有限公司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jc w:val="right"/>
              <w:rPr>
                <w:rFonts w:ascii="宋体" w:eastAsia="宋体" w:hAnsi="宋体" w:cs="宋体"/>
                <w:sz w:val="18"/>
                <w:szCs w:val="18"/>
              </w:rPr>
            </w:pPr>
            <w:r>
              <w:rPr>
                <w:rFonts w:ascii="宋体" w:eastAsia="宋体" w:hAnsi="宋体" w:cs="宋体"/>
                <w:sz w:val="18"/>
                <w:szCs w:val="18"/>
              </w:rPr>
              <w:t>20</w:t>
            </w:r>
            <w:r w:rsidR="00570C59">
              <w:rPr>
                <w:rFonts w:ascii="宋体" w:eastAsia="宋体" w:hAnsi="宋体" w:cs="宋体" w:hint="eastAsia"/>
                <w:sz w:val="18"/>
                <w:szCs w:val="18"/>
              </w:rPr>
              <w:t>%</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r>
              <w:rPr>
                <w:rFonts w:ascii="宋体" w:eastAsia="宋体" w:hAnsi="宋体" w:cs="宋体"/>
                <w:sz w:val="18"/>
                <w:szCs w:val="18"/>
              </w:rPr>
              <w:t>青岛</w:t>
            </w:r>
            <w:proofErr w:type="gramStart"/>
            <w:r>
              <w:rPr>
                <w:rFonts w:ascii="宋体" w:eastAsia="宋体" w:hAnsi="宋体" w:cs="宋体"/>
                <w:sz w:val="18"/>
                <w:szCs w:val="18"/>
              </w:rPr>
              <w:t>优享供应</w:t>
            </w:r>
            <w:proofErr w:type="gramEnd"/>
            <w:r>
              <w:rPr>
                <w:rFonts w:ascii="宋体" w:eastAsia="宋体" w:hAnsi="宋体" w:cs="宋体"/>
                <w:sz w:val="18"/>
                <w:szCs w:val="18"/>
              </w:rPr>
              <w:t>链有限公司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jc w:val="right"/>
              <w:rPr>
                <w:rFonts w:ascii="宋体" w:eastAsia="宋体" w:hAnsi="宋体" w:cs="宋体"/>
                <w:sz w:val="18"/>
                <w:szCs w:val="18"/>
              </w:rPr>
            </w:pPr>
            <w:r>
              <w:rPr>
                <w:rFonts w:ascii="宋体" w:eastAsia="宋体" w:hAnsi="宋体" w:cs="宋体"/>
                <w:sz w:val="18"/>
                <w:szCs w:val="18"/>
              </w:rPr>
              <w:t>20</w:t>
            </w:r>
            <w:r w:rsidR="00570C59">
              <w:rPr>
                <w:rFonts w:ascii="宋体" w:eastAsia="宋体" w:hAnsi="宋体" w:cs="宋体" w:hint="eastAsia"/>
                <w:sz w:val="18"/>
                <w:szCs w:val="18"/>
              </w:rPr>
              <w:t>%</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r>
              <w:rPr>
                <w:rFonts w:ascii="宋体" w:eastAsia="宋体" w:hAnsi="宋体" w:cs="宋体"/>
                <w:sz w:val="18"/>
                <w:szCs w:val="18"/>
              </w:rPr>
              <w:t>青岛软控计量检测技术有限公司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jc w:val="right"/>
              <w:rPr>
                <w:rFonts w:ascii="宋体" w:eastAsia="宋体" w:hAnsi="宋体" w:cs="宋体"/>
                <w:sz w:val="18"/>
                <w:szCs w:val="18"/>
              </w:rPr>
            </w:pPr>
            <w:r>
              <w:rPr>
                <w:rFonts w:ascii="宋体" w:eastAsia="宋体" w:hAnsi="宋体" w:cs="宋体"/>
                <w:sz w:val="18"/>
                <w:szCs w:val="18"/>
              </w:rPr>
              <w:t>20</w:t>
            </w:r>
            <w:r w:rsidR="00570C59">
              <w:rPr>
                <w:rFonts w:ascii="宋体" w:eastAsia="宋体" w:hAnsi="宋体" w:cs="宋体" w:hint="eastAsia"/>
                <w:sz w:val="18"/>
                <w:szCs w:val="18"/>
              </w:rPr>
              <w:t>%</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r>
              <w:rPr>
                <w:rFonts w:ascii="宋体" w:eastAsia="宋体" w:hAnsi="宋体" w:cs="宋体"/>
                <w:sz w:val="18"/>
                <w:szCs w:val="18"/>
              </w:rPr>
              <w:t>青岛朗控清洁能源有限公司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jc w:val="right"/>
              <w:rPr>
                <w:rFonts w:ascii="宋体" w:eastAsia="宋体" w:hAnsi="宋体" w:cs="宋体"/>
                <w:sz w:val="18"/>
                <w:szCs w:val="18"/>
              </w:rPr>
            </w:pPr>
            <w:r>
              <w:rPr>
                <w:rFonts w:ascii="宋体" w:eastAsia="宋体" w:hAnsi="宋体" w:cs="宋体"/>
                <w:sz w:val="18"/>
                <w:szCs w:val="18"/>
              </w:rPr>
              <w:t>20</w:t>
            </w:r>
            <w:r w:rsidR="00570C59">
              <w:rPr>
                <w:rFonts w:ascii="宋体" w:eastAsia="宋体" w:hAnsi="宋体" w:cs="宋体" w:hint="eastAsia"/>
                <w:sz w:val="18"/>
                <w:szCs w:val="18"/>
              </w:rPr>
              <w:t>%</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r>
              <w:rPr>
                <w:rFonts w:ascii="宋体" w:eastAsia="宋体" w:hAnsi="宋体" w:cs="宋体"/>
                <w:sz w:val="18"/>
                <w:szCs w:val="18"/>
              </w:rPr>
              <w:t>青岛睿诚新能源有限公司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jc w:val="right"/>
              <w:rPr>
                <w:rFonts w:ascii="宋体" w:eastAsia="宋体" w:hAnsi="宋体" w:cs="宋体"/>
                <w:sz w:val="18"/>
                <w:szCs w:val="18"/>
              </w:rPr>
            </w:pPr>
            <w:r>
              <w:rPr>
                <w:rFonts w:ascii="宋体" w:eastAsia="宋体" w:hAnsi="宋体" w:cs="宋体"/>
                <w:sz w:val="18"/>
                <w:szCs w:val="18"/>
              </w:rPr>
              <w:t>20</w:t>
            </w:r>
            <w:r w:rsidR="00570C59">
              <w:rPr>
                <w:rFonts w:ascii="宋体" w:eastAsia="宋体" w:hAnsi="宋体" w:cs="宋体" w:hint="eastAsia"/>
                <w:sz w:val="18"/>
                <w:szCs w:val="18"/>
              </w:rPr>
              <w:t>%</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r>
              <w:rPr>
                <w:rFonts w:ascii="宋体" w:eastAsia="宋体" w:hAnsi="宋体" w:cs="宋体"/>
                <w:sz w:val="18"/>
                <w:szCs w:val="18"/>
              </w:rPr>
              <w:t>青岛优尼斯通国际贸易有限公司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jc w:val="right"/>
              <w:rPr>
                <w:rFonts w:ascii="宋体" w:eastAsia="宋体" w:hAnsi="宋体" w:cs="宋体"/>
                <w:sz w:val="18"/>
                <w:szCs w:val="18"/>
              </w:rPr>
            </w:pPr>
            <w:r>
              <w:rPr>
                <w:rFonts w:ascii="宋体" w:eastAsia="宋体" w:hAnsi="宋体" w:cs="宋体"/>
                <w:sz w:val="18"/>
                <w:szCs w:val="18"/>
              </w:rPr>
              <w:t>20</w:t>
            </w:r>
            <w:r w:rsidR="00570C59">
              <w:rPr>
                <w:rFonts w:ascii="宋体" w:eastAsia="宋体" w:hAnsi="宋体" w:cs="宋体" w:hint="eastAsia"/>
                <w:sz w:val="18"/>
                <w:szCs w:val="18"/>
              </w:rPr>
              <w:t>%</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r>
              <w:rPr>
                <w:rFonts w:ascii="宋体" w:eastAsia="宋体" w:hAnsi="宋体" w:cs="宋体"/>
                <w:sz w:val="18"/>
                <w:szCs w:val="18"/>
              </w:rPr>
              <w:t>青岛</w:t>
            </w:r>
            <w:proofErr w:type="gramStart"/>
            <w:r>
              <w:rPr>
                <w:rFonts w:ascii="宋体" w:eastAsia="宋体" w:hAnsi="宋体" w:cs="宋体"/>
                <w:sz w:val="18"/>
                <w:szCs w:val="18"/>
              </w:rPr>
              <w:t>智控零碳服务</w:t>
            </w:r>
            <w:proofErr w:type="gramEnd"/>
            <w:r>
              <w:rPr>
                <w:rFonts w:ascii="宋体" w:eastAsia="宋体" w:hAnsi="宋体" w:cs="宋体"/>
                <w:sz w:val="18"/>
                <w:szCs w:val="18"/>
              </w:rPr>
              <w:t>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jc w:val="right"/>
              <w:rPr>
                <w:rFonts w:ascii="宋体" w:eastAsia="宋体" w:hAnsi="宋体" w:cs="宋体"/>
                <w:sz w:val="18"/>
                <w:szCs w:val="18"/>
              </w:rPr>
            </w:pPr>
            <w:r>
              <w:rPr>
                <w:rFonts w:ascii="宋体" w:eastAsia="宋体" w:hAnsi="宋体" w:cs="宋体"/>
                <w:sz w:val="18"/>
                <w:szCs w:val="18"/>
              </w:rPr>
              <w:t>20</w:t>
            </w:r>
            <w:r w:rsidR="00570C59">
              <w:rPr>
                <w:rFonts w:ascii="宋体" w:eastAsia="宋体" w:hAnsi="宋体" w:cs="宋体" w:hint="eastAsia"/>
                <w:sz w:val="18"/>
                <w:szCs w:val="18"/>
              </w:rPr>
              <w:t>%</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r>
              <w:rPr>
                <w:rFonts w:ascii="宋体" w:eastAsia="宋体" w:hAnsi="宋体" w:cs="宋体"/>
                <w:sz w:val="18"/>
                <w:szCs w:val="18"/>
              </w:rPr>
              <w:t>青岛云纵智能科技有限公司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jc w:val="right"/>
              <w:rPr>
                <w:rFonts w:ascii="宋体" w:eastAsia="宋体" w:hAnsi="宋体" w:cs="宋体"/>
                <w:sz w:val="18"/>
                <w:szCs w:val="18"/>
              </w:rPr>
            </w:pPr>
            <w:r>
              <w:rPr>
                <w:rFonts w:ascii="宋体" w:eastAsia="宋体" w:hAnsi="宋体" w:cs="宋体"/>
                <w:sz w:val="18"/>
                <w:szCs w:val="18"/>
              </w:rPr>
              <w:t>20</w:t>
            </w:r>
            <w:r w:rsidR="00570C59">
              <w:rPr>
                <w:rFonts w:ascii="宋体" w:eastAsia="宋体" w:hAnsi="宋体" w:cs="宋体" w:hint="eastAsia"/>
                <w:sz w:val="18"/>
                <w:szCs w:val="18"/>
              </w:rPr>
              <w:t>%</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r>
              <w:rPr>
                <w:rFonts w:ascii="宋体" w:eastAsia="宋体" w:hAnsi="宋体" w:cs="宋体"/>
                <w:sz w:val="18"/>
                <w:szCs w:val="18"/>
              </w:rPr>
              <w:t>天津敬业园机械设备有限公司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jc w:val="right"/>
              <w:rPr>
                <w:rFonts w:ascii="宋体" w:eastAsia="宋体" w:hAnsi="宋体" w:cs="宋体"/>
                <w:sz w:val="18"/>
                <w:szCs w:val="18"/>
              </w:rPr>
            </w:pPr>
            <w:r>
              <w:rPr>
                <w:rFonts w:ascii="宋体" w:eastAsia="宋体" w:hAnsi="宋体" w:cs="宋体"/>
                <w:sz w:val="18"/>
                <w:szCs w:val="18"/>
              </w:rPr>
              <w:t>20</w:t>
            </w:r>
            <w:r w:rsidR="00570C59">
              <w:rPr>
                <w:rFonts w:ascii="宋体" w:eastAsia="宋体" w:hAnsi="宋体" w:cs="宋体" w:hint="eastAsia"/>
                <w:sz w:val="18"/>
                <w:szCs w:val="18"/>
              </w:rPr>
              <w:t>%</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r>
              <w:rPr>
                <w:rFonts w:ascii="宋体" w:eastAsia="宋体" w:hAnsi="宋体" w:cs="宋体"/>
                <w:sz w:val="18"/>
                <w:szCs w:val="18"/>
              </w:rPr>
              <w:t>北京敬业机电科技发展有限公司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jc w:val="right"/>
              <w:rPr>
                <w:rFonts w:ascii="宋体" w:eastAsia="宋体" w:hAnsi="宋体" w:cs="宋体"/>
                <w:sz w:val="18"/>
                <w:szCs w:val="18"/>
              </w:rPr>
            </w:pPr>
            <w:r>
              <w:rPr>
                <w:rFonts w:ascii="宋体" w:eastAsia="宋体" w:hAnsi="宋体" w:cs="宋体"/>
                <w:sz w:val="18"/>
                <w:szCs w:val="18"/>
              </w:rPr>
              <w:t>20</w:t>
            </w:r>
            <w:r w:rsidR="00570C59">
              <w:rPr>
                <w:rFonts w:ascii="宋体" w:eastAsia="宋体" w:hAnsi="宋体" w:cs="宋体" w:hint="eastAsia"/>
                <w:sz w:val="18"/>
                <w:szCs w:val="18"/>
              </w:rPr>
              <w:t>%</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proofErr w:type="gramStart"/>
            <w:r>
              <w:rPr>
                <w:rFonts w:ascii="宋体" w:eastAsia="宋体" w:hAnsi="宋体" w:cs="宋体"/>
                <w:sz w:val="18"/>
                <w:szCs w:val="18"/>
              </w:rPr>
              <w:t>深圳市众源达</w:t>
            </w:r>
            <w:proofErr w:type="gramEnd"/>
            <w:r>
              <w:rPr>
                <w:rFonts w:ascii="宋体" w:eastAsia="宋体" w:hAnsi="宋体" w:cs="宋体"/>
                <w:sz w:val="18"/>
                <w:szCs w:val="18"/>
              </w:rPr>
              <w:t>智能装备有限公司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jc w:val="right"/>
              <w:rPr>
                <w:rFonts w:ascii="宋体" w:eastAsia="宋体" w:hAnsi="宋体" w:cs="宋体"/>
                <w:sz w:val="18"/>
                <w:szCs w:val="18"/>
              </w:rPr>
            </w:pPr>
            <w:r>
              <w:rPr>
                <w:rFonts w:ascii="宋体" w:eastAsia="宋体" w:hAnsi="宋体" w:cs="宋体"/>
                <w:sz w:val="18"/>
                <w:szCs w:val="18"/>
              </w:rPr>
              <w:t>20</w:t>
            </w:r>
            <w:r w:rsidR="00570C59">
              <w:rPr>
                <w:rFonts w:ascii="宋体" w:eastAsia="宋体" w:hAnsi="宋体" w:cs="宋体" w:hint="eastAsia"/>
                <w:sz w:val="18"/>
                <w:szCs w:val="18"/>
              </w:rPr>
              <w:t>%</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r>
              <w:rPr>
                <w:rFonts w:ascii="宋体" w:eastAsia="宋体" w:hAnsi="宋体" w:cs="宋体"/>
                <w:sz w:val="18"/>
                <w:szCs w:val="18"/>
              </w:rPr>
              <w:t>青岛科捷自动化设备有限公司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jc w:val="right"/>
              <w:rPr>
                <w:rFonts w:ascii="宋体" w:eastAsia="宋体" w:hAnsi="宋体" w:cs="宋体"/>
                <w:sz w:val="18"/>
                <w:szCs w:val="18"/>
              </w:rPr>
            </w:pPr>
            <w:r>
              <w:rPr>
                <w:rFonts w:ascii="宋体" w:eastAsia="宋体" w:hAnsi="宋体" w:cs="宋体"/>
                <w:sz w:val="18"/>
                <w:szCs w:val="18"/>
              </w:rPr>
              <w:t>25</w:t>
            </w:r>
            <w:r w:rsidR="00570C59">
              <w:rPr>
                <w:rFonts w:ascii="宋体" w:eastAsia="宋体" w:hAnsi="宋体" w:cs="宋体" w:hint="eastAsia"/>
                <w:sz w:val="18"/>
                <w:szCs w:val="18"/>
              </w:rPr>
              <w:t>%</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r>
              <w:rPr>
                <w:rFonts w:ascii="宋体" w:eastAsia="宋体" w:hAnsi="宋体" w:cs="宋体"/>
                <w:sz w:val="18"/>
                <w:szCs w:val="18"/>
              </w:rPr>
              <w:t>软控（诸暨）智能装备有限公司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jc w:val="right"/>
              <w:rPr>
                <w:rFonts w:ascii="宋体" w:eastAsia="宋体" w:hAnsi="宋体" w:cs="宋体"/>
                <w:sz w:val="18"/>
                <w:szCs w:val="18"/>
              </w:rPr>
            </w:pPr>
            <w:r>
              <w:rPr>
                <w:rFonts w:ascii="宋体" w:eastAsia="宋体" w:hAnsi="宋体" w:cs="宋体"/>
                <w:sz w:val="18"/>
                <w:szCs w:val="18"/>
              </w:rPr>
              <w:t>25</w:t>
            </w:r>
            <w:r w:rsidR="00570C59">
              <w:rPr>
                <w:rFonts w:ascii="宋体" w:eastAsia="宋体" w:hAnsi="宋体" w:cs="宋体" w:hint="eastAsia"/>
                <w:sz w:val="18"/>
                <w:szCs w:val="18"/>
              </w:rPr>
              <w:t>%</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proofErr w:type="gramStart"/>
            <w:r>
              <w:rPr>
                <w:rFonts w:ascii="宋体" w:eastAsia="宋体" w:hAnsi="宋体" w:cs="宋体"/>
                <w:sz w:val="18"/>
                <w:szCs w:val="18"/>
              </w:rPr>
              <w:t>软控欧洲</w:t>
            </w:r>
            <w:proofErr w:type="gramEnd"/>
            <w:r>
              <w:rPr>
                <w:rFonts w:ascii="宋体" w:eastAsia="宋体" w:hAnsi="宋体" w:cs="宋体"/>
                <w:sz w:val="18"/>
                <w:szCs w:val="18"/>
              </w:rPr>
              <w:t>研发和技术中心有限责任公司</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jc w:val="right"/>
              <w:rPr>
                <w:rFonts w:ascii="宋体" w:eastAsia="宋体" w:hAnsi="宋体" w:cs="宋体"/>
                <w:sz w:val="18"/>
                <w:szCs w:val="18"/>
              </w:rPr>
            </w:pPr>
            <w:r>
              <w:rPr>
                <w:rFonts w:ascii="宋体" w:eastAsia="宋体" w:hAnsi="宋体" w:cs="宋体"/>
                <w:sz w:val="18"/>
                <w:szCs w:val="18"/>
              </w:rPr>
              <w:t>21</w:t>
            </w:r>
            <w:r w:rsidR="00570C59">
              <w:rPr>
                <w:rFonts w:ascii="宋体" w:eastAsia="宋体" w:hAnsi="宋体" w:cs="宋体" w:hint="eastAsia"/>
                <w:sz w:val="18"/>
                <w:szCs w:val="18"/>
              </w:rPr>
              <w:t>%</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r>
              <w:rPr>
                <w:rFonts w:ascii="宋体" w:eastAsia="宋体" w:hAnsi="宋体" w:cs="宋体"/>
                <w:sz w:val="18"/>
                <w:szCs w:val="18"/>
              </w:rPr>
              <w:t>软控（美洲）有限公司及其子公司</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jc w:val="right"/>
              <w:rPr>
                <w:rFonts w:ascii="宋体" w:eastAsia="宋体" w:hAnsi="宋体" w:cs="宋体"/>
                <w:sz w:val="18"/>
                <w:szCs w:val="18"/>
              </w:rPr>
            </w:pPr>
            <w:r>
              <w:rPr>
                <w:rFonts w:ascii="宋体" w:eastAsia="宋体" w:hAnsi="宋体" w:cs="宋体"/>
                <w:sz w:val="18"/>
                <w:szCs w:val="18"/>
              </w:rPr>
              <w:t>28</w:t>
            </w:r>
            <w:r w:rsidR="00570C59">
              <w:rPr>
                <w:rFonts w:ascii="宋体" w:eastAsia="宋体" w:hAnsi="宋体" w:cs="宋体" w:hint="eastAsia"/>
                <w:sz w:val="18"/>
                <w:szCs w:val="18"/>
              </w:rPr>
              <w:t>%</w:t>
            </w:r>
            <w:r>
              <w:rPr>
                <w:rFonts w:ascii="宋体" w:eastAsia="宋体" w:hAnsi="宋体" w:cs="宋体"/>
                <w:sz w:val="18"/>
                <w:szCs w:val="18"/>
              </w:rPr>
              <w:t>-34</w:t>
            </w:r>
            <w:r w:rsidR="00570C59">
              <w:rPr>
                <w:rFonts w:ascii="宋体" w:eastAsia="宋体" w:hAnsi="宋体" w:cs="宋体" w:hint="eastAsia"/>
                <w:sz w:val="18"/>
                <w:szCs w:val="18"/>
              </w:rPr>
              <w:t>%</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proofErr w:type="gramStart"/>
            <w:r>
              <w:rPr>
                <w:rFonts w:ascii="宋体" w:eastAsia="宋体" w:hAnsi="宋体" w:cs="宋体"/>
                <w:sz w:val="18"/>
                <w:szCs w:val="18"/>
              </w:rPr>
              <w:t>艾优信</w:t>
            </w:r>
            <w:proofErr w:type="gramEnd"/>
            <w:r>
              <w:rPr>
                <w:rFonts w:ascii="宋体" w:eastAsia="宋体" w:hAnsi="宋体" w:cs="宋体"/>
                <w:sz w:val="18"/>
                <w:szCs w:val="18"/>
              </w:rPr>
              <w:t>（山东）计量检测有限公司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jc w:val="right"/>
              <w:rPr>
                <w:rFonts w:ascii="宋体" w:eastAsia="宋体" w:hAnsi="宋体" w:cs="宋体"/>
                <w:sz w:val="18"/>
                <w:szCs w:val="18"/>
              </w:rPr>
            </w:pPr>
            <w:r>
              <w:rPr>
                <w:rFonts w:ascii="宋体" w:eastAsia="宋体" w:hAnsi="宋体" w:cs="宋体"/>
                <w:sz w:val="18"/>
                <w:szCs w:val="18"/>
              </w:rPr>
              <w:t>25</w:t>
            </w:r>
            <w:r w:rsidR="00570C59">
              <w:rPr>
                <w:rFonts w:ascii="宋体" w:eastAsia="宋体" w:hAnsi="宋体" w:cs="宋体" w:hint="eastAsia"/>
                <w:sz w:val="18"/>
                <w:szCs w:val="18"/>
              </w:rPr>
              <w:t>%</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r>
              <w:rPr>
                <w:rFonts w:ascii="宋体" w:eastAsia="宋体" w:hAnsi="宋体" w:cs="宋体"/>
                <w:sz w:val="18"/>
                <w:szCs w:val="18"/>
              </w:rPr>
              <w:t>青岛华控赛联新能源科技有限公司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jc w:val="right"/>
              <w:rPr>
                <w:rFonts w:ascii="宋体" w:eastAsia="宋体" w:hAnsi="宋体" w:cs="宋体"/>
                <w:sz w:val="18"/>
                <w:szCs w:val="18"/>
              </w:rPr>
            </w:pPr>
            <w:r>
              <w:rPr>
                <w:rFonts w:ascii="宋体" w:eastAsia="宋体" w:hAnsi="宋体" w:cs="宋体"/>
                <w:sz w:val="18"/>
                <w:szCs w:val="18"/>
              </w:rPr>
              <w:t>25</w:t>
            </w:r>
            <w:r w:rsidR="00570C59">
              <w:rPr>
                <w:rFonts w:ascii="宋体" w:eastAsia="宋体" w:hAnsi="宋体" w:cs="宋体" w:hint="eastAsia"/>
                <w:sz w:val="18"/>
                <w:szCs w:val="18"/>
              </w:rPr>
              <w:t>%</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r>
              <w:rPr>
                <w:rFonts w:ascii="宋体" w:eastAsia="宋体" w:hAnsi="宋体" w:cs="宋体"/>
                <w:sz w:val="18"/>
                <w:szCs w:val="18"/>
              </w:rPr>
              <w:t>盘锦伊科思新材料有限公司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jc w:val="right"/>
              <w:rPr>
                <w:rFonts w:ascii="宋体" w:eastAsia="宋体" w:hAnsi="宋体" w:cs="宋体"/>
                <w:sz w:val="18"/>
                <w:szCs w:val="18"/>
              </w:rPr>
            </w:pPr>
            <w:r>
              <w:rPr>
                <w:rFonts w:ascii="宋体" w:eastAsia="宋体" w:hAnsi="宋体" w:cs="宋体"/>
                <w:sz w:val="18"/>
                <w:szCs w:val="18"/>
              </w:rPr>
              <w:t>25</w:t>
            </w:r>
            <w:r w:rsidR="00570C59">
              <w:rPr>
                <w:rFonts w:ascii="宋体" w:eastAsia="宋体" w:hAnsi="宋体" w:cs="宋体" w:hint="eastAsia"/>
                <w:sz w:val="18"/>
                <w:szCs w:val="18"/>
              </w:rPr>
              <w:t>%</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r>
              <w:rPr>
                <w:rFonts w:ascii="宋体" w:eastAsia="宋体" w:hAnsi="宋体" w:cs="宋体"/>
                <w:sz w:val="18"/>
                <w:szCs w:val="18"/>
              </w:rPr>
              <w:t>浙江叁晟信息科技有限公司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jc w:val="right"/>
              <w:rPr>
                <w:rFonts w:ascii="宋体" w:eastAsia="宋体" w:hAnsi="宋体" w:cs="宋体"/>
                <w:sz w:val="18"/>
                <w:szCs w:val="18"/>
              </w:rPr>
            </w:pPr>
            <w:r>
              <w:rPr>
                <w:rFonts w:ascii="宋体" w:eastAsia="宋体" w:hAnsi="宋体" w:cs="宋体"/>
                <w:sz w:val="18"/>
                <w:szCs w:val="18"/>
              </w:rPr>
              <w:t>25</w:t>
            </w:r>
            <w:r w:rsidR="00570C59">
              <w:rPr>
                <w:rFonts w:ascii="宋体" w:eastAsia="宋体" w:hAnsi="宋体" w:cs="宋体" w:hint="eastAsia"/>
                <w:sz w:val="18"/>
                <w:szCs w:val="18"/>
              </w:rPr>
              <w:t>%</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A0365" w:rsidRDefault="00614C8D" w:rsidP="00B818D2">
            <w:pPr>
              <w:rPr>
                <w:rFonts w:ascii="宋体" w:eastAsia="宋体" w:hAnsi="宋体" w:cs="宋体"/>
                <w:sz w:val="18"/>
                <w:szCs w:val="18"/>
              </w:rPr>
            </w:pPr>
            <w:r w:rsidRPr="00614C8D">
              <w:rPr>
                <w:rFonts w:ascii="宋体" w:eastAsia="宋体" w:hAnsi="宋体" w:cs="宋体"/>
                <w:sz w:val="18"/>
                <w:szCs w:val="18"/>
              </w:rPr>
              <w:t>HKZQ ENERGY AND TECHNOLOGY CO., LTD.</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jc w:val="right"/>
              <w:rPr>
                <w:rFonts w:ascii="宋体" w:eastAsia="宋体" w:hAnsi="宋体" w:cs="宋体"/>
                <w:sz w:val="18"/>
                <w:szCs w:val="18"/>
              </w:rPr>
            </w:pPr>
            <w:r>
              <w:rPr>
                <w:rFonts w:ascii="宋体" w:eastAsia="宋体" w:hAnsi="宋体" w:cs="宋体"/>
                <w:sz w:val="18"/>
                <w:szCs w:val="18"/>
              </w:rPr>
              <w:t>20</w:t>
            </w:r>
            <w:r w:rsidR="00570C59">
              <w:rPr>
                <w:rFonts w:ascii="宋体" w:eastAsia="宋体" w:hAnsi="宋体" w:cs="宋体" w:hint="eastAsia"/>
                <w:sz w:val="18"/>
                <w:szCs w:val="18"/>
              </w:rPr>
              <w:t>%</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proofErr w:type="gramStart"/>
            <w:r>
              <w:rPr>
                <w:rFonts w:ascii="宋体" w:eastAsia="宋体" w:hAnsi="宋体" w:cs="宋体"/>
                <w:sz w:val="18"/>
                <w:szCs w:val="18"/>
              </w:rPr>
              <w:t>菏泽智控能源</w:t>
            </w:r>
            <w:proofErr w:type="gramEnd"/>
            <w:r>
              <w:rPr>
                <w:rFonts w:ascii="宋体" w:eastAsia="宋体" w:hAnsi="宋体" w:cs="宋体"/>
                <w:sz w:val="18"/>
                <w:szCs w:val="18"/>
              </w:rPr>
              <w:t>发展有限公司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jc w:val="right"/>
              <w:rPr>
                <w:rFonts w:ascii="宋体" w:eastAsia="宋体" w:hAnsi="宋体" w:cs="宋体"/>
                <w:sz w:val="18"/>
                <w:szCs w:val="18"/>
              </w:rPr>
            </w:pPr>
            <w:r>
              <w:rPr>
                <w:rFonts w:ascii="宋体" w:eastAsia="宋体" w:hAnsi="宋体" w:cs="宋体"/>
                <w:sz w:val="18"/>
                <w:szCs w:val="18"/>
              </w:rPr>
              <w:t>25</w:t>
            </w:r>
            <w:r w:rsidR="00570C59">
              <w:rPr>
                <w:rFonts w:ascii="宋体" w:eastAsia="宋体" w:hAnsi="宋体" w:cs="宋体" w:hint="eastAsia"/>
                <w:sz w:val="18"/>
                <w:szCs w:val="18"/>
              </w:rPr>
              <w:t>%</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rPr>
                <w:rFonts w:ascii="宋体" w:eastAsia="宋体" w:hAnsi="宋体" w:cs="宋体"/>
                <w:sz w:val="18"/>
                <w:szCs w:val="18"/>
              </w:rPr>
            </w:pPr>
            <w:proofErr w:type="gramStart"/>
            <w:r>
              <w:rPr>
                <w:rFonts w:ascii="宋体" w:eastAsia="宋体" w:hAnsi="宋体" w:cs="宋体"/>
                <w:sz w:val="18"/>
                <w:szCs w:val="18"/>
              </w:rPr>
              <w:t>德州智控新能源</w:t>
            </w:r>
            <w:proofErr w:type="gramEnd"/>
            <w:r>
              <w:rPr>
                <w:rFonts w:ascii="宋体" w:eastAsia="宋体" w:hAnsi="宋体" w:cs="宋体"/>
                <w:sz w:val="18"/>
                <w:szCs w:val="18"/>
              </w:rPr>
              <w:t>发展有限公司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rsidP="00B818D2">
            <w:pPr>
              <w:jc w:val="right"/>
              <w:rPr>
                <w:rFonts w:ascii="宋体" w:eastAsia="宋体" w:hAnsi="宋体" w:cs="宋体"/>
                <w:sz w:val="18"/>
                <w:szCs w:val="18"/>
              </w:rPr>
            </w:pPr>
            <w:r>
              <w:rPr>
                <w:rFonts w:ascii="宋体" w:eastAsia="宋体" w:hAnsi="宋体" w:cs="宋体"/>
                <w:sz w:val="18"/>
                <w:szCs w:val="18"/>
              </w:rPr>
              <w:t>25</w:t>
            </w:r>
            <w:r w:rsidR="00570C59">
              <w:rPr>
                <w:rFonts w:ascii="宋体" w:eastAsia="宋体" w:hAnsi="宋体" w:cs="宋体" w:hint="eastAsia"/>
                <w:sz w:val="18"/>
                <w:szCs w:val="18"/>
              </w:rPr>
              <w:t>%</w:t>
            </w:r>
          </w:p>
        </w:tc>
      </w:tr>
    </w:tbl>
    <w:p w:rsidR="00BA0365" w:rsidRDefault="008D4B2E" w:rsidP="00B818D2">
      <w:pPr>
        <w:pStyle w:val="3"/>
        <w:spacing w:line="240" w:lineRule="auto"/>
        <w:jc w:val="left"/>
        <w:rPr>
          <w:rFonts w:ascii="宋体" w:hAnsi="宋体" w:cs="宋体"/>
          <w:b/>
          <w:bCs/>
        </w:rPr>
      </w:pPr>
      <w:bookmarkStart w:id="226" w:name="_Toc989115"/>
      <w:r>
        <w:rPr>
          <w:rFonts w:ascii="宋体" w:hAnsi="宋体" w:cs="宋体"/>
          <w:b/>
          <w:bCs/>
        </w:rPr>
        <w:t>2、税收优惠</w:t>
      </w:r>
      <w:bookmarkEnd w:id="226"/>
    </w:p>
    <w:p w:rsidR="008D4B2E" w:rsidRDefault="008D4B2E" w:rsidP="00B818D2">
      <w:pPr>
        <w:pStyle w:val="a3"/>
        <w:spacing w:before="0" w:beforeAutospacing="0" w:after="0" w:afterAutospacing="0"/>
        <w:ind w:firstLine="402"/>
        <w:jc w:val="both"/>
        <w:divId w:val="87897787"/>
        <w:rPr>
          <w:rFonts w:ascii="Arial" w:hAnsi="Arial" w:cs="Arial"/>
          <w:sz w:val="20"/>
          <w:szCs w:val="20"/>
        </w:rPr>
      </w:pPr>
      <w:r>
        <w:rPr>
          <w:rStyle w:val="a4"/>
          <w:rFonts w:cs="Arial" w:hint="eastAsia"/>
          <w:sz w:val="20"/>
          <w:szCs w:val="20"/>
        </w:rPr>
        <w:t>（</w:t>
      </w:r>
      <w:r>
        <w:rPr>
          <w:rStyle w:val="a4"/>
          <w:rFonts w:ascii="Arial" w:hAnsi="Arial" w:cs="Arial"/>
          <w:sz w:val="20"/>
          <w:szCs w:val="20"/>
        </w:rPr>
        <w:t>1</w:t>
      </w:r>
      <w:r>
        <w:rPr>
          <w:rStyle w:val="a4"/>
          <w:rFonts w:cs="Arial" w:hint="eastAsia"/>
          <w:sz w:val="20"/>
          <w:szCs w:val="20"/>
        </w:rPr>
        <w:t>）增值税</w:t>
      </w:r>
    </w:p>
    <w:p w:rsidR="008D4B2E" w:rsidRPr="002B59B9" w:rsidRDefault="008D4B2E" w:rsidP="00B818D2">
      <w:pPr>
        <w:pStyle w:val="a3"/>
        <w:spacing w:before="0" w:beforeAutospacing="0" w:after="0" w:afterAutospacing="0"/>
        <w:ind w:firstLine="400"/>
        <w:jc w:val="both"/>
        <w:divId w:val="87897787"/>
        <w:rPr>
          <w:rFonts w:cs="Times New Roman"/>
          <w:sz w:val="18"/>
          <w:szCs w:val="18"/>
        </w:rPr>
      </w:pPr>
      <w:r w:rsidRPr="002B59B9">
        <w:rPr>
          <w:rFonts w:cs="Times New Roman" w:hint="eastAsia"/>
          <w:sz w:val="18"/>
          <w:szCs w:val="18"/>
        </w:rPr>
        <w:t>①出口货物实行</w:t>
      </w:r>
      <w:r w:rsidRPr="002B59B9">
        <w:rPr>
          <w:rFonts w:cs="Times New Roman"/>
          <w:sz w:val="18"/>
          <w:szCs w:val="18"/>
        </w:rPr>
        <w:t>“</w:t>
      </w:r>
      <w:r w:rsidRPr="002B59B9">
        <w:rPr>
          <w:rFonts w:cs="Times New Roman" w:hint="eastAsia"/>
          <w:sz w:val="18"/>
          <w:szCs w:val="18"/>
        </w:rPr>
        <w:t>免、抵、退</w:t>
      </w:r>
      <w:r w:rsidRPr="002B59B9">
        <w:rPr>
          <w:rFonts w:cs="Times New Roman"/>
          <w:sz w:val="18"/>
          <w:szCs w:val="18"/>
        </w:rPr>
        <w:t>”</w:t>
      </w:r>
      <w:r w:rsidRPr="002B59B9">
        <w:rPr>
          <w:rFonts w:cs="Times New Roman" w:hint="eastAsia"/>
          <w:sz w:val="18"/>
          <w:szCs w:val="18"/>
        </w:rPr>
        <w:t>税政策，退税率分别为</w:t>
      </w:r>
      <w:r w:rsidRPr="002B59B9">
        <w:rPr>
          <w:rFonts w:cs="Times New Roman"/>
          <w:sz w:val="18"/>
          <w:szCs w:val="18"/>
        </w:rPr>
        <w:t>5%</w:t>
      </w:r>
      <w:r w:rsidRPr="002B59B9">
        <w:rPr>
          <w:rFonts w:cs="Times New Roman" w:hint="eastAsia"/>
          <w:sz w:val="18"/>
          <w:szCs w:val="18"/>
        </w:rPr>
        <w:t>、</w:t>
      </w:r>
      <w:r w:rsidRPr="002B59B9">
        <w:rPr>
          <w:rFonts w:cs="Times New Roman"/>
          <w:sz w:val="18"/>
          <w:szCs w:val="18"/>
        </w:rPr>
        <w:t>9%</w:t>
      </w:r>
      <w:r w:rsidRPr="002B59B9">
        <w:rPr>
          <w:rFonts w:cs="Times New Roman" w:hint="eastAsia"/>
          <w:sz w:val="18"/>
          <w:szCs w:val="18"/>
        </w:rPr>
        <w:t>、</w:t>
      </w:r>
      <w:r w:rsidRPr="002B59B9">
        <w:rPr>
          <w:rFonts w:cs="Times New Roman"/>
          <w:sz w:val="18"/>
          <w:szCs w:val="18"/>
        </w:rPr>
        <w:t>13%</w:t>
      </w:r>
      <w:r w:rsidRPr="002B59B9">
        <w:rPr>
          <w:rFonts w:cs="Times New Roman" w:hint="eastAsia"/>
          <w:sz w:val="18"/>
          <w:szCs w:val="18"/>
        </w:rPr>
        <w:t>。</w:t>
      </w:r>
    </w:p>
    <w:p w:rsidR="008D4B2E" w:rsidRPr="002B59B9" w:rsidRDefault="008D4B2E" w:rsidP="00B818D2">
      <w:pPr>
        <w:pStyle w:val="a3"/>
        <w:spacing w:before="0" w:beforeAutospacing="0" w:after="0" w:afterAutospacing="0"/>
        <w:ind w:firstLine="400"/>
        <w:jc w:val="both"/>
        <w:divId w:val="87897787"/>
        <w:rPr>
          <w:rFonts w:cs="Times New Roman"/>
          <w:sz w:val="18"/>
          <w:szCs w:val="18"/>
        </w:rPr>
      </w:pPr>
      <w:r w:rsidRPr="002B59B9">
        <w:rPr>
          <w:rFonts w:cs="Times New Roman" w:hint="eastAsia"/>
          <w:sz w:val="18"/>
          <w:szCs w:val="18"/>
        </w:rPr>
        <w:t>②根据财政部、国家税务总局和海关总署财税</w:t>
      </w:r>
      <w:r w:rsidRPr="002B59B9">
        <w:rPr>
          <w:rFonts w:cs="Times New Roman"/>
          <w:sz w:val="18"/>
          <w:szCs w:val="18"/>
        </w:rPr>
        <w:t>[2000]25</w:t>
      </w:r>
      <w:r w:rsidRPr="002B59B9">
        <w:rPr>
          <w:rFonts w:cs="Times New Roman" w:hint="eastAsia"/>
          <w:sz w:val="18"/>
          <w:szCs w:val="18"/>
        </w:rPr>
        <w:t>号文，自</w:t>
      </w:r>
      <w:r w:rsidRPr="002B59B9">
        <w:rPr>
          <w:rFonts w:cs="Times New Roman"/>
          <w:sz w:val="18"/>
          <w:szCs w:val="18"/>
        </w:rPr>
        <w:t>2000</w:t>
      </w:r>
      <w:r w:rsidRPr="002B59B9">
        <w:rPr>
          <w:rFonts w:cs="Times New Roman" w:hint="eastAsia"/>
          <w:sz w:val="18"/>
          <w:szCs w:val="18"/>
        </w:rPr>
        <w:t>年</w:t>
      </w:r>
      <w:r w:rsidRPr="002B59B9">
        <w:rPr>
          <w:rFonts w:cs="Times New Roman"/>
          <w:sz w:val="18"/>
          <w:szCs w:val="18"/>
        </w:rPr>
        <w:t>6</w:t>
      </w:r>
      <w:r w:rsidRPr="002B59B9">
        <w:rPr>
          <w:rFonts w:cs="Times New Roman" w:hint="eastAsia"/>
          <w:sz w:val="18"/>
          <w:szCs w:val="18"/>
        </w:rPr>
        <w:t>月</w:t>
      </w:r>
      <w:r w:rsidRPr="002B59B9">
        <w:rPr>
          <w:rFonts w:cs="Times New Roman"/>
          <w:sz w:val="18"/>
          <w:szCs w:val="18"/>
        </w:rPr>
        <w:t>24</w:t>
      </w:r>
      <w:r w:rsidRPr="002B59B9">
        <w:rPr>
          <w:rFonts w:cs="Times New Roman" w:hint="eastAsia"/>
          <w:sz w:val="18"/>
          <w:szCs w:val="18"/>
        </w:rPr>
        <w:t>日起至</w:t>
      </w:r>
      <w:r w:rsidRPr="002B59B9">
        <w:rPr>
          <w:rFonts w:cs="Times New Roman"/>
          <w:sz w:val="18"/>
          <w:szCs w:val="18"/>
        </w:rPr>
        <w:t>2010</w:t>
      </w:r>
      <w:r w:rsidRPr="002B59B9">
        <w:rPr>
          <w:rFonts w:cs="Times New Roman" w:hint="eastAsia"/>
          <w:sz w:val="18"/>
          <w:szCs w:val="18"/>
        </w:rPr>
        <w:t>年底以前，公司按软件企业享受软件产品收入增值税超过</w:t>
      </w:r>
      <w:r w:rsidRPr="002B59B9">
        <w:rPr>
          <w:rFonts w:cs="Times New Roman"/>
          <w:sz w:val="18"/>
          <w:szCs w:val="18"/>
        </w:rPr>
        <w:t>3%</w:t>
      </w:r>
      <w:r w:rsidRPr="002B59B9">
        <w:rPr>
          <w:rFonts w:cs="Times New Roman" w:hint="eastAsia"/>
          <w:sz w:val="18"/>
          <w:szCs w:val="18"/>
        </w:rPr>
        <w:t>部分实行即征即退的优惠政策。</w:t>
      </w:r>
    </w:p>
    <w:p w:rsidR="008D4B2E" w:rsidRPr="002B59B9" w:rsidRDefault="008D4B2E" w:rsidP="00B818D2">
      <w:pPr>
        <w:pStyle w:val="a3"/>
        <w:spacing w:before="0" w:beforeAutospacing="0" w:after="0" w:afterAutospacing="0"/>
        <w:ind w:firstLine="400"/>
        <w:jc w:val="both"/>
        <w:divId w:val="87897787"/>
        <w:rPr>
          <w:rFonts w:cs="Times New Roman"/>
          <w:sz w:val="18"/>
          <w:szCs w:val="18"/>
        </w:rPr>
      </w:pPr>
      <w:r w:rsidRPr="002B59B9">
        <w:rPr>
          <w:rFonts w:cs="Times New Roman" w:hint="eastAsia"/>
          <w:sz w:val="18"/>
          <w:szCs w:val="18"/>
        </w:rPr>
        <w:t>根据国务院《国务院关于印发进一步鼓励软件产业和集成电路产业发展若干政策的通知》（国发</w:t>
      </w:r>
      <w:r w:rsidRPr="002B59B9">
        <w:rPr>
          <w:rFonts w:cs="Times New Roman"/>
          <w:sz w:val="18"/>
          <w:szCs w:val="18"/>
        </w:rPr>
        <w:t>2011</w:t>
      </w:r>
      <w:r w:rsidRPr="002B59B9">
        <w:rPr>
          <w:rFonts w:cs="Times New Roman" w:hint="eastAsia"/>
          <w:sz w:val="18"/>
          <w:szCs w:val="18"/>
        </w:rPr>
        <w:t>（</w:t>
      </w:r>
      <w:r w:rsidRPr="002B59B9">
        <w:rPr>
          <w:rFonts w:cs="Times New Roman"/>
          <w:sz w:val="18"/>
          <w:szCs w:val="18"/>
        </w:rPr>
        <w:t>4</w:t>
      </w:r>
      <w:r w:rsidRPr="002B59B9">
        <w:rPr>
          <w:rFonts w:cs="Times New Roman" w:hint="eastAsia"/>
          <w:sz w:val="18"/>
          <w:szCs w:val="18"/>
        </w:rPr>
        <w:t>）号）文件规定，继续实施软件增值税优惠政策。</w:t>
      </w:r>
    </w:p>
    <w:p w:rsidR="008D4B2E" w:rsidRDefault="008D4B2E" w:rsidP="00B818D2">
      <w:pPr>
        <w:pStyle w:val="a3"/>
        <w:spacing w:before="0" w:beforeAutospacing="0" w:after="0" w:afterAutospacing="0"/>
        <w:ind w:firstLine="402"/>
        <w:jc w:val="both"/>
        <w:divId w:val="87897787"/>
        <w:rPr>
          <w:rFonts w:ascii="Arial" w:hAnsi="Arial" w:cs="Arial"/>
          <w:sz w:val="20"/>
          <w:szCs w:val="20"/>
        </w:rPr>
      </w:pPr>
      <w:r>
        <w:rPr>
          <w:rStyle w:val="a4"/>
          <w:rFonts w:cs="Arial" w:hint="eastAsia"/>
          <w:sz w:val="20"/>
          <w:szCs w:val="20"/>
        </w:rPr>
        <w:t>（</w:t>
      </w:r>
      <w:r>
        <w:rPr>
          <w:rStyle w:val="a4"/>
          <w:rFonts w:ascii="Arial" w:hAnsi="Arial" w:cs="Arial"/>
          <w:sz w:val="20"/>
          <w:szCs w:val="20"/>
        </w:rPr>
        <w:t>2</w:t>
      </w:r>
      <w:r>
        <w:rPr>
          <w:rStyle w:val="a4"/>
          <w:rFonts w:cs="Arial" w:hint="eastAsia"/>
          <w:sz w:val="20"/>
          <w:szCs w:val="20"/>
        </w:rPr>
        <w:t>）所得税</w:t>
      </w:r>
    </w:p>
    <w:p w:rsidR="008D4B2E" w:rsidRPr="002B59B9" w:rsidRDefault="008D4B2E" w:rsidP="00B818D2">
      <w:pPr>
        <w:pStyle w:val="a3"/>
        <w:spacing w:before="0" w:beforeAutospacing="0" w:after="0" w:afterAutospacing="0"/>
        <w:ind w:firstLine="400"/>
        <w:jc w:val="both"/>
        <w:divId w:val="87897787"/>
        <w:rPr>
          <w:rFonts w:cs="Times New Roman"/>
          <w:sz w:val="18"/>
          <w:szCs w:val="18"/>
        </w:rPr>
      </w:pPr>
      <w:r w:rsidRPr="002B59B9">
        <w:rPr>
          <w:rFonts w:cs="Times New Roman" w:hint="eastAsia"/>
          <w:sz w:val="18"/>
          <w:szCs w:val="18"/>
        </w:rPr>
        <w:t>①软</w:t>
      </w:r>
      <w:proofErr w:type="gramStart"/>
      <w:r w:rsidRPr="002B59B9">
        <w:rPr>
          <w:rFonts w:cs="Times New Roman" w:hint="eastAsia"/>
          <w:sz w:val="18"/>
          <w:szCs w:val="18"/>
        </w:rPr>
        <w:t>控股份于</w:t>
      </w:r>
      <w:r w:rsidRPr="002B59B9">
        <w:rPr>
          <w:rFonts w:cs="Times New Roman"/>
          <w:sz w:val="18"/>
          <w:szCs w:val="18"/>
        </w:rPr>
        <w:t>2023</w:t>
      </w:r>
      <w:r w:rsidRPr="002B59B9">
        <w:rPr>
          <w:rFonts w:cs="Times New Roman" w:hint="eastAsia"/>
          <w:sz w:val="18"/>
          <w:szCs w:val="18"/>
        </w:rPr>
        <w:t>年</w:t>
      </w:r>
      <w:r w:rsidRPr="002B59B9">
        <w:rPr>
          <w:rFonts w:cs="Times New Roman"/>
          <w:sz w:val="18"/>
          <w:szCs w:val="18"/>
        </w:rPr>
        <w:t>11</w:t>
      </w:r>
      <w:r w:rsidRPr="002B59B9">
        <w:rPr>
          <w:rFonts w:cs="Times New Roman" w:hint="eastAsia"/>
          <w:sz w:val="18"/>
          <w:szCs w:val="18"/>
        </w:rPr>
        <w:t>月</w:t>
      </w:r>
      <w:r w:rsidRPr="002B59B9">
        <w:rPr>
          <w:rFonts w:cs="Times New Roman"/>
          <w:sz w:val="18"/>
          <w:szCs w:val="18"/>
        </w:rPr>
        <w:t>9</w:t>
      </w:r>
      <w:r w:rsidRPr="002B59B9">
        <w:rPr>
          <w:rFonts w:cs="Times New Roman" w:hint="eastAsia"/>
          <w:sz w:val="18"/>
          <w:szCs w:val="18"/>
        </w:rPr>
        <w:t>日</w:t>
      </w:r>
      <w:proofErr w:type="gramEnd"/>
      <w:r w:rsidRPr="002B59B9">
        <w:rPr>
          <w:rFonts w:cs="Times New Roman" w:hint="eastAsia"/>
          <w:sz w:val="18"/>
          <w:szCs w:val="18"/>
        </w:rPr>
        <w:t>取得青岛市科学技术局、青岛市财政局、国家税务总局青岛市税务局颁发的编号为</w:t>
      </w:r>
      <w:r w:rsidRPr="002B59B9">
        <w:rPr>
          <w:rFonts w:cs="Times New Roman"/>
          <w:sz w:val="18"/>
          <w:szCs w:val="18"/>
        </w:rPr>
        <w:t>GR202337100619</w:t>
      </w:r>
      <w:r w:rsidRPr="002B59B9">
        <w:rPr>
          <w:rFonts w:cs="Times New Roman" w:hint="eastAsia"/>
          <w:sz w:val="18"/>
          <w:szCs w:val="18"/>
        </w:rPr>
        <w:t>的《高新技术企业证书》，有效期为三年。根据《中华人民共和国企业所得税法》及高新技术企业税收优惠的相关规定，公司</w:t>
      </w:r>
      <w:r w:rsidRPr="002B59B9">
        <w:rPr>
          <w:rFonts w:cs="Times New Roman"/>
          <w:sz w:val="18"/>
          <w:szCs w:val="18"/>
        </w:rPr>
        <w:t>2023</w:t>
      </w:r>
      <w:r w:rsidRPr="002B59B9">
        <w:rPr>
          <w:rFonts w:cs="Times New Roman" w:hint="eastAsia"/>
          <w:sz w:val="18"/>
          <w:szCs w:val="18"/>
        </w:rPr>
        <w:t>年</w:t>
      </w:r>
      <w:r w:rsidRPr="002B59B9">
        <w:rPr>
          <w:rFonts w:cs="Times New Roman"/>
          <w:sz w:val="18"/>
          <w:szCs w:val="18"/>
        </w:rPr>
        <w:t>-2025</w:t>
      </w:r>
      <w:r w:rsidRPr="002B59B9">
        <w:rPr>
          <w:rFonts w:cs="Times New Roman" w:hint="eastAsia"/>
          <w:sz w:val="18"/>
          <w:szCs w:val="18"/>
        </w:rPr>
        <w:t>年按</w:t>
      </w:r>
      <w:r w:rsidRPr="002B59B9">
        <w:rPr>
          <w:rFonts w:cs="Times New Roman"/>
          <w:sz w:val="18"/>
          <w:szCs w:val="18"/>
        </w:rPr>
        <w:t>15%</w:t>
      </w:r>
      <w:r w:rsidRPr="002B59B9">
        <w:rPr>
          <w:rFonts w:cs="Times New Roman" w:hint="eastAsia"/>
          <w:sz w:val="18"/>
          <w:szCs w:val="18"/>
        </w:rPr>
        <w:t>的税率缴纳企业所得税。</w:t>
      </w:r>
    </w:p>
    <w:p w:rsidR="008D4B2E" w:rsidRPr="002B59B9" w:rsidRDefault="008D4B2E" w:rsidP="00B818D2">
      <w:pPr>
        <w:pStyle w:val="a3"/>
        <w:spacing w:before="0" w:beforeAutospacing="0" w:after="0" w:afterAutospacing="0"/>
        <w:ind w:firstLine="400"/>
        <w:jc w:val="both"/>
        <w:divId w:val="87897787"/>
        <w:rPr>
          <w:rFonts w:cs="Times New Roman"/>
          <w:sz w:val="18"/>
          <w:szCs w:val="18"/>
        </w:rPr>
      </w:pPr>
      <w:r w:rsidRPr="002B59B9">
        <w:rPr>
          <w:rFonts w:cs="Times New Roman" w:hint="eastAsia"/>
          <w:sz w:val="18"/>
          <w:szCs w:val="18"/>
        </w:rPr>
        <w:t>②子公司</w:t>
      </w:r>
      <w:proofErr w:type="gramStart"/>
      <w:r w:rsidRPr="002B59B9">
        <w:rPr>
          <w:rFonts w:cs="Times New Roman" w:hint="eastAsia"/>
          <w:sz w:val="18"/>
          <w:szCs w:val="18"/>
        </w:rPr>
        <w:t>青岛软控机电工程</w:t>
      </w:r>
      <w:proofErr w:type="gramEnd"/>
      <w:r w:rsidRPr="002B59B9">
        <w:rPr>
          <w:rFonts w:cs="Times New Roman" w:hint="eastAsia"/>
          <w:sz w:val="18"/>
          <w:szCs w:val="18"/>
        </w:rPr>
        <w:t>有限公司于</w:t>
      </w:r>
      <w:r w:rsidRPr="002B59B9">
        <w:rPr>
          <w:rFonts w:cs="Times New Roman"/>
          <w:sz w:val="18"/>
          <w:szCs w:val="18"/>
        </w:rPr>
        <w:t>2022</w:t>
      </w:r>
      <w:r w:rsidRPr="002B59B9">
        <w:rPr>
          <w:rFonts w:cs="Times New Roman" w:hint="eastAsia"/>
          <w:sz w:val="18"/>
          <w:szCs w:val="18"/>
        </w:rPr>
        <w:t>年</w:t>
      </w:r>
      <w:r w:rsidRPr="002B59B9">
        <w:rPr>
          <w:rFonts w:cs="Times New Roman"/>
          <w:sz w:val="18"/>
          <w:szCs w:val="18"/>
        </w:rPr>
        <w:t>12</w:t>
      </w:r>
      <w:r w:rsidRPr="002B59B9">
        <w:rPr>
          <w:rFonts w:cs="Times New Roman" w:hint="eastAsia"/>
          <w:sz w:val="18"/>
          <w:szCs w:val="18"/>
        </w:rPr>
        <w:t>月</w:t>
      </w:r>
      <w:r w:rsidRPr="002B59B9">
        <w:rPr>
          <w:rFonts w:cs="Times New Roman"/>
          <w:sz w:val="18"/>
          <w:szCs w:val="18"/>
        </w:rPr>
        <w:t>14</w:t>
      </w:r>
      <w:r w:rsidRPr="002B59B9">
        <w:rPr>
          <w:rFonts w:cs="Times New Roman" w:hint="eastAsia"/>
          <w:sz w:val="18"/>
          <w:szCs w:val="18"/>
        </w:rPr>
        <w:t>日取得青岛市科学技术局、青岛市财政局、国家税务总局青岛市税务局颁发的编号为</w:t>
      </w:r>
      <w:r w:rsidRPr="002B59B9">
        <w:rPr>
          <w:rFonts w:cs="Times New Roman"/>
          <w:sz w:val="18"/>
          <w:szCs w:val="18"/>
        </w:rPr>
        <w:t>GR202237100073</w:t>
      </w:r>
      <w:r w:rsidRPr="002B59B9">
        <w:rPr>
          <w:rFonts w:cs="Times New Roman" w:hint="eastAsia"/>
          <w:sz w:val="18"/>
          <w:szCs w:val="18"/>
        </w:rPr>
        <w:t>的</w:t>
      </w:r>
      <w:r w:rsidRPr="002B59B9">
        <w:rPr>
          <w:rFonts w:cs="Times New Roman"/>
          <w:sz w:val="18"/>
          <w:szCs w:val="18"/>
        </w:rPr>
        <w:t xml:space="preserve"> </w:t>
      </w:r>
      <w:r w:rsidRPr="002B59B9">
        <w:rPr>
          <w:rFonts w:cs="Times New Roman" w:hint="eastAsia"/>
          <w:sz w:val="18"/>
          <w:szCs w:val="18"/>
        </w:rPr>
        <w:t>《高新技术企业证书》，有效期为三年。根据《中华人民共和国企业所得税法》及高新技术企业税收优惠的相关规定，该公司</w:t>
      </w:r>
      <w:r w:rsidRPr="002B59B9">
        <w:rPr>
          <w:rFonts w:cs="Times New Roman"/>
          <w:sz w:val="18"/>
          <w:szCs w:val="18"/>
        </w:rPr>
        <w:t>2022</w:t>
      </w:r>
      <w:r w:rsidRPr="002B59B9">
        <w:rPr>
          <w:rFonts w:cs="Times New Roman" w:hint="eastAsia"/>
          <w:sz w:val="18"/>
          <w:szCs w:val="18"/>
        </w:rPr>
        <w:t>年</w:t>
      </w:r>
      <w:r w:rsidRPr="002B59B9">
        <w:rPr>
          <w:rFonts w:cs="Times New Roman"/>
          <w:sz w:val="18"/>
          <w:szCs w:val="18"/>
        </w:rPr>
        <w:t>-2024</w:t>
      </w:r>
      <w:r w:rsidRPr="002B59B9">
        <w:rPr>
          <w:rFonts w:cs="Times New Roman" w:hint="eastAsia"/>
          <w:sz w:val="18"/>
          <w:szCs w:val="18"/>
        </w:rPr>
        <w:t>年按</w:t>
      </w:r>
      <w:r w:rsidRPr="002B59B9">
        <w:rPr>
          <w:rFonts w:cs="Times New Roman"/>
          <w:sz w:val="18"/>
          <w:szCs w:val="18"/>
        </w:rPr>
        <w:t>15%</w:t>
      </w:r>
      <w:r w:rsidRPr="002B59B9">
        <w:rPr>
          <w:rFonts w:cs="Times New Roman" w:hint="eastAsia"/>
          <w:sz w:val="18"/>
          <w:szCs w:val="18"/>
        </w:rPr>
        <w:t>的税率缴纳企业所得税。</w:t>
      </w:r>
    </w:p>
    <w:p w:rsidR="008D4B2E" w:rsidRPr="002B59B9" w:rsidRDefault="008D4B2E" w:rsidP="00B818D2">
      <w:pPr>
        <w:pStyle w:val="a3"/>
        <w:spacing w:before="0" w:beforeAutospacing="0" w:after="0" w:afterAutospacing="0"/>
        <w:ind w:firstLine="400"/>
        <w:jc w:val="both"/>
        <w:divId w:val="87897787"/>
        <w:rPr>
          <w:rFonts w:cs="Times New Roman"/>
          <w:sz w:val="18"/>
          <w:szCs w:val="18"/>
        </w:rPr>
      </w:pPr>
      <w:r w:rsidRPr="002B59B9">
        <w:rPr>
          <w:rFonts w:cs="Times New Roman" w:hint="eastAsia"/>
          <w:sz w:val="18"/>
          <w:szCs w:val="18"/>
        </w:rPr>
        <w:t>③子公司青岛华控能源科技有限公司于</w:t>
      </w:r>
      <w:r w:rsidRPr="002B59B9">
        <w:rPr>
          <w:rFonts w:cs="Times New Roman"/>
          <w:sz w:val="18"/>
          <w:szCs w:val="18"/>
        </w:rPr>
        <w:t>2022</w:t>
      </w:r>
      <w:r w:rsidRPr="002B59B9">
        <w:rPr>
          <w:rFonts w:cs="Times New Roman" w:hint="eastAsia"/>
          <w:sz w:val="18"/>
          <w:szCs w:val="18"/>
        </w:rPr>
        <w:t>年</w:t>
      </w:r>
      <w:r w:rsidRPr="002B59B9">
        <w:rPr>
          <w:rFonts w:cs="Times New Roman"/>
          <w:sz w:val="18"/>
          <w:szCs w:val="18"/>
        </w:rPr>
        <w:t>12</w:t>
      </w:r>
      <w:r w:rsidRPr="002B59B9">
        <w:rPr>
          <w:rFonts w:cs="Times New Roman" w:hint="eastAsia"/>
          <w:sz w:val="18"/>
          <w:szCs w:val="18"/>
        </w:rPr>
        <w:t>月</w:t>
      </w:r>
      <w:r w:rsidRPr="002B59B9">
        <w:rPr>
          <w:rFonts w:cs="Times New Roman"/>
          <w:sz w:val="18"/>
          <w:szCs w:val="18"/>
        </w:rPr>
        <w:t>14</w:t>
      </w:r>
      <w:r w:rsidRPr="002B59B9">
        <w:rPr>
          <w:rFonts w:cs="Times New Roman" w:hint="eastAsia"/>
          <w:sz w:val="18"/>
          <w:szCs w:val="18"/>
        </w:rPr>
        <w:t>日取得青岛市科学技术局、青岛市财政局、国家税务总局青岛市税务局颁发的编号为</w:t>
      </w:r>
      <w:r w:rsidRPr="002B59B9">
        <w:rPr>
          <w:rFonts w:cs="Times New Roman"/>
          <w:sz w:val="18"/>
          <w:szCs w:val="18"/>
        </w:rPr>
        <w:t>GR202237100704</w:t>
      </w:r>
      <w:r w:rsidRPr="002B59B9">
        <w:rPr>
          <w:rFonts w:cs="Times New Roman" w:hint="eastAsia"/>
          <w:sz w:val="18"/>
          <w:szCs w:val="18"/>
        </w:rPr>
        <w:t>的</w:t>
      </w:r>
      <w:r w:rsidRPr="002B59B9">
        <w:rPr>
          <w:rFonts w:cs="Times New Roman"/>
          <w:sz w:val="18"/>
          <w:szCs w:val="18"/>
        </w:rPr>
        <w:t xml:space="preserve"> </w:t>
      </w:r>
      <w:r w:rsidRPr="002B59B9">
        <w:rPr>
          <w:rFonts w:cs="Times New Roman" w:hint="eastAsia"/>
          <w:sz w:val="18"/>
          <w:szCs w:val="18"/>
        </w:rPr>
        <w:t>《高新技术企业证书》，有效期为三年。根据《中华人民共和国企业所得税法》及高新技术企业税收优惠的相关规定，该公司</w:t>
      </w:r>
      <w:r w:rsidRPr="002B59B9">
        <w:rPr>
          <w:rFonts w:cs="Times New Roman"/>
          <w:sz w:val="18"/>
          <w:szCs w:val="18"/>
        </w:rPr>
        <w:t>2022</w:t>
      </w:r>
      <w:r w:rsidRPr="002B59B9">
        <w:rPr>
          <w:rFonts w:cs="Times New Roman" w:hint="eastAsia"/>
          <w:sz w:val="18"/>
          <w:szCs w:val="18"/>
        </w:rPr>
        <w:t>年</w:t>
      </w:r>
      <w:r w:rsidRPr="002B59B9">
        <w:rPr>
          <w:rFonts w:cs="Times New Roman"/>
          <w:sz w:val="18"/>
          <w:szCs w:val="18"/>
        </w:rPr>
        <w:t>-2024</w:t>
      </w:r>
      <w:r w:rsidRPr="002B59B9">
        <w:rPr>
          <w:rFonts w:cs="Times New Roman" w:hint="eastAsia"/>
          <w:sz w:val="18"/>
          <w:szCs w:val="18"/>
        </w:rPr>
        <w:t>按</w:t>
      </w:r>
      <w:r w:rsidRPr="002B59B9">
        <w:rPr>
          <w:rFonts w:cs="Times New Roman"/>
          <w:sz w:val="18"/>
          <w:szCs w:val="18"/>
        </w:rPr>
        <w:t>15%</w:t>
      </w:r>
      <w:r w:rsidRPr="002B59B9">
        <w:rPr>
          <w:rFonts w:cs="Times New Roman" w:hint="eastAsia"/>
          <w:sz w:val="18"/>
          <w:szCs w:val="18"/>
        </w:rPr>
        <w:t>的税率缴纳企业所得税。</w:t>
      </w:r>
    </w:p>
    <w:p w:rsidR="008D4B2E" w:rsidRPr="002B59B9" w:rsidRDefault="008D4B2E" w:rsidP="00B818D2">
      <w:pPr>
        <w:pStyle w:val="a3"/>
        <w:spacing w:before="0" w:beforeAutospacing="0" w:after="0" w:afterAutospacing="0"/>
        <w:ind w:firstLine="400"/>
        <w:jc w:val="both"/>
        <w:divId w:val="87897787"/>
        <w:rPr>
          <w:rFonts w:cs="Times New Roman"/>
          <w:sz w:val="18"/>
          <w:szCs w:val="18"/>
        </w:rPr>
      </w:pPr>
      <w:r w:rsidRPr="002B59B9">
        <w:rPr>
          <w:rFonts w:cs="Times New Roman" w:hint="eastAsia"/>
          <w:sz w:val="18"/>
          <w:szCs w:val="18"/>
        </w:rPr>
        <w:t>④子公司北京敬业机械设备有限公司于</w:t>
      </w:r>
      <w:r w:rsidRPr="002B59B9">
        <w:rPr>
          <w:rFonts w:cs="Times New Roman"/>
          <w:sz w:val="18"/>
          <w:szCs w:val="18"/>
        </w:rPr>
        <w:t>2023</w:t>
      </w:r>
      <w:r w:rsidRPr="002B59B9">
        <w:rPr>
          <w:rFonts w:cs="Times New Roman" w:hint="eastAsia"/>
          <w:sz w:val="18"/>
          <w:szCs w:val="18"/>
        </w:rPr>
        <w:t>年</w:t>
      </w:r>
      <w:r w:rsidRPr="002B59B9">
        <w:rPr>
          <w:rFonts w:cs="Times New Roman"/>
          <w:sz w:val="18"/>
          <w:szCs w:val="18"/>
        </w:rPr>
        <w:t>11</w:t>
      </w:r>
      <w:r w:rsidRPr="002B59B9">
        <w:rPr>
          <w:rFonts w:cs="Times New Roman" w:hint="eastAsia"/>
          <w:sz w:val="18"/>
          <w:szCs w:val="18"/>
        </w:rPr>
        <w:t>月</w:t>
      </w:r>
      <w:r w:rsidRPr="002B59B9">
        <w:rPr>
          <w:rFonts w:cs="Times New Roman"/>
          <w:sz w:val="18"/>
          <w:szCs w:val="18"/>
        </w:rPr>
        <w:t>30</w:t>
      </w:r>
      <w:r w:rsidRPr="002B59B9">
        <w:rPr>
          <w:rFonts w:cs="Times New Roman" w:hint="eastAsia"/>
          <w:sz w:val="18"/>
          <w:szCs w:val="18"/>
        </w:rPr>
        <w:t>日取得北京市科学技术委员会、北京市财政局、国家税务总局北京市税务局颁发的编号为</w:t>
      </w:r>
      <w:r w:rsidRPr="002B59B9">
        <w:rPr>
          <w:rFonts w:cs="Times New Roman"/>
          <w:sz w:val="18"/>
          <w:szCs w:val="18"/>
        </w:rPr>
        <w:t>GR202311005319</w:t>
      </w:r>
      <w:r w:rsidRPr="002B59B9">
        <w:rPr>
          <w:rFonts w:cs="Times New Roman" w:hint="eastAsia"/>
          <w:sz w:val="18"/>
          <w:szCs w:val="18"/>
        </w:rPr>
        <w:t>的</w:t>
      </w:r>
      <w:r w:rsidRPr="002B59B9">
        <w:rPr>
          <w:rFonts w:cs="Times New Roman"/>
          <w:sz w:val="18"/>
          <w:szCs w:val="18"/>
        </w:rPr>
        <w:t xml:space="preserve"> </w:t>
      </w:r>
      <w:r w:rsidRPr="002B59B9">
        <w:rPr>
          <w:rFonts w:cs="Times New Roman" w:hint="eastAsia"/>
          <w:sz w:val="18"/>
          <w:szCs w:val="18"/>
        </w:rPr>
        <w:t>《高新技术企业证书》，有效期为三年。根据《中华人民共和国企业所得税法》及高新技术企业税收优惠的相关规定，该公司</w:t>
      </w:r>
      <w:r w:rsidRPr="002B59B9">
        <w:rPr>
          <w:rFonts w:cs="Times New Roman"/>
          <w:sz w:val="18"/>
          <w:szCs w:val="18"/>
        </w:rPr>
        <w:t>2023</w:t>
      </w:r>
      <w:r w:rsidRPr="002B59B9">
        <w:rPr>
          <w:rFonts w:cs="Times New Roman" w:hint="eastAsia"/>
          <w:sz w:val="18"/>
          <w:szCs w:val="18"/>
        </w:rPr>
        <w:t>年</w:t>
      </w:r>
      <w:r w:rsidRPr="002B59B9">
        <w:rPr>
          <w:rFonts w:cs="Times New Roman"/>
          <w:sz w:val="18"/>
          <w:szCs w:val="18"/>
        </w:rPr>
        <w:t>-2025</w:t>
      </w:r>
      <w:r w:rsidRPr="002B59B9">
        <w:rPr>
          <w:rFonts w:cs="Times New Roman" w:hint="eastAsia"/>
          <w:sz w:val="18"/>
          <w:szCs w:val="18"/>
        </w:rPr>
        <w:t>年按</w:t>
      </w:r>
      <w:r w:rsidRPr="002B59B9">
        <w:rPr>
          <w:rFonts w:cs="Times New Roman"/>
          <w:sz w:val="18"/>
          <w:szCs w:val="18"/>
        </w:rPr>
        <w:t>15%</w:t>
      </w:r>
      <w:r w:rsidRPr="002B59B9">
        <w:rPr>
          <w:rFonts w:cs="Times New Roman" w:hint="eastAsia"/>
          <w:sz w:val="18"/>
          <w:szCs w:val="18"/>
        </w:rPr>
        <w:t>的税率缴纳企业所得税。</w:t>
      </w:r>
    </w:p>
    <w:p w:rsidR="008D4B2E" w:rsidRPr="002B59B9" w:rsidRDefault="008D4B2E" w:rsidP="00B818D2">
      <w:pPr>
        <w:pStyle w:val="a3"/>
        <w:spacing w:before="0" w:beforeAutospacing="0" w:after="0" w:afterAutospacing="0"/>
        <w:ind w:firstLine="400"/>
        <w:jc w:val="both"/>
        <w:divId w:val="87897787"/>
        <w:rPr>
          <w:rFonts w:cs="Times New Roman"/>
          <w:sz w:val="18"/>
          <w:szCs w:val="18"/>
        </w:rPr>
      </w:pPr>
      <w:r w:rsidRPr="002B59B9">
        <w:rPr>
          <w:rFonts w:cs="Times New Roman" w:hint="eastAsia"/>
          <w:sz w:val="18"/>
          <w:szCs w:val="18"/>
        </w:rPr>
        <w:lastRenderedPageBreak/>
        <w:t>⑤子公司抚顺伊科思新材料有限公司于</w:t>
      </w:r>
      <w:r w:rsidRPr="002B59B9">
        <w:rPr>
          <w:rFonts w:cs="Times New Roman"/>
          <w:sz w:val="18"/>
          <w:szCs w:val="18"/>
        </w:rPr>
        <w:t>2022</w:t>
      </w:r>
      <w:r w:rsidRPr="002B59B9">
        <w:rPr>
          <w:rFonts w:cs="Times New Roman" w:hint="eastAsia"/>
          <w:sz w:val="18"/>
          <w:szCs w:val="18"/>
        </w:rPr>
        <w:t>年</w:t>
      </w:r>
      <w:r w:rsidRPr="002B59B9">
        <w:rPr>
          <w:rFonts w:cs="Times New Roman"/>
          <w:sz w:val="18"/>
          <w:szCs w:val="18"/>
        </w:rPr>
        <w:t>11</w:t>
      </w:r>
      <w:r w:rsidRPr="002B59B9">
        <w:rPr>
          <w:rFonts w:cs="Times New Roman" w:hint="eastAsia"/>
          <w:sz w:val="18"/>
          <w:szCs w:val="18"/>
        </w:rPr>
        <w:t>月</w:t>
      </w:r>
      <w:r w:rsidRPr="002B59B9">
        <w:rPr>
          <w:rFonts w:cs="Times New Roman"/>
          <w:sz w:val="18"/>
          <w:szCs w:val="18"/>
        </w:rPr>
        <w:t>4</w:t>
      </w:r>
      <w:r w:rsidRPr="002B59B9">
        <w:rPr>
          <w:rFonts w:cs="Times New Roman" w:hint="eastAsia"/>
          <w:sz w:val="18"/>
          <w:szCs w:val="18"/>
        </w:rPr>
        <w:t>日通过了高新技术企业认定复审，取得辽宁省科学技术厅、辽宁省财政厅、国家税务局辽宁省税务局联合颁发的编号为</w:t>
      </w:r>
      <w:r w:rsidRPr="002B59B9">
        <w:rPr>
          <w:rFonts w:cs="Times New Roman"/>
          <w:sz w:val="18"/>
          <w:szCs w:val="18"/>
        </w:rPr>
        <w:t>GR202221000170</w:t>
      </w:r>
      <w:r w:rsidRPr="002B59B9">
        <w:rPr>
          <w:rFonts w:cs="Times New Roman" w:hint="eastAsia"/>
          <w:sz w:val="18"/>
          <w:szCs w:val="18"/>
        </w:rPr>
        <w:t>的《高新技术企业证书》，有效期为</w:t>
      </w:r>
      <w:r w:rsidRPr="002B59B9">
        <w:rPr>
          <w:rFonts w:cs="Times New Roman"/>
          <w:sz w:val="18"/>
          <w:szCs w:val="18"/>
        </w:rPr>
        <w:t>3</w:t>
      </w:r>
      <w:r w:rsidRPr="002B59B9">
        <w:rPr>
          <w:rFonts w:cs="Times New Roman" w:hint="eastAsia"/>
          <w:sz w:val="18"/>
          <w:szCs w:val="18"/>
        </w:rPr>
        <w:t>年。根据《中华人民共和国企业所得税法》及高新技术企业税收优惠的相关规定，该公司</w:t>
      </w:r>
      <w:r w:rsidRPr="002B59B9">
        <w:rPr>
          <w:rFonts w:cs="Times New Roman"/>
          <w:sz w:val="18"/>
          <w:szCs w:val="18"/>
        </w:rPr>
        <w:t>2022</w:t>
      </w:r>
      <w:r w:rsidRPr="002B59B9">
        <w:rPr>
          <w:rFonts w:cs="Times New Roman" w:hint="eastAsia"/>
          <w:sz w:val="18"/>
          <w:szCs w:val="18"/>
        </w:rPr>
        <w:t>年</w:t>
      </w:r>
      <w:r w:rsidRPr="002B59B9">
        <w:rPr>
          <w:rFonts w:cs="Times New Roman"/>
          <w:sz w:val="18"/>
          <w:szCs w:val="18"/>
        </w:rPr>
        <w:t>-2024</w:t>
      </w:r>
      <w:r w:rsidRPr="002B59B9">
        <w:rPr>
          <w:rFonts w:cs="Times New Roman" w:hint="eastAsia"/>
          <w:sz w:val="18"/>
          <w:szCs w:val="18"/>
        </w:rPr>
        <w:t>年按</w:t>
      </w:r>
      <w:r w:rsidRPr="002B59B9">
        <w:rPr>
          <w:rFonts w:cs="Times New Roman"/>
          <w:sz w:val="18"/>
          <w:szCs w:val="18"/>
        </w:rPr>
        <w:t>15%</w:t>
      </w:r>
      <w:r w:rsidRPr="002B59B9">
        <w:rPr>
          <w:rFonts w:cs="Times New Roman" w:hint="eastAsia"/>
          <w:sz w:val="18"/>
          <w:szCs w:val="18"/>
        </w:rPr>
        <w:t>的税率缴纳企业所得税。</w:t>
      </w:r>
    </w:p>
    <w:p w:rsidR="008D4B2E" w:rsidRPr="002B59B9" w:rsidRDefault="008D4B2E" w:rsidP="00B818D2">
      <w:pPr>
        <w:pStyle w:val="a3"/>
        <w:spacing w:before="0" w:beforeAutospacing="0" w:after="0" w:afterAutospacing="0"/>
        <w:ind w:firstLine="400"/>
        <w:jc w:val="both"/>
        <w:divId w:val="87897787"/>
        <w:rPr>
          <w:rFonts w:cs="Times New Roman"/>
          <w:sz w:val="18"/>
          <w:szCs w:val="18"/>
        </w:rPr>
      </w:pPr>
      <w:r w:rsidRPr="002B59B9">
        <w:rPr>
          <w:rFonts w:cs="Times New Roman" w:hint="eastAsia"/>
          <w:sz w:val="18"/>
          <w:szCs w:val="18"/>
        </w:rPr>
        <w:t>⑥子公司</w:t>
      </w:r>
      <w:proofErr w:type="gramStart"/>
      <w:r w:rsidRPr="002B59B9">
        <w:rPr>
          <w:rFonts w:cs="Times New Roman" w:hint="eastAsia"/>
          <w:sz w:val="18"/>
          <w:szCs w:val="18"/>
        </w:rPr>
        <w:t>软控联合</w:t>
      </w:r>
      <w:proofErr w:type="gramEnd"/>
      <w:r w:rsidRPr="002B59B9">
        <w:rPr>
          <w:rFonts w:cs="Times New Roman" w:hint="eastAsia"/>
          <w:sz w:val="18"/>
          <w:szCs w:val="18"/>
        </w:rPr>
        <w:t>科技有限公司于</w:t>
      </w:r>
      <w:r w:rsidRPr="002B59B9">
        <w:rPr>
          <w:rFonts w:cs="Times New Roman"/>
          <w:sz w:val="18"/>
          <w:szCs w:val="18"/>
        </w:rPr>
        <w:t>2023</w:t>
      </w:r>
      <w:r w:rsidRPr="002B59B9">
        <w:rPr>
          <w:rFonts w:cs="Times New Roman" w:hint="eastAsia"/>
          <w:sz w:val="18"/>
          <w:szCs w:val="18"/>
        </w:rPr>
        <w:t>年</w:t>
      </w:r>
      <w:r w:rsidRPr="002B59B9">
        <w:rPr>
          <w:rFonts w:cs="Times New Roman"/>
          <w:sz w:val="18"/>
          <w:szCs w:val="18"/>
        </w:rPr>
        <w:t>11</w:t>
      </w:r>
      <w:r w:rsidRPr="002B59B9">
        <w:rPr>
          <w:rFonts w:cs="Times New Roman" w:hint="eastAsia"/>
          <w:sz w:val="18"/>
          <w:szCs w:val="18"/>
        </w:rPr>
        <w:t>月</w:t>
      </w:r>
      <w:r w:rsidRPr="002B59B9">
        <w:rPr>
          <w:rFonts w:cs="Times New Roman"/>
          <w:sz w:val="18"/>
          <w:szCs w:val="18"/>
        </w:rPr>
        <w:t>29</w:t>
      </w:r>
      <w:r w:rsidRPr="002B59B9">
        <w:rPr>
          <w:rFonts w:cs="Times New Roman" w:hint="eastAsia"/>
          <w:sz w:val="18"/>
          <w:szCs w:val="18"/>
        </w:rPr>
        <w:t>日通过了高新技术企业认定，取得山东省科学技术厅、山东省财政厅、国家税务总局山东省税务局联合颁发的编号为</w:t>
      </w:r>
      <w:r w:rsidRPr="002B59B9">
        <w:rPr>
          <w:rFonts w:cs="Times New Roman"/>
          <w:sz w:val="18"/>
          <w:szCs w:val="18"/>
        </w:rPr>
        <w:t>GR202337003593</w:t>
      </w:r>
      <w:r w:rsidRPr="002B59B9">
        <w:rPr>
          <w:rFonts w:cs="Times New Roman" w:hint="eastAsia"/>
          <w:sz w:val="18"/>
          <w:szCs w:val="18"/>
        </w:rPr>
        <w:t>的《高新技术企业证书》，有效期为</w:t>
      </w:r>
      <w:r w:rsidRPr="002B59B9">
        <w:rPr>
          <w:rFonts w:cs="Times New Roman"/>
          <w:sz w:val="18"/>
          <w:szCs w:val="18"/>
        </w:rPr>
        <w:t>3</w:t>
      </w:r>
      <w:r w:rsidRPr="002B59B9">
        <w:rPr>
          <w:rFonts w:cs="Times New Roman" w:hint="eastAsia"/>
          <w:sz w:val="18"/>
          <w:szCs w:val="18"/>
        </w:rPr>
        <w:t>年。根据《中华人民共和国企业所得税法》及高新技术企业税收优惠的相关规定，该公司</w:t>
      </w:r>
      <w:r w:rsidRPr="002B59B9">
        <w:rPr>
          <w:rFonts w:cs="Times New Roman"/>
          <w:sz w:val="18"/>
          <w:szCs w:val="18"/>
        </w:rPr>
        <w:t>2023</w:t>
      </w:r>
      <w:r w:rsidRPr="002B59B9">
        <w:rPr>
          <w:rFonts w:cs="Times New Roman" w:hint="eastAsia"/>
          <w:sz w:val="18"/>
          <w:szCs w:val="18"/>
        </w:rPr>
        <w:t>年</w:t>
      </w:r>
      <w:r w:rsidRPr="002B59B9">
        <w:rPr>
          <w:rFonts w:cs="Times New Roman"/>
          <w:sz w:val="18"/>
          <w:szCs w:val="18"/>
        </w:rPr>
        <w:t>-2025</w:t>
      </w:r>
      <w:r w:rsidRPr="002B59B9">
        <w:rPr>
          <w:rFonts w:cs="Times New Roman" w:hint="eastAsia"/>
          <w:sz w:val="18"/>
          <w:szCs w:val="18"/>
        </w:rPr>
        <w:t>年按</w:t>
      </w:r>
      <w:r w:rsidRPr="002B59B9">
        <w:rPr>
          <w:rFonts w:cs="Times New Roman"/>
          <w:sz w:val="18"/>
          <w:szCs w:val="18"/>
        </w:rPr>
        <w:t>15%</w:t>
      </w:r>
      <w:r w:rsidRPr="002B59B9">
        <w:rPr>
          <w:rFonts w:cs="Times New Roman" w:hint="eastAsia"/>
          <w:sz w:val="18"/>
          <w:szCs w:val="18"/>
        </w:rPr>
        <w:t>的税率缴纳企业所得税。</w:t>
      </w:r>
    </w:p>
    <w:p w:rsidR="008D4B2E" w:rsidRPr="002B59B9" w:rsidRDefault="008D4B2E" w:rsidP="00B818D2">
      <w:pPr>
        <w:pStyle w:val="a3"/>
        <w:spacing w:before="0" w:beforeAutospacing="0" w:after="0" w:afterAutospacing="0"/>
        <w:ind w:firstLine="400"/>
        <w:jc w:val="both"/>
        <w:divId w:val="87897787"/>
        <w:rPr>
          <w:rFonts w:cs="Times New Roman"/>
          <w:sz w:val="18"/>
          <w:szCs w:val="18"/>
        </w:rPr>
      </w:pPr>
      <w:r w:rsidRPr="002B59B9">
        <w:rPr>
          <w:rFonts w:cs="Times New Roman" w:hint="eastAsia"/>
          <w:sz w:val="18"/>
          <w:szCs w:val="18"/>
        </w:rPr>
        <w:t>⑦子公司青岛海威物联科技有限公司于</w:t>
      </w:r>
      <w:r w:rsidRPr="002B59B9">
        <w:rPr>
          <w:rFonts w:cs="Times New Roman"/>
          <w:sz w:val="18"/>
          <w:szCs w:val="18"/>
        </w:rPr>
        <w:t>2021</w:t>
      </w:r>
      <w:r w:rsidRPr="002B59B9">
        <w:rPr>
          <w:rFonts w:cs="Times New Roman" w:hint="eastAsia"/>
          <w:sz w:val="18"/>
          <w:szCs w:val="18"/>
        </w:rPr>
        <w:t>年</w:t>
      </w:r>
      <w:r w:rsidRPr="002B59B9">
        <w:rPr>
          <w:rFonts w:cs="Times New Roman"/>
          <w:sz w:val="18"/>
          <w:szCs w:val="18"/>
        </w:rPr>
        <w:t>11</w:t>
      </w:r>
      <w:r w:rsidRPr="002B59B9">
        <w:rPr>
          <w:rFonts w:cs="Times New Roman" w:hint="eastAsia"/>
          <w:sz w:val="18"/>
          <w:szCs w:val="18"/>
        </w:rPr>
        <w:t>月</w:t>
      </w:r>
      <w:r w:rsidRPr="002B59B9">
        <w:rPr>
          <w:rFonts w:cs="Times New Roman"/>
          <w:sz w:val="18"/>
          <w:szCs w:val="18"/>
        </w:rPr>
        <w:t>4</w:t>
      </w:r>
      <w:r w:rsidRPr="002B59B9">
        <w:rPr>
          <w:rFonts w:cs="Times New Roman" w:hint="eastAsia"/>
          <w:sz w:val="18"/>
          <w:szCs w:val="18"/>
        </w:rPr>
        <w:t>日取得青岛市科学技术局、青岛市财政局、国家税务总局青岛市税务局颁发的编号为</w:t>
      </w:r>
      <w:r w:rsidRPr="002B59B9">
        <w:rPr>
          <w:rFonts w:cs="Times New Roman"/>
          <w:sz w:val="18"/>
          <w:szCs w:val="18"/>
        </w:rPr>
        <w:t>GR</w:t>
      </w:r>
      <w:bookmarkStart w:id="227" w:name="_Hlk107919231"/>
      <w:bookmarkEnd w:id="227"/>
      <w:r w:rsidRPr="002B59B9">
        <w:rPr>
          <w:rFonts w:cs="Times New Roman"/>
          <w:sz w:val="18"/>
          <w:szCs w:val="18"/>
        </w:rPr>
        <w:t>202137100929</w:t>
      </w:r>
      <w:r w:rsidRPr="002B59B9">
        <w:rPr>
          <w:rFonts w:cs="Times New Roman" w:hint="eastAsia"/>
          <w:sz w:val="18"/>
          <w:szCs w:val="18"/>
        </w:rPr>
        <w:t>的《高新技术企业证书》，有效期为三年。根据《中华人民共和国企业所得税法》及高新技术企业税收优惠的相关规定，公司</w:t>
      </w:r>
      <w:r w:rsidRPr="002B59B9">
        <w:rPr>
          <w:rFonts w:cs="Times New Roman"/>
          <w:sz w:val="18"/>
          <w:szCs w:val="18"/>
        </w:rPr>
        <w:t>2021</w:t>
      </w:r>
      <w:r w:rsidRPr="002B59B9">
        <w:rPr>
          <w:rFonts w:cs="Times New Roman" w:hint="eastAsia"/>
          <w:sz w:val="18"/>
          <w:szCs w:val="18"/>
        </w:rPr>
        <w:t>年</w:t>
      </w:r>
      <w:r w:rsidRPr="002B59B9">
        <w:rPr>
          <w:rFonts w:cs="Times New Roman"/>
          <w:sz w:val="18"/>
          <w:szCs w:val="18"/>
        </w:rPr>
        <w:t>-2023</w:t>
      </w:r>
      <w:r w:rsidRPr="002B59B9">
        <w:rPr>
          <w:rFonts w:cs="Times New Roman" w:hint="eastAsia"/>
          <w:sz w:val="18"/>
          <w:szCs w:val="18"/>
        </w:rPr>
        <w:t>年按</w:t>
      </w:r>
      <w:r w:rsidRPr="002B59B9">
        <w:rPr>
          <w:rFonts w:cs="Times New Roman"/>
          <w:sz w:val="18"/>
          <w:szCs w:val="18"/>
        </w:rPr>
        <w:t>15%</w:t>
      </w:r>
      <w:r w:rsidRPr="002B59B9">
        <w:rPr>
          <w:rFonts w:cs="Times New Roman" w:hint="eastAsia"/>
          <w:sz w:val="18"/>
          <w:szCs w:val="18"/>
        </w:rPr>
        <w:t>的税率缴纳企业所得税。</w:t>
      </w:r>
    </w:p>
    <w:p w:rsidR="008D4B2E" w:rsidRPr="002B59B9" w:rsidRDefault="008D4B2E" w:rsidP="00B818D2">
      <w:pPr>
        <w:pStyle w:val="a3"/>
        <w:spacing w:before="0" w:beforeAutospacing="0" w:after="0" w:afterAutospacing="0"/>
        <w:ind w:firstLine="400"/>
        <w:jc w:val="both"/>
        <w:divId w:val="87897787"/>
        <w:rPr>
          <w:rFonts w:cs="Times New Roman"/>
          <w:sz w:val="18"/>
          <w:szCs w:val="18"/>
        </w:rPr>
      </w:pPr>
      <w:r w:rsidRPr="002B59B9">
        <w:rPr>
          <w:rFonts w:cs="Times New Roman" w:hint="eastAsia"/>
          <w:sz w:val="18"/>
          <w:szCs w:val="18"/>
        </w:rPr>
        <w:t>⑧子公司青岛软控海科科技有限公司于</w:t>
      </w:r>
      <w:r w:rsidRPr="002B59B9">
        <w:rPr>
          <w:rFonts w:cs="Times New Roman"/>
          <w:sz w:val="18"/>
          <w:szCs w:val="18"/>
        </w:rPr>
        <w:t>2022</w:t>
      </w:r>
      <w:r w:rsidRPr="002B59B9">
        <w:rPr>
          <w:rFonts w:cs="Times New Roman" w:hint="eastAsia"/>
          <w:sz w:val="18"/>
          <w:szCs w:val="18"/>
        </w:rPr>
        <w:t>年</w:t>
      </w:r>
      <w:r w:rsidRPr="002B59B9">
        <w:rPr>
          <w:rFonts w:cs="Times New Roman"/>
          <w:sz w:val="18"/>
          <w:szCs w:val="18"/>
        </w:rPr>
        <w:t>12</w:t>
      </w:r>
      <w:r w:rsidRPr="002B59B9">
        <w:rPr>
          <w:rFonts w:cs="Times New Roman" w:hint="eastAsia"/>
          <w:sz w:val="18"/>
          <w:szCs w:val="18"/>
        </w:rPr>
        <w:t>月</w:t>
      </w:r>
      <w:r w:rsidRPr="002B59B9">
        <w:rPr>
          <w:rFonts w:cs="Times New Roman"/>
          <w:sz w:val="18"/>
          <w:szCs w:val="18"/>
        </w:rPr>
        <w:t>14</w:t>
      </w:r>
      <w:r w:rsidRPr="002B59B9">
        <w:rPr>
          <w:rFonts w:cs="Times New Roman" w:hint="eastAsia"/>
          <w:sz w:val="18"/>
          <w:szCs w:val="18"/>
        </w:rPr>
        <w:t>日取得青岛市科学技术局、青岛市财政局、国家税务总局青岛市税务局颁发的编号为</w:t>
      </w:r>
      <w:r w:rsidRPr="002B59B9">
        <w:rPr>
          <w:rFonts w:cs="Times New Roman"/>
          <w:sz w:val="18"/>
          <w:szCs w:val="18"/>
        </w:rPr>
        <w:t>GR202237101503</w:t>
      </w:r>
      <w:r w:rsidRPr="002B59B9">
        <w:rPr>
          <w:rFonts w:cs="Times New Roman" w:hint="eastAsia"/>
          <w:sz w:val="18"/>
          <w:szCs w:val="18"/>
        </w:rPr>
        <w:t>的《高新技术企业证书》，有效期为三年。根据《中华人民共和国企业所得税法》及高新技术企业税收优惠的相关规定，公司</w:t>
      </w:r>
      <w:r w:rsidRPr="002B59B9">
        <w:rPr>
          <w:rFonts w:cs="Times New Roman"/>
          <w:sz w:val="18"/>
          <w:szCs w:val="18"/>
        </w:rPr>
        <w:t>2022</w:t>
      </w:r>
      <w:r w:rsidRPr="002B59B9">
        <w:rPr>
          <w:rFonts w:cs="Times New Roman" w:hint="eastAsia"/>
          <w:sz w:val="18"/>
          <w:szCs w:val="18"/>
        </w:rPr>
        <w:t>年</w:t>
      </w:r>
      <w:r w:rsidRPr="002B59B9">
        <w:rPr>
          <w:rFonts w:cs="Times New Roman"/>
          <w:sz w:val="18"/>
          <w:szCs w:val="18"/>
        </w:rPr>
        <w:t>-2024</w:t>
      </w:r>
      <w:r w:rsidRPr="002B59B9">
        <w:rPr>
          <w:rFonts w:cs="Times New Roman" w:hint="eastAsia"/>
          <w:sz w:val="18"/>
          <w:szCs w:val="18"/>
        </w:rPr>
        <w:t>年按</w:t>
      </w:r>
      <w:r w:rsidRPr="002B59B9">
        <w:rPr>
          <w:rFonts w:cs="Times New Roman"/>
          <w:sz w:val="18"/>
          <w:szCs w:val="18"/>
        </w:rPr>
        <w:t>15%</w:t>
      </w:r>
      <w:r w:rsidRPr="002B59B9">
        <w:rPr>
          <w:rFonts w:cs="Times New Roman" w:hint="eastAsia"/>
          <w:sz w:val="18"/>
          <w:szCs w:val="18"/>
        </w:rPr>
        <w:t>的税率缴纳企业所得税。</w:t>
      </w:r>
    </w:p>
    <w:p w:rsidR="008D4B2E" w:rsidRPr="002B59B9" w:rsidRDefault="008D4B2E" w:rsidP="00B818D2">
      <w:pPr>
        <w:pStyle w:val="a3"/>
        <w:spacing w:before="0" w:beforeAutospacing="0" w:after="0" w:afterAutospacing="0"/>
        <w:ind w:firstLine="400"/>
        <w:jc w:val="both"/>
        <w:divId w:val="87897787"/>
        <w:rPr>
          <w:rFonts w:cs="Times New Roman"/>
          <w:sz w:val="18"/>
          <w:szCs w:val="18"/>
        </w:rPr>
      </w:pPr>
      <w:r w:rsidRPr="002B59B9">
        <w:rPr>
          <w:rFonts w:cs="Times New Roman" w:hint="eastAsia"/>
          <w:sz w:val="18"/>
          <w:szCs w:val="18"/>
        </w:rPr>
        <w:t>⑨子公司浙江软控智能科技股份有限公司于</w:t>
      </w:r>
      <w:r w:rsidRPr="002B59B9">
        <w:rPr>
          <w:rFonts w:cs="Times New Roman"/>
          <w:sz w:val="18"/>
          <w:szCs w:val="18"/>
        </w:rPr>
        <w:t>2023</w:t>
      </w:r>
      <w:r w:rsidRPr="002B59B9">
        <w:rPr>
          <w:rFonts w:cs="Times New Roman" w:hint="eastAsia"/>
          <w:sz w:val="18"/>
          <w:szCs w:val="18"/>
        </w:rPr>
        <w:t>年</w:t>
      </w:r>
      <w:r w:rsidRPr="002B59B9">
        <w:rPr>
          <w:rFonts w:cs="Times New Roman"/>
          <w:sz w:val="18"/>
          <w:szCs w:val="18"/>
        </w:rPr>
        <w:t>12</w:t>
      </w:r>
      <w:r w:rsidRPr="002B59B9">
        <w:rPr>
          <w:rFonts w:cs="Times New Roman" w:hint="eastAsia"/>
          <w:sz w:val="18"/>
          <w:szCs w:val="18"/>
        </w:rPr>
        <w:t>月</w:t>
      </w:r>
      <w:r w:rsidRPr="002B59B9">
        <w:rPr>
          <w:rFonts w:cs="Times New Roman"/>
          <w:sz w:val="18"/>
          <w:szCs w:val="18"/>
        </w:rPr>
        <w:t>8</w:t>
      </w:r>
      <w:r w:rsidRPr="002B59B9">
        <w:rPr>
          <w:rFonts w:cs="Times New Roman" w:hint="eastAsia"/>
          <w:sz w:val="18"/>
          <w:szCs w:val="18"/>
        </w:rPr>
        <w:t>日取得浙江省科学技术厅</w:t>
      </w:r>
      <w:r w:rsidRPr="002B59B9">
        <w:rPr>
          <w:rFonts w:cs="Times New Roman"/>
          <w:sz w:val="18"/>
          <w:szCs w:val="18"/>
        </w:rPr>
        <w:t xml:space="preserve"> </w:t>
      </w:r>
      <w:r w:rsidRPr="002B59B9">
        <w:rPr>
          <w:rFonts w:cs="Times New Roman" w:hint="eastAsia"/>
          <w:sz w:val="18"/>
          <w:szCs w:val="18"/>
        </w:rPr>
        <w:t>、浙江省财政厅、国家税务总局浙江省税务局颁发的编号为</w:t>
      </w:r>
      <w:r w:rsidRPr="002B59B9">
        <w:rPr>
          <w:rFonts w:cs="Times New Roman"/>
          <w:sz w:val="18"/>
          <w:szCs w:val="18"/>
        </w:rPr>
        <w:t>GR202333001292</w:t>
      </w:r>
      <w:r w:rsidRPr="002B59B9">
        <w:rPr>
          <w:rFonts w:cs="Times New Roman" w:hint="eastAsia"/>
          <w:sz w:val="18"/>
          <w:szCs w:val="18"/>
        </w:rPr>
        <w:t>的《高新技术企业证书》，有效期为三年。根据《中华人民共和国企业所得税法》及高新技术企业税收优惠的相关规定，公司</w:t>
      </w:r>
      <w:r w:rsidRPr="002B59B9">
        <w:rPr>
          <w:rFonts w:cs="Times New Roman"/>
          <w:sz w:val="18"/>
          <w:szCs w:val="18"/>
        </w:rPr>
        <w:t>2023</w:t>
      </w:r>
      <w:r w:rsidRPr="002B59B9">
        <w:rPr>
          <w:rFonts w:cs="Times New Roman" w:hint="eastAsia"/>
          <w:sz w:val="18"/>
          <w:szCs w:val="18"/>
        </w:rPr>
        <w:t>年</w:t>
      </w:r>
      <w:r w:rsidRPr="002B59B9">
        <w:rPr>
          <w:rFonts w:cs="Times New Roman"/>
          <w:sz w:val="18"/>
          <w:szCs w:val="18"/>
        </w:rPr>
        <w:t>-2025</w:t>
      </w:r>
      <w:r w:rsidRPr="002B59B9">
        <w:rPr>
          <w:rFonts w:cs="Times New Roman" w:hint="eastAsia"/>
          <w:sz w:val="18"/>
          <w:szCs w:val="18"/>
        </w:rPr>
        <w:t>年按</w:t>
      </w:r>
      <w:r w:rsidRPr="002B59B9">
        <w:rPr>
          <w:rFonts w:cs="Times New Roman"/>
          <w:sz w:val="18"/>
          <w:szCs w:val="18"/>
        </w:rPr>
        <w:t>15%</w:t>
      </w:r>
      <w:r w:rsidRPr="002B59B9">
        <w:rPr>
          <w:rFonts w:cs="Times New Roman" w:hint="eastAsia"/>
          <w:sz w:val="18"/>
          <w:szCs w:val="18"/>
        </w:rPr>
        <w:t>的税率缴纳企业所得税。</w:t>
      </w:r>
    </w:p>
    <w:p w:rsidR="008D4B2E" w:rsidRDefault="008D4B2E" w:rsidP="00B818D2">
      <w:pPr>
        <w:pStyle w:val="a3"/>
        <w:spacing w:before="0" w:beforeAutospacing="0" w:after="0" w:afterAutospacing="0"/>
        <w:ind w:firstLine="400"/>
        <w:jc w:val="both"/>
        <w:divId w:val="87897787"/>
        <w:rPr>
          <w:rFonts w:cs="Times New Roman"/>
          <w:sz w:val="18"/>
          <w:szCs w:val="18"/>
        </w:rPr>
      </w:pPr>
      <w:r w:rsidRPr="002B59B9">
        <w:rPr>
          <w:rFonts w:cs="Times New Roman" w:hint="eastAsia"/>
          <w:sz w:val="18"/>
          <w:szCs w:val="18"/>
        </w:rPr>
        <w:t>⑩子公司益</w:t>
      </w:r>
      <w:proofErr w:type="gramStart"/>
      <w:r w:rsidRPr="002B59B9">
        <w:rPr>
          <w:rFonts w:cs="Times New Roman" w:hint="eastAsia"/>
          <w:sz w:val="18"/>
          <w:szCs w:val="18"/>
        </w:rPr>
        <w:t>凯</w:t>
      </w:r>
      <w:proofErr w:type="gramEnd"/>
      <w:r w:rsidRPr="002B59B9">
        <w:rPr>
          <w:rFonts w:cs="Times New Roman" w:hint="eastAsia"/>
          <w:sz w:val="18"/>
          <w:szCs w:val="18"/>
        </w:rPr>
        <w:t>新材料有限公司于</w:t>
      </w:r>
      <w:r w:rsidRPr="002B59B9">
        <w:rPr>
          <w:rFonts w:cs="Times New Roman"/>
          <w:sz w:val="18"/>
          <w:szCs w:val="18"/>
        </w:rPr>
        <w:t>2023</w:t>
      </w:r>
      <w:r w:rsidRPr="002B59B9">
        <w:rPr>
          <w:rFonts w:cs="Times New Roman" w:hint="eastAsia"/>
          <w:sz w:val="18"/>
          <w:szCs w:val="18"/>
        </w:rPr>
        <w:t>年</w:t>
      </w:r>
      <w:r w:rsidRPr="002B59B9">
        <w:rPr>
          <w:rFonts w:cs="Times New Roman"/>
          <w:sz w:val="18"/>
          <w:szCs w:val="18"/>
        </w:rPr>
        <w:t>11</w:t>
      </w:r>
      <w:r w:rsidRPr="002B59B9">
        <w:rPr>
          <w:rFonts w:cs="Times New Roman" w:hint="eastAsia"/>
          <w:sz w:val="18"/>
          <w:szCs w:val="18"/>
        </w:rPr>
        <w:t>月</w:t>
      </w:r>
      <w:r w:rsidRPr="002B59B9">
        <w:rPr>
          <w:rFonts w:cs="Times New Roman"/>
          <w:sz w:val="18"/>
          <w:szCs w:val="18"/>
        </w:rPr>
        <w:t>29</w:t>
      </w:r>
      <w:r w:rsidRPr="002B59B9">
        <w:rPr>
          <w:rFonts w:cs="Times New Roman" w:hint="eastAsia"/>
          <w:sz w:val="18"/>
          <w:szCs w:val="18"/>
        </w:rPr>
        <w:t>日取得青岛市科学技术局、青岛市财政局、国家税务总局青岛市税务局颁发的编号为</w:t>
      </w:r>
      <w:r w:rsidRPr="002B59B9">
        <w:rPr>
          <w:rFonts w:cs="Times New Roman"/>
          <w:sz w:val="18"/>
          <w:szCs w:val="18"/>
        </w:rPr>
        <w:t>GR202337101826</w:t>
      </w:r>
      <w:r w:rsidRPr="002B59B9">
        <w:rPr>
          <w:rFonts w:cs="Times New Roman" w:hint="eastAsia"/>
          <w:sz w:val="18"/>
          <w:szCs w:val="18"/>
        </w:rPr>
        <w:t>的《高新技术企业证书》，有效期为三年。根据《中华人民共和国企业所得税法》及高新技术企业税收优惠的相关规定，公司</w:t>
      </w:r>
      <w:r w:rsidRPr="002B59B9">
        <w:rPr>
          <w:rFonts w:cs="Times New Roman"/>
          <w:sz w:val="18"/>
          <w:szCs w:val="18"/>
        </w:rPr>
        <w:t>2023</w:t>
      </w:r>
      <w:r w:rsidRPr="002B59B9">
        <w:rPr>
          <w:rFonts w:cs="Times New Roman" w:hint="eastAsia"/>
          <w:sz w:val="18"/>
          <w:szCs w:val="18"/>
        </w:rPr>
        <w:t>年</w:t>
      </w:r>
      <w:r w:rsidRPr="002B59B9">
        <w:rPr>
          <w:rFonts w:cs="Times New Roman"/>
          <w:sz w:val="18"/>
          <w:szCs w:val="18"/>
        </w:rPr>
        <w:t>-2025</w:t>
      </w:r>
      <w:r w:rsidRPr="002B59B9">
        <w:rPr>
          <w:rFonts w:cs="Times New Roman" w:hint="eastAsia"/>
          <w:sz w:val="18"/>
          <w:szCs w:val="18"/>
        </w:rPr>
        <w:t>年按</w:t>
      </w:r>
      <w:r w:rsidRPr="002B59B9">
        <w:rPr>
          <w:rFonts w:cs="Times New Roman"/>
          <w:sz w:val="18"/>
          <w:szCs w:val="18"/>
        </w:rPr>
        <w:t>15%</w:t>
      </w:r>
      <w:r w:rsidRPr="002B59B9">
        <w:rPr>
          <w:rFonts w:cs="Times New Roman" w:hint="eastAsia"/>
          <w:sz w:val="18"/>
          <w:szCs w:val="18"/>
        </w:rPr>
        <w:t>的税率缴纳企业所得税。</w:t>
      </w:r>
    </w:p>
    <w:p w:rsidR="00825C41" w:rsidRPr="002B59B9" w:rsidRDefault="00825C41" w:rsidP="00B818D2">
      <w:pPr>
        <w:pStyle w:val="a3"/>
        <w:spacing w:before="0" w:beforeAutospacing="0" w:after="0" w:afterAutospacing="0"/>
        <w:ind w:firstLine="400"/>
        <w:jc w:val="both"/>
        <w:divId w:val="87897787"/>
        <w:rPr>
          <w:rFonts w:cs="Times New Roman"/>
          <w:sz w:val="18"/>
          <w:szCs w:val="18"/>
        </w:rPr>
      </w:pPr>
      <w:r w:rsidRPr="00825C41">
        <w:rPr>
          <w:rFonts w:ascii="Cambria Math" w:hAnsi="Cambria Math" w:cs="Cambria Math"/>
          <w:sz w:val="18"/>
          <w:szCs w:val="18"/>
        </w:rPr>
        <w:t>⑪</w:t>
      </w:r>
      <w:r w:rsidRPr="00825C41">
        <w:rPr>
          <w:rFonts w:cs="Times New Roman" w:hint="eastAsia"/>
          <w:sz w:val="18"/>
          <w:szCs w:val="18"/>
        </w:rPr>
        <w:t>根据财政部、税务总局《关于进一步支持小微企业和个体工商户发展有关税费政策的公告》2023年第12号中规定，本集团符合小</w:t>
      </w:r>
      <w:proofErr w:type="gramStart"/>
      <w:r w:rsidRPr="00825C41">
        <w:rPr>
          <w:rFonts w:cs="Times New Roman" w:hint="eastAsia"/>
          <w:sz w:val="18"/>
          <w:szCs w:val="18"/>
        </w:rPr>
        <w:t>微企业</w:t>
      </w:r>
      <w:proofErr w:type="gramEnd"/>
      <w:r w:rsidRPr="00825C41">
        <w:rPr>
          <w:rFonts w:cs="Times New Roman" w:hint="eastAsia"/>
          <w:sz w:val="18"/>
          <w:szCs w:val="18"/>
        </w:rPr>
        <w:t>标准的下属子公司年应纳税</w:t>
      </w:r>
      <w:proofErr w:type="gramStart"/>
      <w:r w:rsidRPr="00825C41">
        <w:rPr>
          <w:rFonts w:cs="Times New Roman" w:hint="eastAsia"/>
          <w:sz w:val="18"/>
          <w:szCs w:val="18"/>
        </w:rPr>
        <w:t>所得额减按</w:t>
      </w:r>
      <w:proofErr w:type="gramEnd"/>
      <w:r w:rsidRPr="00825C41">
        <w:rPr>
          <w:rFonts w:cs="Times New Roman" w:hint="eastAsia"/>
          <w:sz w:val="18"/>
          <w:szCs w:val="18"/>
        </w:rPr>
        <w:t>25%计入应纳税所得额，按20%的税率缴纳企业所得税。 </w:t>
      </w:r>
    </w:p>
    <w:p w:rsidR="00BA0365" w:rsidRDefault="008D4B2E">
      <w:pPr>
        <w:pStyle w:val="2"/>
        <w:spacing w:before="300" w:after="300" w:line="320" w:lineRule="exact"/>
        <w:rPr>
          <w:rFonts w:ascii="宋体" w:eastAsia="宋体" w:hAnsi="宋体" w:cs="宋体"/>
          <w:b/>
          <w:bCs/>
          <w:sz w:val="24"/>
          <w:szCs w:val="24"/>
        </w:rPr>
      </w:pPr>
      <w:bookmarkStart w:id="228" w:name="_Toc989116"/>
      <w:r>
        <w:rPr>
          <w:rFonts w:ascii="宋体" w:eastAsia="宋体" w:hAnsi="宋体" w:cs="宋体"/>
          <w:b/>
          <w:bCs/>
          <w:sz w:val="24"/>
          <w:szCs w:val="24"/>
        </w:rPr>
        <w:t>七、合并财务报表项目注释</w:t>
      </w:r>
      <w:bookmarkEnd w:id="228"/>
    </w:p>
    <w:p w:rsidR="00BA0365" w:rsidRDefault="008D4B2E">
      <w:pPr>
        <w:pStyle w:val="3"/>
        <w:spacing w:line="280" w:lineRule="exact"/>
        <w:jc w:val="left"/>
        <w:rPr>
          <w:rFonts w:ascii="宋体" w:hAnsi="宋体" w:cs="宋体"/>
          <w:b/>
          <w:bCs/>
        </w:rPr>
      </w:pPr>
      <w:bookmarkStart w:id="229" w:name="_Toc989117"/>
      <w:r>
        <w:rPr>
          <w:rFonts w:ascii="宋体" w:hAnsi="宋体" w:cs="宋体"/>
          <w:b/>
          <w:bCs/>
        </w:rPr>
        <w:t>1、货币资金</w:t>
      </w:r>
      <w:bookmarkEnd w:id="229"/>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3213"/>
        <w:gridCol w:w="3213"/>
        <w:gridCol w:w="3213"/>
      </w:tblGrid>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库存现金</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751,635.30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619,742.42</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银行存款</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1,653,016,136.48</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1,710,845,570.73</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其他货币资金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1,301,880,100.77</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1,037,684,094.06</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存放财务公司款项</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2,955,647,872.55</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2,749,149,407.21</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其中：存放在境外的款项总额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19,525,515.92</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14,312,177.50</w:t>
            </w:r>
          </w:p>
        </w:tc>
      </w:tr>
    </w:tbl>
    <w:p w:rsidR="008D4B2E" w:rsidRDefault="008D4B2E">
      <w:pPr>
        <w:pStyle w:val="a3"/>
        <w:spacing w:before="0" w:beforeAutospacing="0" w:after="0" w:afterAutospacing="0" w:line="400" w:lineRule="atLeast"/>
        <w:ind w:firstLine="400"/>
        <w:jc w:val="both"/>
        <w:divId w:val="894049040"/>
        <w:rPr>
          <w:rFonts w:ascii="Arial" w:hAnsi="Arial" w:cs="Arial"/>
          <w:sz w:val="18"/>
          <w:szCs w:val="18"/>
        </w:rPr>
      </w:pPr>
      <w:r>
        <w:rPr>
          <w:rFonts w:cs="Arial" w:hint="eastAsia"/>
          <w:sz w:val="18"/>
          <w:szCs w:val="18"/>
        </w:rPr>
        <w:t>其他说明：其中因抵押、质押或冻结等对使用有限制，以及放在境外且资金汇回受到限制的货币资金明细如下：</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254"/>
        <w:gridCol w:w="3117"/>
        <w:gridCol w:w="3250"/>
      </w:tblGrid>
      <w:tr w:rsidR="008D4B2E" w:rsidTr="00212B93">
        <w:trPr>
          <w:divId w:val="894049040"/>
          <w:trHeight w:val="356"/>
          <w:tblHeader/>
        </w:trPr>
        <w:tc>
          <w:tcPr>
            <w:tcW w:w="1691" w:type="pct"/>
            <w:shd w:val="clear" w:color="auto" w:fill="D3D3D3"/>
            <w:noWrap/>
            <w:tcMar>
              <w:top w:w="0" w:type="dxa"/>
              <w:left w:w="108" w:type="dxa"/>
              <w:bottom w:w="0" w:type="dxa"/>
              <w:right w:w="108" w:type="dxa"/>
            </w:tcMar>
            <w:vAlign w:val="center"/>
            <w:hideMark/>
          </w:tcPr>
          <w:p w:rsidR="008D4B2E" w:rsidRPr="00FC6EB6" w:rsidRDefault="008D4B2E" w:rsidP="00FC6EB6">
            <w:pPr>
              <w:spacing w:before="40" w:after="40" w:line="240" w:lineRule="exact"/>
              <w:jc w:val="center"/>
              <w:rPr>
                <w:rFonts w:ascii="宋体" w:eastAsia="宋体" w:hAnsi="宋体" w:cs="宋体"/>
                <w:sz w:val="18"/>
                <w:szCs w:val="18"/>
              </w:rPr>
            </w:pPr>
            <w:r w:rsidRPr="00FC6EB6">
              <w:rPr>
                <w:rFonts w:ascii="宋体" w:eastAsia="宋体" w:hAnsi="宋体" w:cs="宋体" w:hint="eastAsia"/>
                <w:sz w:val="18"/>
                <w:szCs w:val="18"/>
              </w:rPr>
              <w:t>项目</w:t>
            </w:r>
          </w:p>
        </w:tc>
        <w:tc>
          <w:tcPr>
            <w:tcW w:w="1620" w:type="pct"/>
            <w:shd w:val="clear" w:color="auto" w:fill="D3D3D3"/>
            <w:noWrap/>
            <w:tcMar>
              <w:top w:w="0" w:type="dxa"/>
              <w:left w:w="108" w:type="dxa"/>
              <w:bottom w:w="0" w:type="dxa"/>
              <w:right w:w="108" w:type="dxa"/>
            </w:tcMar>
            <w:vAlign w:val="center"/>
            <w:hideMark/>
          </w:tcPr>
          <w:p w:rsidR="008D4B2E" w:rsidRPr="00FC6EB6" w:rsidRDefault="008D4B2E" w:rsidP="00FC6EB6">
            <w:pPr>
              <w:spacing w:before="40" w:after="40" w:line="240" w:lineRule="exact"/>
              <w:jc w:val="center"/>
              <w:rPr>
                <w:rFonts w:ascii="宋体" w:eastAsia="宋体" w:hAnsi="宋体" w:cs="宋体"/>
                <w:sz w:val="18"/>
                <w:szCs w:val="18"/>
              </w:rPr>
            </w:pPr>
            <w:r w:rsidRPr="00FC6EB6">
              <w:rPr>
                <w:rFonts w:ascii="宋体" w:eastAsia="宋体" w:hAnsi="宋体" w:cs="宋体" w:hint="eastAsia"/>
                <w:sz w:val="18"/>
                <w:szCs w:val="18"/>
              </w:rPr>
              <w:t>期末余额</w:t>
            </w:r>
          </w:p>
        </w:tc>
        <w:tc>
          <w:tcPr>
            <w:tcW w:w="1689" w:type="pct"/>
            <w:shd w:val="clear" w:color="auto" w:fill="D3D3D3"/>
            <w:noWrap/>
            <w:tcMar>
              <w:top w:w="0" w:type="dxa"/>
              <w:left w:w="108" w:type="dxa"/>
              <w:bottom w:w="0" w:type="dxa"/>
              <w:right w:w="108" w:type="dxa"/>
            </w:tcMar>
            <w:vAlign w:val="center"/>
            <w:hideMark/>
          </w:tcPr>
          <w:p w:rsidR="008D4B2E" w:rsidRPr="00FC6EB6" w:rsidRDefault="008D4B2E" w:rsidP="00FC6EB6">
            <w:pPr>
              <w:spacing w:before="40" w:after="40" w:line="240" w:lineRule="exact"/>
              <w:jc w:val="center"/>
              <w:rPr>
                <w:rFonts w:ascii="宋体" w:eastAsia="宋体" w:hAnsi="宋体" w:cs="宋体"/>
                <w:sz w:val="18"/>
                <w:szCs w:val="18"/>
              </w:rPr>
            </w:pPr>
            <w:r w:rsidRPr="00FC6EB6">
              <w:rPr>
                <w:rFonts w:ascii="宋体" w:eastAsia="宋体" w:hAnsi="宋体" w:cs="宋体" w:hint="eastAsia"/>
                <w:sz w:val="18"/>
                <w:szCs w:val="18"/>
              </w:rPr>
              <w:t>上年年末余额</w:t>
            </w:r>
          </w:p>
        </w:tc>
      </w:tr>
      <w:tr w:rsidR="008D4B2E" w:rsidTr="00212B93">
        <w:trPr>
          <w:divId w:val="894049040"/>
          <w:trHeight w:val="360"/>
        </w:trPr>
        <w:tc>
          <w:tcPr>
            <w:tcW w:w="1691" w:type="pct"/>
            <w:shd w:val="clear" w:color="auto" w:fill="D3D3D3"/>
            <w:noWrap/>
            <w:tcMar>
              <w:top w:w="0" w:type="dxa"/>
              <w:left w:w="108" w:type="dxa"/>
              <w:bottom w:w="0" w:type="dxa"/>
              <w:right w:w="108" w:type="dxa"/>
            </w:tcMar>
            <w:vAlign w:val="bottom"/>
            <w:hideMark/>
          </w:tcPr>
          <w:p w:rsidR="008D4B2E" w:rsidRPr="00FC6EB6" w:rsidRDefault="008D4B2E" w:rsidP="00FC6EB6">
            <w:pPr>
              <w:spacing w:before="40" w:after="40" w:line="240" w:lineRule="exact"/>
              <w:rPr>
                <w:rFonts w:ascii="宋体" w:eastAsia="宋体" w:hAnsi="宋体" w:cs="宋体"/>
                <w:sz w:val="18"/>
                <w:szCs w:val="18"/>
              </w:rPr>
            </w:pPr>
            <w:r w:rsidRPr="00FC6EB6">
              <w:rPr>
                <w:rFonts w:ascii="宋体" w:eastAsia="宋体" w:hAnsi="宋体" w:cs="宋体" w:hint="eastAsia"/>
                <w:sz w:val="18"/>
                <w:szCs w:val="18"/>
              </w:rPr>
              <w:t>银行承兑汇票保证金</w:t>
            </w:r>
          </w:p>
        </w:tc>
        <w:tc>
          <w:tcPr>
            <w:tcW w:w="1620" w:type="pct"/>
            <w:noWrap/>
            <w:tcMar>
              <w:top w:w="0" w:type="dxa"/>
              <w:left w:w="108" w:type="dxa"/>
              <w:bottom w:w="0" w:type="dxa"/>
              <w:right w:w="108" w:type="dxa"/>
            </w:tcMar>
            <w:hideMark/>
          </w:tcPr>
          <w:p w:rsidR="008D4B2E" w:rsidRPr="00FC6EB6" w:rsidRDefault="008D4B2E" w:rsidP="00FC6EB6">
            <w:pPr>
              <w:spacing w:before="40" w:after="40" w:line="240" w:lineRule="exact"/>
              <w:jc w:val="right"/>
              <w:rPr>
                <w:rFonts w:ascii="宋体" w:eastAsia="宋体" w:hAnsi="宋体" w:cs="宋体"/>
                <w:sz w:val="18"/>
                <w:szCs w:val="18"/>
              </w:rPr>
            </w:pPr>
            <w:r w:rsidRPr="00FC6EB6">
              <w:rPr>
                <w:rFonts w:ascii="宋体" w:eastAsia="宋体" w:hAnsi="宋体" w:cs="宋体"/>
                <w:sz w:val="18"/>
                <w:szCs w:val="18"/>
              </w:rPr>
              <w:t>230,930,781.72</w:t>
            </w:r>
          </w:p>
        </w:tc>
        <w:tc>
          <w:tcPr>
            <w:tcW w:w="1689" w:type="pct"/>
            <w:noWrap/>
            <w:tcMar>
              <w:top w:w="0" w:type="dxa"/>
              <w:left w:w="108" w:type="dxa"/>
              <w:bottom w:w="0" w:type="dxa"/>
              <w:right w:w="108" w:type="dxa"/>
            </w:tcMar>
            <w:hideMark/>
          </w:tcPr>
          <w:p w:rsidR="008D4B2E" w:rsidRPr="00FC6EB6" w:rsidRDefault="008D4B2E" w:rsidP="00FC6EB6">
            <w:pPr>
              <w:spacing w:before="40" w:after="40" w:line="240" w:lineRule="exact"/>
              <w:jc w:val="right"/>
              <w:rPr>
                <w:rFonts w:ascii="宋体" w:eastAsia="宋体" w:hAnsi="宋体" w:cs="宋体"/>
                <w:sz w:val="18"/>
                <w:szCs w:val="18"/>
              </w:rPr>
            </w:pPr>
            <w:r w:rsidRPr="00FC6EB6">
              <w:rPr>
                <w:rFonts w:ascii="宋体" w:eastAsia="宋体" w:hAnsi="宋体" w:cs="宋体"/>
                <w:sz w:val="18"/>
                <w:szCs w:val="18"/>
              </w:rPr>
              <w:t> 216,349,308.66</w:t>
            </w:r>
          </w:p>
        </w:tc>
      </w:tr>
      <w:tr w:rsidR="008D4B2E" w:rsidTr="00212B93">
        <w:trPr>
          <w:divId w:val="894049040"/>
          <w:trHeight w:val="360"/>
        </w:trPr>
        <w:tc>
          <w:tcPr>
            <w:tcW w:w="1691" w:type="pct"/>
            <w:shd w:val="clear" w:color="auto" w:fill="D3D3D3"/>
            <w:noWrap/>
            <w:tcMar>
              <w:top w:w="0" w:type="dxa"/>
              <w:left w:w="108" w:type="dxa"/>
              <w:bottom w:w="0" w:type="dxa"/>
              <w:right w:w="108" w:type="dxa"/>
            </w:tcMar>
            <w:vAlign w:val="bottom"/>
            <w:hideMark/>
          </w:tcPr>
          <w:p w:rsidR="008D4B2E" w:rsidRPr="00FC6EB6" w:rsidRDefault="008D4B2E" w:rsidP="00FC6EB6">
            <w:pPr>
              <w:spacing w:before="40" w:after="40" w:line="240" w:lineRule="exact"/>
              <w:rPr>
                <w:rFonts w:ascii="宋体" w:eastAsia="宋体" w:hAnsi="宋体" w:cs="宋体"/>
                <w:sz w:val="18"/>
                <w:szCs w:val="18"/>
              </w:rPr>
            </w:pPr>
            <w:r w:rsidRPr="00FC6EB6">
              <w:rPr>
                <w:rFonts w:ascii="宋体" w:eastAsia="宋体" w:hAnsi="宋体" w:cs="宋体" w:hint="eastAsia"/>
                <w:sz w:val="18"/>
                <w:szCs w:val="18"/>
              </w:rPr>
              <w:t>信用证保证金</w:t>
            </w:r>
          </w:p>
        </w:tc>
        <w:tc>
          <w:tcPr>
            <w:tcW w:w="1620" w:type="pct"/>
            <w:noWrap/>
            <w:tcMar>
              <w:top w:w="0" w:type="dxa"/>
              <w:left w:w="108" w:type="dxa"/>
              <w:bottom w:w="0" w:type="dxa"/>
              <w:right w:w="108" w:type="dxa"/>
            </w:tcMar>
            <w:hideMark/>
          </w:tcPr>
          <w:p w:rsidR="008D4B2E" w:rsidRPr="00FC6EB6" w:rsidRDefault="008D4B2E" w:rsidP="00FC6EB6">
            <w:pPr>
              <w:spacing w:before="40" w:after="40" w:line="240" w:lineRule="exact"/>
              <w:jc w:val="right"/>
              <w:rPr>
                <w:rFonts w:ascii="宋体" w:eastAsia="宋体" w:hAnsi="宋体" w:cs="宋体"/>
                <w:sz w:val="18"/>
                <w:szCs w:val="18"/>
              </w:rPr>
            </w:pPr>
            <w:r w:rsidRPr="00FC6EB6">
              <w:rPr>
                <w:rFonts w:ascii="宋体" w:eastAsia="宋体" w:hAnsi="宋体" w:cs="宋体"/>
                <w:sz w:val="18"/>
                <w:szCs w:val="18"/>
              </w:rPr>
              <w:t>24,314,875.49</w:t>
            </w:r>
          </w:p>
        </w:tc>
        <w:tc>
          <w:tcPr>
            <w:tcW w:w="1689" w:type="pct"/>
            <w:noWrap/>
            <w:tcMar>
              <w:top w:w="0" w:type="dxa"/>
              <w:left w:w="108" w:type="dxa"/>
              <w:bottom w:w="0" w:type="dxa"/>
              <w:right w:w="108" w:type="dxa"/>
            </w:tcMar>
            <w:hideMark/>
          </w:tcPr>
          <w:p w:rsidR="008D4B2E" w:rsidRPr="00FC6EB6" w:rsidRDefault="008D4B2E" w:rsidP="00FC6EB6">
            <w:pPr>
              <w:spacing w:before="40" w:after="40" w:line="240" w:lineRule="exact"/>
              <w:jc w:val="right"/>
              <w:rPr>
                <w:rFonts w:ascii="宋体" w:eastAsia="宋体" w:hAnsi="宋体" w:cs="宋体"/>
                <w:sz w:val="18"/>
                <w:szCs w:val="18"/>
              </w:rPr>
            </w:pPr>
            <w:r w:rsidRPr="00FC6EB6">
              <w:rPr>
                <w:rFonts w:ascii="宋体" w:eastAsia="宋体" w:hAnsi="宋体" w:cs="宋体"/>
                <w:sz w:val="18"/>
                <w:szCs w:val="18"/>
              </w:rPr>
              <w:t> 24,440,652.03</w:t>
            </w:r>
          </w:p>
        </w:tc>
      </w:tr>
      <w:tr w:rsidR="008D4B2E" w:rsidTr="00212B93">
        <w:trPr>
          <w:divId w:val="894049040"/>
          <w:trHeight w:val="360"/>
        </w:trPr>
        <w:tc>
          <w:tcPr>
            <w:tcW w:w="1691" w:type="pct"/>
            <w:shd w:val="clear" w:color="auto" w:fill="D3D3D3"/>
            <w:noWrap/>
            <w:tcMar>
              <w:top w:w="0" w:type="dxa"/>
              <w:left w:w="108" w:type="dxa"/>
              <w:bottom w:w="0" w:type="dxa"/>
              <w:right w:w="108" w:type="dxa"/>
            </w:tcMar>
            <w:vAlign w:val="bottom"/>
            <w:hideMark/>
          </w:tcPr>
          <w:p w:rsidR="008D4B2E" w:rsidRPr="00FC6EB6" w:rsidRDefault="008D4B2E" w:rsidP="00FC6EB6">
            <w:pPr>
              <w:spacing w:before="40" w:after="40" w:line="240" w:lineRule="exact"/>
              <w:rPr>
                <w:rFonts w:ascii="宋体" w:eastAsia="宋体" w:hAnsi="宋体" w:cs="宋体"/>
                <w:sz w:val="18"/>
                <w:szCs w:val="18"/>
              </w:rPr>
            </w:pPr>
            <w:r w:rsidRPr="00FC6EB6">
              <w:rPr>
                <w:rFonts w:ascii="宋体" w:eastAsia="宋体" w:hAnsi="宋体" w:cs="宋体" w:hint="eastAsia"/>
                <w:sz w:val="18"/>
                <w:szCs w:val="18"/>
              </w:rPr>
              <w:t>其他保证金</w:t>
            </w:r>
          </w:p>
        </w:tc>
        <w:tc>
          <w:tcPr>
            <w:tcW w:w="1620" w:type="pct"/>
            <w:noWrap/>
            <w:tcMar>
              <w:top w:w="0" w:type="dxa"/>
              <w:left w:w="108" w:type="dxa"/>
              <w:bottom w:w="0" w:type="dxa"/>
              <w:right w:w="108" w:type="dxa"/>
            </w:tcMar>
            <w:hideMark/>
          </w:tcPr>
          <w:p w:rsidR="008D4B2E" w:rsidRPr="00FC6EB6" w:rsidRDefault="008D4B2E" w:rsidP="00FC6EB6">
            <w:pPr>
              <w:spacing w:before="40" w:after="40" w:line="240" w:lineRule="exact"/>
              <w:jc w:val="right"/>
              <w:rPr>
                <w:rFonts w:ascii="宋体" w:eastAsia="宋体" w:hAnsi="宋体" w:cs="宋体"/>
                <w:sz w:val="18"/>
                <w:szCs w:val="18"/>
              </w:rPr>
            </w:pPr>
            <w:r w:rsidRPr="00FC6EB6">
              <w:rPr>
                <w:rFonts w:ascii="宋体" w:eastAsia="宋体" w:hAnsi="宋体" w:cs="宋体"/>
                <w:sz w:val="18"/>
                <w:szCs w:val="18"/>
              </w:rPr>
              <w:t>1,046,105,679.78</w:t>
            </w:r>
          </w:p>
        </w:tc>
        <w:tc>
          <w:tcPr>
            <w:tcW w:w="1689" w:type="pct"/>
            <w:noWrap/>
            <w:tcMar>
              <w:top w:w="0" w:type="dxa"/>
              <w:left w:w="108" w:type="dxa"/>
              <w:bottom w:w="0" w:type="dxa"/>
              <w:right w:w="108" w:type="dxa"/>
            </w:tcMar>
            <w:hideMark/>
          </w:tcPr>
          <w:p w:rsidR="008D4B2E" w:rsidRPr="00FC6EB6" w:rsidRDefault="008D4B2E" w:rsidP="00FC6EB6">
            <w:pPr>
              <w:spacing w:before="40" w:after="40" w:line="240" w:lineRule="exact"/>
              <w:jc w:val="right"/>
              <w:rPr>
                <w:rFonts w:ascii="宋体" w:eastAsia="宋体" w:hAnsi="宋体" w:cs="宋体"/>
                <w:sz w:val="18"/>
                <w:szCs w:val="18"/>
              </w:rPr>
            </w:pPr>
            <w:r w:rsidRPr="00FC6EB6">
              <w:rPr>
                <w:rFonts w:ascii="宋体" w:eastAsia="宋体" w:hAnsi="宋体" w:cs="宋体"/>
                <w:sz w:val="18"/>
                <w:szCs w:val="18"/>
              </w:rPr>
              <w:t> 796,887,682.39</w:t>
            </w:r>
          </w:p>
        </w:tc>
      </w:tr>
      <w:tr w:rsidR="008D4B2E" w:rsidTr="00212B93">
        <w:trPr>
          <w:divId w:val="894049040"/>
          <w:trHeight w:val="360"/>
        </w:trPr>
        <w:tc>
          <w:tcPr>
            <w:tcW w:w="1691" w:type="pct"/>
            <w:shd w:val="clear" w:color="auto" w:fill="D3D3D3"/>
            <w:noWrap/>
            <w:tcMar>
              <w:top w:w="0" w:type="dxa"/>
              <w:left w:w="108" w:type="dxa"/>
              <w:bottom w:w="0" w:type="dxa"/>
              <w:right w:w="108" w:type="dxa"/>
            </w:tcMar>
            <w:vAlign w:val="bottom"/>
            <w:hideMark/>
          </w:tcPr>
          <w:p w:rsidR="008D4B2E" w:rsidRPr="00FC6EB6" w:rsidRDefault="008D4B2E" w:rsidP="00FC6EB6">
            <w:pPr>
              <w:spacing w:before="40" w:after="40" w:line="240" w:lineRule="exact"/>
              <w:rPr>
                <w:rFonts w:ascii="宋体" w:eastAsia="宋体" w:hAnsi="宋体" w:cs="宋体"/>
                <w:sz w:val="18"/>
                <w:szCs w:val="18"/>
              </w:rPr>
            </w:pPr>
            <w:r w:rsidRPr="00FC6EB6">
              <w:rPr>
                <w:rFonts w:ascii="宋体" w:eastAsia="宋体" w:hAnsi="宋体" w:cs="宋体" w:hint="eastAsia"/>
                <w:sz w:val="18"/>
                <w:szCs w:val="18"/>
              </w:rPr>
              <w:t>合计</w:t>
            </w:r>
          </w:p>
        </w:tc>
        <w:tc>
          <w:tcPr>
            <w:tcW w:w="1620" w:type="pct"/>
            <w:noWrap/>
            <w:tcMar>
              <w:top w:w="0" w:type="dxa"/>
              <w:left w:w="108" w:type="dxa"/>
              <w:bottom w:w="0" w:type="dxa"/>
              <w:right w:w="108" w:type="dxa"/>
            </w:tcMar>
            <w:hideMark/>
          </w:tcPr>
          <w:p w:rsidR="008D4B2E" w:rsidRPr="00FC6EB6" w:rsidRDefault="008D4B2E" w:rsidP="00FC6EB6">
            <w:pPr>
              <w:spacing w:before="40" w:after="40" w:line="240" w:lineRule="exact"/>
              <w:jc w:val="right"/>
              <w:rPr>
                <w:rFonts w:ascii="宋体" w:eastAsia="宋体" w:hAnsi="宋体" w:cs="宋体"/>
                <w:sz w:val="18"/>
                <w:szCs w:val="18"/>
              </w:rPr>
            </w:pPr>
            <w:r w:rsidRPr="00FC6EB6">
              <w:rPr>
                <w:rFonts w:ascii="宋体" w:eastAsia="宋体" w:hAnsi="宋体" w:cs="宋体"/>
                <w:bCs/>
                <w:sz w:val="18"/>
                <w:szCs w:val="18"/>
              </w:rPr>
              <w:t>1,301,351,336.99</w:t>
            </w:r>
          </w:p>
        </w:tc>
        <w:tc>
          <w:tcPr>
            <w:tcW w:w="1689" w:type="pct"/>
            <w:noWrap/>
            <w:tcMar>
              <w:top w:w="0" w:type="dxa"/>
              <w:left w:w="108" w:type="dxa"/>
              <w:bottom w:w="0" w:type="dxa"/>
              <w:right w:w="108" w:type="dxa"/>
            </w:tcMar>
            <w:hideMark/>
          </w:tcPr>
          <w:p w:rsidR="008D4B2E" w:rsidRPr="00FC6EB6" w:rsidRDefault="008D4B2E" w:rsidP="00FC6EB6">
            <w:pPr>
              <w:spacing w:before="40" w:after="40" w:line="240" w:lineRule="exact"/>
              <w:jc w:val="right"/>
              <w:rPr>
                <w:rFonts w:ascii="宋体" w:eastAsia="宋体" w:hAnsi="宋体" w:cs="宋体"/>
                <w:sz w:val="18"/>
                <w:szCs w:val="18"/>
              </w:rPr>
            </w:pPr>
            <w:r w:rsidRPr="00FC6EB6">
              <w:rPr>
                <w:rFonts w:ascii="宋体" w:eastAsia="宋体" w:hAnsi="宋体" w:cs="宋体"/>
                <w:bCs/>
                <w:sz w:val="18"/>
                <w:szCs w:val="18"/>
              </w:rPr>
              <w:t>1,037,677,643.08</w:t>
            </w:r>
          </w:p>
        </w:tc>
      </w:tr>
    </w:tbl>
    <w:p w:rsidR="008D4B2E" w:rsidRDefault="008D4B2E">
      <w:pPr>
        <w:divId w:val="894049040"/>
      </w:pPr>
    </w:p>
    <w:p w:rsidR="00BA0365" w:rsidRDefault="008D4B2E">
      <w:pPr>
        <w:pStyle w:val="3"/>
        <w:spacing w:line="280" w:lineRule="exact"/>
        <w:jc w:val="left"/>
        <w:rPr>
          <w:rFonts w:ascii="宋体" w:hAnsi="宋体" w:cs="宋体"/>
          <w:b/>
          <w:bCs/>
        </w:rPr>
      </w:pPr>
      <w:bookmarkStart w:id="230" w:name="_Toc989118"/>
      <w:r>
        <w:rPr>
          <w:rFonts w:ascii="宋体" w:hAnsi="宋体" w:cs="宋体"/>
          <w:b/>
          <w:bCs/>
        </w:rPr>
        <w:lastRenderedPageBreak/>
        <w:t>2、交易性金融资产</w:t>
      </w:r>
      <w:bookmarkEnd w:id="230"/>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06" w:type="dxa"/>
        <w:tblLayout w:type="fixed"/>
        <w:tblLook w:val="04A0" w:firstRow="1" w:lastRow="0" w:firstColumn="1" w:lastColumn="0" w:noHBand="0" w:noVBand="1"/>
      </w:tblPr>
      <w:tblGrid>
        <w:gridCol w:w="4219"/>
        <w:gridCol w:w="2835"/>
        <w:gridCol w:w="2552"/>
      </w:tblGrid>
      <w:tr w:rsidR="00157EA0" w:rsidTr="00F87C44">
        <w:trPr>
          <w:trHeight w:val="240"/>
        </w:trPr>
        <w:tc>
          <w:tcPr>
            <w:tcW w:w="421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83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255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57EA0" w:rsidTr="00F87C44">
        <w:trPr>
          <w:trHeight w:val="240"/>
        </w:trPr>
        <w:tc>
          <w:tcPr>
            <w:tcW w:w="421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以公允价值计量且其变动计入当期损益的金融资产</w:t>
            </w:r>
          </w:p>
        </w:tc>
        <w:tc>
          <w:tcPr>
            <w:tcW w:w="283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650,001,001.00</w:t>
            </w:r>
          </w:p>
        </w:tc>
        <w:tc>
          <w:tcPr>
            <w:tcW w:w="255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105,052,985.91</w:t>
            </w:r>
          </w:p>
        </w:tc>
      </w:tr>
      <w:tr w:rsidR="00157EA0" w:rsidTr="00F87C44">
        <w:trPr>
          <w:trHeight w:val="240"/>
        </w:trPr>
        <w:tc>
          <w:tcPr>
            <w:tcW w:w="421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其中：</w:t>
            </w:r>
          </w:p>
        </w:tc>
        <w:tc>
          <w:tcPr>
            <w:tcW w:w="283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255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r w:rsidR="00157EA0" w:rsidTr="00F87C44">
        <w:trPr>
          <w:trHeight w:val="240"/>
        </w:trPr>
        <w:tc>
          <w:tcPr>
            <w:tcW w:w="421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权益工具投资</w:t>
            </w:r>
          </w:p>
        </w:tc>
        <w:tc>
          <w:tcPr>
            <w:tcW w:w="283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255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5,051,984.91</w:t>
            </w:r>
          </w:p>
        </w:tc>
      </w:tr>
      <w:tr w:rsidR="00157EA0" w:rsidTr="00F87C44">
        <w:trPr>
          <w:trHeight w:val="240"/>
        </w:trPr>
        <w:tc>
          <w:tcPr>
            <w:tcW w:w="421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银行理财产品</w:t>
            </w:r>
          </w:p>
        </w:tc>
        <w:tc>
          <w:tcPr>
            <w:tcW w:w="283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650,001,001.00</w:t>
            </w:r>
          </w:p>
        </w:tc>
        <w:tc>
          <w:tcPr>
            <w:tcW w:w="255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100,001,001.00</w:t>
            </w:r>
          </w:p>
        </w:tc>
      </w:tr>
      <w:tr w:rsidR="00157EA0" w:rsidTr="00F87C44">
        <w:trPr>
          <w:trHeight w:val="240"/>
        </w:trPr>
        <w:tc>
          <w:tcPr>
            <w:tcW w:w="421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其中：</w:t>
            </w:r>
          </w:p>
        </w:tc>
        <w:tc>
          <w:tcPr>
            <w:tcW w:w="283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255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r w:rsidR="00157EA0" w:rsidTr="00F87C44">
        <w:trPr>
          <w:trHeight w:val="240"/>
        </w:trPr>
        <w:tc>
          <w:tcPr>
            <w:tcW w:w="421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83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650,001,001.00</w:t>
            </w:r>
          </w:p>
        </w:tc>
        <w:tc>
          <w:tcPr>
            <w:tcW w:w="255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105,052,985.91</w:t>
            </w:r>
          </w:p>
        </w:tc>
      </w:tr>
    </w:tbl>
    <w:p w:rsidR="00BA0365" w:rsidRDefault="008D4B2E">
      <w:pPr>
        <w:pStyle w:val="3"/>
        <w:spacing w:line="280" w:lineRule="exact"/>
        <w:jc w:val="left"/>
        <w:rPr>
          <w:rFonts w:ascii="宋体" w:hAnsi="宋体" w:cs="宋体"/>
          <w:b/>
          <w:bCs/>
        </w:rPr>
      </w:pPr>
      <w:bookmarkStart w:id="231" w:name="_Toc989119"/>
      <w:r>
        <w:rPr>
          <w:rFonts w:ascii="宋体" w:hAnsi="宋体" w:cs="宋体"/>
          <w:b/>
          <w:bCs/>
        </w:rPr>
        <w:t>3、应收票据</w:t>
      </w:r>
      <w:bookmarkEnd w:id="231"/>
    </w:p>
    <w:p w:rsidR="00BA0365" w:rsidRDefault="008D4B2E">
      <w:pPr>
        <w:keepNext/>
        <w:keepLines/>
        <w:spacing w:before="300" w:after="300" w:line="280" w:lineRule="exact"/>
        <w:outlineLvl w:val="3"/>
        <w:rPr>
          <w:rFonts w:ascii="宋体" w:eastAsia="宋体" w:hAnsi="宋体" w:cs="宋体"/>
          <w:b/>
          <w:bCs/>
          <w:szCs w:val="21"/>
        </w:rPr>
      </w:pPr>
      <w:bookmarkStart w:id="232" w:name="_Toc989120"/>
      <w:r>
        <w:rPr>
          <w:rFonts w:ascii="宋体" w:eastAsia="宋体" w:hAnsi="宋体" w:cs="宋体"/>
          <w:b/>
          <w:bCs/>
          <w:szCs w:val="21"/>
        </w:rPr>
        <w:t>（1） 应收票据分类列示</w:t>
      </w:r>
      <w:bookmarkEnd w:id="232"/>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3213"/>
        <w:gridCol w:w="3213"/>
        <w:gridCol w:w="3213"/>
      </w:tblGrid>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银行承兑票据</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865,932,946.75</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259,302,775.43</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商业承兑票据</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3,454,300.00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2,555,085.58</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减：坏账准备</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-11,696,450.16</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-7,288,266.96</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857,690,796.59</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254,569,594.05</w:t>
            </w:r>
          </w:p>
        </w:tc>
      </w:tr>
    </w:tbl>
    <w:p w:rsidR="00BA0365" w:rsidRDefault="008D4B2E">
      <w:pPr>
        <w:keepNext/>
        <w:keepLines/>
        <w:spacing w:before="300" w:after="300" w:line="280" w:lineRule="exact"/>
        <w:outlineLvl w:val="3"/>
        <w:rPr>
          <w:rFonts w:ascii="宋体" w:eastAsia="宋体" w:hAnsi="宋体" w:cs="宋体"/>
          <w:b/>
          <w:bCs/>
          <w:szCs w:val="21"/>
        </w:rPr>
      </w:pPr>
      <w:bookmarkStart w:id="233" w:name="_Toc989121"/>
      <w:r>
        <w:rPr>
          <w:rFonts w:ascii="宋体" w:eastAsia="宋体" w:hAnsi="宋体" w:cs="宋体"/>
          <w:b/>
          <w:bCs/>
          <w:szCs w:val="21"/>
        </w:rPr>
        <w:t>（2） 本期计提、收回或转回的坏账准备情况</w:t>
      </w:r>
      <w:bookmarkEnd w:id="233"/>
    </w:p>
    <w:p w:rsidR="00BA0365" w:rsidRDefault="008D4B2E">
      <w:pPr>
        <w:spacing w:before="100" w:line="240" w:lineRule="exact"/>
        <w:rPr>
          <w:rFonts w:ascii="宋体" w:eastAsia="宋体" w:hAnsi="宋体" w:cs="宋体"/>
          <w:sz w:val="18"/>
          <w:szCs w:val="18"/>
        </w:rPr>
      </w:pPr>
      <w:r>
        <w:rPr>
          <w:rFonts w:ascii="宋体" w:eastAsia="宋体" w:hAnsi="宋体" w:cs="宋体"/>
          <w:sz w:val="18"/>
          <w:szCs w:val="18"/>
        </w:rPr>
        <w:t>本期计提坏账准备情况：</w:t>
      </w:r>
    </w:p>
    <w:p w:rsidR="00BA0365" w:rsidRDefault="008D4B2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1951"/>
        <w:gridCol w:w="1843"/>
        <w:gridCol w:w="1559"/>
        <w:gridCol w:w="1276"/>
        <w:gridCol w:w="709"/>
        <w:gridCol w:w="708"/>
        <w:gridCol w:w="1593"/>
      </w:tblGrid>
      <w:tr w:rsidR="00157EA0" w:rsidTr="00F87C44">
        <w:trPr>
          <w:trHeight w:val="240"/>
        </w:trPr>
        <w:tc>
          <w:tcPr>
            <w:tcW w:w="195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184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4252"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本期变动金额</w:t>
            </w:r>
          </w:p>
        </w:tc>
        <w:tc>
          <w:tcPr>
            <w:tcW w:w="159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157EA0" w:rsidTr="00F87C44">
        <w:trPr>
          <w:trHeight w:val="240"/>
        </w:trPr>
        <w:tc>
          <w:tcPr>
            <w:tcW w:w="195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84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收回或转回</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核销</w:t>
            </w:r>
          </w:p>
        </w:tc>
        <w:tc>
          <w:tcPr>
            <w:tcW w:w="70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59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r w:rsidR="00157EA0" w:rsidTr="00F87C44">
        <w:trPr>
          <w:trHeight w:val="240"/>
        </w:trPr>
        <w:tc>
          <w:tcPr>
            <w:tcW w:w="19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应收票据坏账准备</w:t>
            </w:r>
          </w:p>
        </w:tc>
        <w:tc>
          <w:tcPr>
            <w:tcW w:w="184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7,288,266.96</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4,408,183.20</w:t>
            </w:r>
          </w:p>
        </w:tc>
        <w:tc>
          <w:tcPr>
            <w:tcW w:w="12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11,696,450.16</w:t>
            </w:r>
          </w:p>
        </w:tc>
      </w:tr>
      <w:tr w:rsidR="00157EA0" w:rsidTr="00F87C44">
        <w:trPr>
          <w:trHeight w:val="240"/>
        </w:trPr>
        <w:tc>
          <w:tcPr>
            <w:tcW w:w="195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84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7,288,266.96</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4,408,183.20</w:t>
            </w:r>
          </w:p>
        </w:tc>
        <w:tc>
          <w:tcPr>
            <w:tcW w:w="12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11,696,450.16</w:t>
            </w:r>
          </w:p>
        </w:tc>
      </w:tr>
    </w:tbl>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其中本期坏账准备收回或转回金额重要的：</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keepNext/>
        <w:keepLines/>
        <w:spacing w:before="300" w:after="300" w:line="280" w:lineRule="exact"/>
        <w:outlineLvl w:val="3"/>
        <w:rPr>
          <w:rFonts w:ascii="宋体" w:eastAsia="宋体" w:hAnsi="宋体" w:cs="宋体"/>
          <w:b/>
          <w:bCs/>
          <w:szCs w:val="21"/>
        </w:rPr>
      </w:pPr>
      <w:bookmarkStart w:id="234" w:name="_Toc989122"/>
      <w:r>
        <w:rPr>
          <w:rFonts w:ascii="宋体" w:eastAsia="宋体" w:hAnsi="宋体" w:cs="宋体"/>
          <w:b/>
          <w:bCs/>
          <w:szCs w:val="21"/>
        </w:rPr>
        <w:t>（3） 期末公司已质押的应收票据</w:t>
      </w:r>
      <w:bookmarkEnd w:id="234"/>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4820"/>
        <w:gridCol w:w="4819"/>
      </w:tblGrid>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proofErr w:type="gramStart"/>
            <w:r>
              <w:rPr>
                <w:rFonts w:ascii="宋体" w:eastAsia="宋体" w:hAnsi="宋体" w:cs="宋体"/>
                <w:sz w:val="18"/>
                <w:szCs w:val="18"/>
              </w:rPr>
              <w:t>期末已质</w:t>
            </w:r>
            <w:proofErr w:type="gramEnd"/>
            <w:r>
              <w:rPr>
                <w:rFonts w:ascii="宋体" w:eastAsia="宋体" w:hAnsi="宋体" w:cs="宋体"/>
                <w:sz w:val="18"/>
                <w:szCs w:val="18"/>
              </w:rPr>
              <w:t>押金额</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银行承兑票据</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455,321,827.13</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455,321,827.13</w:t>
            </w:r>
          </w:p>
        </w:tc>
      </w:tr>
    </w:tbl>
    <w:p w:rsidR="00BA0365" w:rsidRDefault="008D4B2E">
      <w:pPr>
        <w:keepNext/>
        <w:keepLines/>
        <w:spacing w:before="300" w:after="300" w:line="280" w:lineRule="exact"/>
        <w:outlineLvl w:val="3"/>
        <w:rPr>
          <w:rFonts w:ascii="宋体" w:eastAsia="宋体" w:hAnsi="宋体" w:cs="宋体"/>
          <w:b/>
          <w:bCs/>
          <w:szCs w:val="21"/>
        </w:rPr>
      </w:pPr>
      <w:bookmarkStart w:id="235" w:name="_Toc989123"/>
      <w:r>
        <w:rPr>
          <w:rFonts w:ascii="宋体" w:eastAsia="宋体" w:hAnsi="宋体" w:cs="宋体"/>
          <w:b/>
          <w:bCs/>
          <w:szCs w:val="21"/>
        </w:rPr>
        <w:t>（4） 期末公司已背书或贴现且在资产负债表日尚未到期的应收票据</w:t>
      </w:r>
      <w:bookmarkEnd w:id="235"/>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3213"/>
        <w:gridCol w:w="3213"/>
        <w:gridCol w:w="3213"/>
      </w:tblGrid>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期末终止确认金额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期末未终止确认金额</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银行承兑票据</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279,414,354.41</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合计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279,414,354.41</w:t>
            </w:r>
          </w:p>
        </w:tc>
      </w:tr>
    </w:tbl>
    <w:p w:rsidR="00BA0365" w:rsidRDefault="008D4B2E">
      <w:pPr>
        <w:pStyle w:val="3"/>
        <w:spacing w:line="280" w:lineRule="exact"/>
        <w:jc w:val="left"/>
        <w:rPr>
          <w:rFonts w:ascii="宋体" w:hAnsi="宋体" w:cs="宋体"/>
          <w:b/>
          <w:bCs/>
        </w:rPr>
      </w:pPr>
      <w:bookmarkStart w:id="236" w:name="_Toc989124"/>
      <w:r>
        <w:rPr>
          <w:rFonts w:ascii="宋体" w:hAnsi="宋体" w:cs="宋体"/>
          <w:b/>
          <w:bCs/>
        </w:rPr>
        <w:t>4、应收账款</w:t>
      </w:r>
      <w:bookmarkEnd w:id="236"/>
    </w:p>
    <w:p w:rsidR="00BA0365" w:rsidRDefault="008D4B2E">
      <w:pPr>
        <w:keepNext/>
        <w:keepLines/>
        <w:spacing w:before="300" w:after="300" w:line="280" w:lineRule="exact"/>
        <w:outlineLvl w:val="3"/>
        <w:rPr>
          <w:rFonts w:ascii="宋体" w:eastAsia="宋体" w:hAnsi="宋体" w:cs="宋体"/>
          <w:b/>
          <w:bCs/>
          <w:szCs w:val="21"/>
        </w:rPr>
      </w:pPr>
      <w:bookmarkStart w:id="237" w:name="_Toc989125"/>
      <w:r>
        <w:rPr>
          <w:rFonts w:ascii="宋体" w:eastAsia="宋体" w:hAnsi="宋体" w:cs="宋体"/>
          <w:b/>
          <w:bCs/>
          <w:szCs w:val="21"/>
        </w:rPr>
        <w:t xml:space="preserve">（1） </w:t>
      </w:r>
      <w:proofErr w:type="gramStart"/>
      <w:r>
        <w:rPr>
          <w:rFonts w:ascii="宋体" w:eastAsia="宋体" w:hAnsi="宋体" w:cs="宋体"/>
          <w:b/>
          <w:bCs/>
          <w:szCs w:val="21"/>
        </w:rPr>
        <w:t>按账龄</w:t>
      </w:r>
      <w:proofErr w:type="gramEnd"/>
      <w:r>
        <w:rPr>
          <w:rFonts w:ascii="宋体" w:eastAsia="宋体" w:hAnsi="宋体" w:cs="宋体"/>
          <w:b/>
          <w:bCs/>
          <w:szCs w:val="21"/>
        </w:rPr>
        <w:t>披露</w:t>
      </w:r>
      <w:bookmarkEnd w:id="237"/>
    </w:p>
    <w:p w:rsidR="00BA0365" w:rsidRDefault="008D4B2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3213"/>
        <w:gridCol w:w="3213"/>
        <w:gridCol w:w="3213"/>
      </w:tblGrid>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期初账面余额</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1年以内（含1年）</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955,570,100.36</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691,600,259.73</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1至2年</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125,592,313.22</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216,034,717.09</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2至3年</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84,080,673.54</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98,629,822.74</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3年以上</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342,721,324.10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350,855,877.25</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3至4年</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60,838,741.38</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73,181,620.14</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4至5年</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40,457,307.28</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47,384,777.94</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5年以上</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241,425,275.44</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230,289,479.17</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1,507,964,411.22</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1,357,120,676.81</w:t>
            </w:r>
          </w:p>
        </w:tc>
      </w:tr>
    </w:tbl>
    <w:p w:rsidR="00BA0365" w:rsidRDefault="008D4B2E">
      <w:pPr>
        <w:keepNext/>
        <w:keepLines/>
        <w:spacing w:before="300" w:after="300" w:line="280" w:lineRule="exact"/>
        <w:outlineLvl w:val="3"/>
        <w:rPr>
          <w:rFonts w:ascii="宋体" w:eastAsia="宋体" w:hAnsi="宋体" w:cs="宋体"/>
          <w:b/>
          <w:bCs/>
          <w:szCs w:val="21"/>
        </w:rPr>
      </w:pPr>
      <w:bookmarkStart w:id="238" w:name="_Toc989126"/>
      <w:r>
        <w:rPr>
          <w:rFonts w:ascii="宋体" w:eastAsia="宋体" w:hAnsi="宋体" w:cs="宋体"/>
          <w:b/>
          <w:bCs/>
          <w:szCs w:val="21"/>
        </w:rPr>
        <w:t>（2） 按坏账计提方法分类披露</w:t>
      </w:r>
      <w:bookmarkEnd w:id="238"/>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875"/>
        <w:gridCol w:w="876"/>
        <w:gridCol w:w="877"/>
        <w:gridCol w:w="876"/>
        <w:gridCol w:w="877"/>
        <w:gridCol w:w="876"/>
        <w:gridCol w:w="876"/>
        <w:gridCol w:w="877"/>
        <w:gridCol w:w="876"/>
        <w:gridCol w:w="877"/>
        <w:gridCol w:w="876"/>
      </w:tblGrid>
      <w:tr w:rsidR="00157EA0">
        <w:trPr>
          <w:trHeight w:val="240"/>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57EA0">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157EA0">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r w:rsidR="00157EA0">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按单项计提坏账准备的应收账款</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258,214,548.38</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17.12%</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150,655,341.07</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58.35%</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107,559,207.31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221,454,659.98</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16.32%</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164,596,706.85</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74.33%</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56,857,953.13</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r w:rsidR="00157EA0">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按组合计提坏账准备的应收账款</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1,249,749,862.84</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82.88%</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191,744,600.62</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15.34%</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1,058,005,262.22</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1,135,666,016.83</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83.68%</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197,783,613.00</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17.42%</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937,882,403.83</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账</w:t>
            </w:r>
            <w:proofErr w:type="gramEnd"/>
            <w:r>
              <w:rPr>
                <w:rFonts w:ascii="宋体" w:eastAsia="宋体" w:hAnsi="宋体" w:cs="宋体"/>
                <w:sz w:val="18"/>
                <w:szCs w:val="18"/>
              </w:rPr>
              <w:t>龄组合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1,249,749,862.84</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82.88%</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191,744,600.62</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15.34%</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1,058,005,262.22</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1,135,666,016.83</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83.68%</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197,783,613.00</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17.42%</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937,882,403.83</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1,507,964,411.22</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342,399,941.69</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1,165,564,469.53</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1,357,120,676.81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362,380,319.85</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994,740,356.96</w:t>
            </w:r>
          </w:p>
        </w:tc>
      </w:tr>
    </w:tbl>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按单项计提坏账准备：</w:t>
      </w:r>
    </w:p>
    <w:p w:rsidR="00F87C44" w:rsidRDefault="00F87C44">
      <w:pPr>
        <w:spacing w:before="40" w:after="40" w:line="240" w:lineRule="exact"/>
        <w:jc w:val="right"/>
        <w:rPr>
          <w:rFonts w:ascii="宋体" w:eastAsia="宋体" w:hAnsi="宋体" w:cs="宋体"/>
          <w:sz w:val="18"/>
          <w:szCs w:val="18"/>
        </w:rPr>
      </w:pPr>
    </w:p>
    <w:p w:rsidR="00F87C44" w:rsidRDefault="00F87C44">
      <w:pPr>
        <w:spacing w:before="40" w:after="40" w:line="240" w:lineRule="exact"/>
        <w:jc w:val="right"/>
        <w:rPr>
          <w:rFonts w:ascii="宋体" w:eastAsia="宋体" w:hAnsi="宋体" w:cs="宋体"/>
          <w:sz w:val="18"/>
          <w:szCs w:val="18"/>
        </w:rPr>
      </w:pPr>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817"/>
        <w:gridCol w:w="1559"/>
        <w:gridCol w:w="1560"/>
        <w:gridCol w:w="1572"/>
        <w:gridCol w:w="1546"/>
        <w:gridCol w:w="1208"/>
        <w:gridCol w:w="1377"/>
      </w:tblGrid>
      <w:tr w:rsidR="00157EA0" w:rsidTr="00F87C44">
        <w:trPr>
          <w:trHeight w:val="240"/>
        </w:trPr>
        <w:tc>
          <w:tcPr>
            <w:tcW w:w="81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名称</w:t>
            </w:r>
          </w:p>
        </w:tc>
        <w:tc>
          <w:tcPr>
            <w:tcW w:w="311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5703"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157EA0" w:rsidTr="00F87C44">
        <w:trPr>
          <w:trHeight w:val="240"/>
        </w:trPr>
        <w:tc>
          <w:tcPr>
            <w:tcW w:w="81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57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54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20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计提理由</w:t>
            </w:r>
          </w:p>
        </w:tc>
      </w:tr>
      <w:tr w:rsidR="00157EA0" w:rsidTr="00F87C44">
        <w:trPr>
          <w:trHeight w:val="240"/>
        </w:trPr>
        <w:tc>
          <w:tcPr>
            <w:tcW w:w="81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A公司</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64,116,000.00</w:t>
            </w: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64,116,000.00</w:t>
            </w:r>
          </w:p>
        </w:tc>
        <w:tc>
          <w:tcPr>
            <w:tcW w:w="157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64,116,000.00</w:t>
            </w:r>
          </w:p>
        </w:tc>
        <w:tc>
          <w:tcPr>
            <w:tcW w:w="154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64,116,000.00</w:t>
            </w:r>
          </w:p>
        </w:tc>
        <w:tc>
          <w:tcPr>
            <w:tcW w:w="120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无法收回</w:t>
            </w:r>
          </w:p>
        </w:tc>
      </w:tr>
      <w:tr w:rsidR="00157EA0" w:rsidTr="00F87C44">
        <w:trPr>
          <w:trHeight w:val="240"/>
        </w:trPr>
        <w:tc>
          <w:tcPr>
            <w:tcW w:w="81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B公司</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27,611,393.52</w:t>
            </w: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27,611,393.52</w:t>
            </w:r>
          </w:p>
        </w:tc>
        <w:tc>
          <w:tcPr>
            <w:tcW w:w="157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27,611,393.52</w:t>
            </w:r>
          </w:p>
        </w:tc>
        <w:tc>
          <w:tcPr>
            <w:tcW w:w="154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27,611,393.52</w:t>
            </w:r>
          </w:p>
        </w:tc>
        <w:tc>
          <w:tcPr>
            <w:tcW w:w="120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无法收回</w:t>
            </w:r>
          </w:p>
        </w:tc>
      </w:tr>
      <w:tr w:rsidR="00157EA0" w:rsidTr="00F87C44">
        <w:trPr>
          <w:trHeight w:val="240"/>
        </w:trPr>
        <w:tc>
          <w:tcPr>
            <w:tcW w:w="81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C公司</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18,506,410.03</w:t>
            </w: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18,506,410.03</w:t>
            </w:r>
          </w:p>
        </w:tc>
        <w:tc>
          <w:tcPr>
            <w:tcW w:w="157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18,506,410.03</w:t>
            </w:r>
          </w:p>
        </w:tc>
        <w:tc>
          <w:tcPr>
            <w:tcW w:w="154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18,506,410.03</w:t>
            </w:r>
          </w:p>
        </w:tc>
        <w:tc>
          <w:tcPr>
            <w:tcW w:w="120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无法收回</w:t>
            </w:r>
          </w:p>
        </w:tc>
      </w:tr>
      <w:tr w:rsidR="00157EA0" w:rsidTr="00F87C44">
        <w:trPr>
          <w:trHeight w:val="240"/>
        </w:trPr>
        <w:tc>
          <w:tcPr>
            <w:tcW w:w="81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D公司</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10,499,708.37</w:t>
            </w: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10,499,708.37</w:t>
            </w:r>
          </w:p>
        </w:tc>
        <w:tc>
          <w:tcPr>
            <w:tcW w:w="157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10,499,708.37</w:t>
            </w:r>
          </w:p>
        </w:tc>
        <w:tc>
          <w:tcPr>
            <w:tcW w:w="154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10,499,708.37</w:t>
            </w:r>
          </w:p>
        </w:tc>
        <w:tc>
          <w:tcPr>
            <w:tcW w:w="120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无法收回</w:t>
            </w:r>
          </w:p>
        </w:tc>
      </w:tr>
      <w:tr w:rsidR="00157EA0" w:rsidTr="00F87C44">
        <w:trPr>
          <w:trHeight w:val="240"/>
        </w:trPr>
        <w:tc>
          <w:tcPr>
            <w:tcW w:w="81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E公司</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9,005,148.41</w:t>
            </w: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9,005,148.41</w:t>
            </w:r>
          </w:p>
        </w:tc>
        <w:tc>
          <w:tcPr>
            <w:tcW w:w="157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9,005,148.41</w:t>
            </w:r>
          </w:p>
        </w:tc>
        <w:tc>
          <w:tcPr>
            <w:tcW w:w="154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9,005,148.41</w:t>
            </w:r>
          </w:p>
        </w:tc>
        <w:tc>
          <w:tcPr>
            <w:tcW w:w="120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无法收回</w:t>
            </w:r>
          </w:p>
        </w:tc>
      </w:tr>
      <w:tr w:rsidR="00157EA0" w:rsidTr="00F87C44">
        <w:trPr>
          <w:trHeight w:val="240"/>
        </w:trPr>
        <w:tc>
          <w:tcPr>
            <w:tcW w:w="81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F公司</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4,318,323.01</w:t>
            </w: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4,318,323.01</w:t>
            </w:r>
          </w:p>
        </w:tc>
        <w:tc>
          <w:tcPr>
            <w:tcW w:w="157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4,318,323.01</w:t>
            </w:r>
          </w:p>
        </w:tc>
        <w:tc>
          <w:tcPr>
            <w:tcW w:w="154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4,318,323.01</w:t>
            </w:r>
          </w:p>
        </w:tc>
        <w:tc>
          <w:tcPr>
            <w:tcW w:w="120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无法收回</w:t>
            </w:r>
          </w:p>
        </w:tc>
      </w:tr>
      <w:tr w:rsidR="00157EA0" w:rsidTr="00F87C44">
        <w:trPr>
          <w:trHeight w:val="240"/>
        </w:trPr>
        <w:tc>
          <w:tcPr>
            <w:tcW w:w="81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G公司</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3,818,198.30</w:t>
            </w: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3,818,198.30</w:t>
            </w:r>
          </w:p>
        </w:tc>
        <w:tc>
          <w:tcPr>
            <w:tcW w:w="157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3,818,198.30</w:t>
            </w:r>
          </w:p>
        </w:tc>
        <w:tc>
          <w:tcPr>
            <w:tcW w:w="154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3,818,198.30</w:t>
            </w:r>
          </w:p>
        </w:tc>
        <w:tc>
          <w:tcPr>
            <w:tcW w:w="120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无法收回</w:t>
            </w:r>
          </w:p>
        </w:tc>
      </w:tr>
      <w:tr w:rsidR="00157EA0" w:rsidTr="00F87C44">
        <w:trPr>
          <w:trHeight w:val="240"/>
        </w:trPr>
        <w:tc>
          <w:tcPr>
            <w:tcW w:w="81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H公司</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2,497,965.54</w:t>
            </w: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2,497,965.54</w:t>
            </w:r>
          </w:p>
        </w:tc>
        <w:tc>
          <w:tcPr>
            <w:tcW w:w="157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2,497,965.54</w:t>
            </w:r>
          </w:p>
        </w:tc>
        <w:tc>
          <w:tcPr>
            <w:tcW w:w="154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2,497,965.54</w:t>
            </w:r>
          </w:p>
        </w:tc>
        <w:tc>
          <w:tcPr>
            <w:tcW w:w="120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无法收回</w:t>
            </w:r>
          </w:p>
        </w:tc>
      </w:tr>
      <w:tr w:rsidR="00157EA0" w:rsidTr="00F87C44">
        <w:trPr>
          <w:trHeight w:val="240"/>
        </w:trPr>
        <w:tc>
          <w:tcPr>
            <w:tcW w:w="81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I公司</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1,533,000.00</w:t>
            </w: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1,533,000.00</w:t>
            </w:r>
          </w:p>
        </w:tc>
        <w:tc>
          <w:tcPr>
            <w:tcW w:w="157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1,533,000.00</w:t>
            </w:r>
          </w:p>
        </w:tc>
        <w:tc>
          <w:tcPr>
            <w:tcW w:w="154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1,533,000.00</w:t>
            </w:r>
          </w:p>
        </w:tc>
        <w:tc>
          <w:tcPr>
            <w:tcW w:w="120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无法收回</w:t>
            </w:r>
          </w:p>
        </w:tc>
      </w:tr>
      <w:tr w:rsidR="00157EA0" w:rsidTr="00F87C44">
        <w:trPr>
          <w:trHeight w:val="240"/>
        </w:trPr>
        <w:tc>
          <w:tcPr>
            <w:tcW w:w="81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J公司</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1,272,200.00</w:t>
            </w: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1,272,200.00</w:t>
            </w:r>
          </w:p>
        </w:tc>
        <w:tc>
          <w:tcPr>
            <w:tcW w:w="157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1,272,200.00</w:t>
            </w:r>
          </w:p>
        </w:tc>
        <w:tc>
          <w:tcPr>
            <w:tcW w:w="154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1,272,200.00</w:t>
            </w:r>
          </w:p>
        </w:tc>
        <w:tc>
          <w:tcPr>
            <w:tcW w:w="120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无法收回</w:t>
            </w:r>
          </w:p>
        </w:tc>
      </w:tr>
      <w:tr w:rsidR="00157EA0" w:rsidTr="00F87C44">
        <w:trPr>
          <w:trHeight w:val="240"/>
        </w:trPr>
        <w:tc>
          <w:tcPr>
            <w:tcW w:w="81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K公司</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1,235,000.00</w:t>
            </w: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1,235,000.00</w:t>
            </w:r>
          </w:p>
        </w:tc>
        <w:tc>
          <w:tcPr>
            <w:tcW w:w="157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1,235,000.00</w:t>
            </w:r>
          </w:p>
        </w:tc>
        <w:tc>
          <w:tcPr>
            <w:tcW w:w="154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1,235,000.00</w:t>
            </w:r>
          </w:p>
        </w:tc>
        <w:tc>
          <w:tcPr>
            <w:tcW w:w="120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无法收回</w:t>
            </w:r>
          </w:p>
        </w:tc>
      </w:tr>
      <w:tr w:rsidR="00157EA0" w:rsidTr="00F87C44">
        <w:trPr>
          <w:trHeight w:val="240"/>
        </w:trPr>
        <w:tc>
          <w:tcPr>
            <w:tcW w:w="81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L公司</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1,145,086.00</w:t>
            </w: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1,145,086.00</w:t>
            </w:r>
          </w:p>
        </w:tc>
        <w:tc>
          <w:tcPr>
            <w:tcW w:w="157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1,145,086.00</w:t>
            </w:r>
          </w:p>
        </w:tc>
        <w:tc>
          <w:tcPr>
            <w:tcW w:w="154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1,145,086.00</w:t>
            </w:r>
          </w:p>
        </w:tc>
        <w:tc>
          <w:tcPr>
            <w:tcW w:w="120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无法收回</w:t>
            </w:r>
          </w:p>
        </w:tc>
      </w:tr>
      <w:tr w:rsidR="00157EA0" w:rsidTr="00F87C44">
        <w:trPr>
          <w:trHeight w:val="240"/>
        </w:trPr>
        <w:tc>
          <w:tcPr>
            <w:tcW w:w="81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M公司</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1,133,000.00</w:t>
            </w: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1,133,000.00</w:t>
            </w:r>
          </w:p>
        </w:tc>
        <w:tc>
          <w:tcPr>
            <w:tcW w:w="157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1,133,000.00</w:t>
            </w:r>
          </w:p>
        </w:tc>
        <w:tc>
          <w:tcPr>
            <w:tcW w:w="154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1,133,000.00</w:t>
            </w:r>
          </w:p>
        </w:tc>
        <w:tc>
          <w:tcPr>
            <w:tcW w:w="120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无法收回</w:t>
            </w:r>
          </w:p>
        </w:tc>
      </w:tr>
      <w:tr w:rsidR="00157EA0" w:rsidTr="00F87C44">
        <w:trPr>
          <w:trHeight w:val="240"/>
        </w:trPr>
        <w:tc>
          <w:tcPr>
            <w:tcW w:w="81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N公司</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1,084,233.35</w:t>
            </w: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1,084,233.35</w:t>
            </w:r>
          </w:p>
        </w:tc>
        <w:tc>
          <w:tcPr>
            <w:tcW w:w="157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1,084,233.35</w:t>
            </w:r>
          </w:p>
        </w:tc>
        <w:tc>
          <w:tcPr>
            <w:tcW w:w="154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1,084,233.35</w:t>
            </w:r>
          </w:p>
        </w:tc>
        <w:tc>
          <w:tcPr>
            <w:tcW w:w="120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无法收回</w:t>
            </w:r>
          </w:p>
        </w:tc>
      </w:tr>
      <w:tr w:rsidR="00157EA0" w:rsidTr="00F87C44">
        <w:trPr>
          <w:trHeight w:val="240"/>
        </w:trPr>
        <w:tc>
          <w:tcPr>
            <w:tcW w:w="81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147,775,666.53</w:t>
            </w: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147,775,666.53</w:t>
            </w:r>
          </w:p>
        </w:tc>
        <w:tc>
          <w:tcPr>
            <w:tcW w:w="157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147,775,666.53</w:t>
            </w:r>
          </w:p>
        </w:tc>
        <w:tc>
          <w:tcPr>
            <w:tcW w:w="154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147,775,666.53</w:t>
            </w:r>
          </w:p>
        </w:tc>
        <w:tc>
          <w:tcPr>
            <w:tcW w:w="120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bl>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按组合计提坏账准备：</w:t>
      </w:r>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2409"/>
        <w:gridCol w:w="2410"/>
        <w:gridCol w:w="2410"/>
        <w:gridCol w:w="2410"/>
      </w:tblGrid>
      <w:tr w:rsidR="00157EA0">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157EA0">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r>
      <w:tr w:rsidR="00157EA0">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1年以内</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848,010,893.05</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16,960,217.86</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2.00%</w:t>
            </w:r>
          </w:p>
        </w:tc>
      </w:tr>
      <w:tr w:rsidR="00157EA0">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1至2年</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125,532,192.92</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6,276,609.64</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5.00%</w:t>
            </w:r>
          </w:p>
        </w:tc>
      </w:tr>
      <w:tr w:rsidR="00157EA0">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2至3年</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82,845,673.54</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8,284,567.36</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w:t>
            </w:r>
          </w:p>
        </w:tc>
      </w:tr>
      <w:tr w:rsidR="00157EA0">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3至4年</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57,316,662.79</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28,658,331.42</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50.00%</w:t>
            </w:r>
          </w:p>
        </w:tc>
      </w:tr>
      <w:tr w:rsidR="00157EA0">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4至5年</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22,397,831.03</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17,918,264.83</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80.00%</w:t>
            </w:r>
          </w:p>
        </w:tc>
      </w:tr>
      <w:tr w:rsidR="00157EA0">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5年以上</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113,646,609.51</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113,646,609.51</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w:t>
            </w:r>
          </w:p>
        </w:tc>
      </w:tr>
      <w:tr w:rsidR="00157EA0">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1,249,749,862.84</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191,744,600.62</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bl>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确定该组合依据的说明：</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如是按照预期信用损失一般模型计提应收账款坏账准备：</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keepNext/>
        <w:keepLines/>
        <w:spacing w:before="300" w:after="300" w:line="280" w:lineRule="exact"/>
        <w:outlineLvl w:val="3"/>
        <w:rPr>
          <w:rFonts w:ascii="宋体" w:eastAsia="宋体" w:hAnsi="宋体" w:cs="宋体"/>
          <w:b/>
          <w:bCs/>
          <w:szCs w:val="21"/>
        </w:rPr>
      </w:pPr>
      <w:bookmarkStart w:id="239" w:name="_Toc989127"/>
      <w:r>
        <w:rPr>
          <w:rFonts w:ascii="宋体" w:eastAsia="宋体" w:hAnsi="宋体" w:cs="宋体"/>
          <w:b/>
          <w:bCs/>
          <w:szCs w:val="21"/>
        </w:rPr>
        <w:t>（3） 本期计提、收回或转回的坏账准备情况</w:t>
      </w:r>
      <w:bookmarkEnd w:id="239"/>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本期计提坏账准备情况：</w:t>
      </w:r>
    </w:p>
    <w:p w:rsidR="00BA0365" w:rsidRDefault="008D4B2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1668"/>
        <w:gridCol w:w="1559"/>
        <w:gridCol w:w="1559"/>
        <w:gridCol w:w="1134"/>
        <w:gridCol w:w="1418"/>
        <w:gridCol w:w="708"/>
        <w:gridCol w:w="1593"/>
      </w:tblGrid>
      <w:tr w:rsidR="00157EA0" w:rsidTr="00F87C44">
        <w:trPr>
          <w:trHeight w:val="240"/>
        </w:trPr>
        <w:tc>
          <w:tcPr>
            <w:tcW w:w="166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155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4819"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本期变动金额</w:t>
            </w:r>
          </w:p>
        </w:tc>
        <w:tc>
          <w:tcPr>
            <w:tcW w:w="159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157EA0" w:rsidTr="00F87C44">
        <w:trPr>
          <w:trHeight w:val="240"/>
        </w:trPr>
        <w:tc>
          <w:tcPr>
            <w:tcW w:w="166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559"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收回或转回</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核销</w:t>
            </w:r>
          </w:p>
        </w:tc>
        <w:tc>
          <w:tcPr>
            <w:tcW w:w="70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59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r w:rsidR="00157EA0" w:rsidTr="00F87C44">
        <w:trPr>
          <w:trHeight w:val="240"/>
        </w:trPr>
        <w:tc>
          <w:tcPr>
            <w:tcW w:w="166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应收账款坏账准备</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362,380,319.85</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-16,073,703.80</w:t>
            </w:r>
          </w:p>
        </w:tc>
        <w:tc>
          <w:tcPr>
            <w:tcW w:w="1134"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3,906,674.36</w:t>
            </w:r>
          </w:p>
        </w:tc>
        <w:tc>
          <w:tcPr>
            <w:tcW w:w="70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342,399,941.69</w:t>
            </w:r>
          </w:p>
        </w:tc>
      </w:tr>
      <w:tr w:rsidR="00157EA0" w:rsidTr="00F87C44">
        <w:trPr>
          <w:trHeight w:val="240"/>
        </w:trPr>
        <w:tc>
          <w:tcPr>
            <w:tcW w:w="166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362,380,319.85</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-16,073,703.80</w:t>
            </w:r>
          </w:p>
        </w:tc>
        <w:tc>
          <w:tcPr>
            <w:tcW w:w="1134"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3,906,674.36</w:t>
            </w:r>
          </w:p>
        </w:tc>
        <w:tc>
          <w:tcPr>
            <w:tcW w:w="70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342,399,941.69</w:t>
            </w:r>
          </w:p>
        </w:tc>
      </w:tr>
    </w:tbl>
    <w:p w:rsidR="00BA0365" w:rsidRDefault="008D4B2E" w:rsidP="00F87C44">
      <w:pPr>
        <w:spacing w:before="100" w:after="100" w:line="240" w:lineRule="exact"/>
      </w:pPr>
      <w:r>
        <w:rPr>
          <w:rFonts w:ascii="宋体" w:eastAsia="宋体" w:hAnsi="宋体" w:cs="宋体"/>
          <w:sz w:val="18"/>
          <w:szCs w:val="18"/>
        </w:rPr>
        <w:t>其中本期坏账准备收回或转回金额重要的：</w:t>
      </w:r>
      <w:r w:rsidR="00F87C44">
        <w:rPr>
          <w:rFonts w:ascii="宋体" w:eastAsia="宋体" w:hAnsi="宋体" w:cs="宋体"/>
          <w:sz w:val="18"/>
          <w:szCs w:val="18"/>
        </w:rPr>
        <w:t>无</w:t>
      </w:r>
      <w:r w:rsidR="00F87C44">
        <w:t xml:space="preserve"> </w:t>
      </w:r>
    </w:p>
    <w:p w:rsidR="00BA0365" w:rsidRDefault="008D4B2E">
      <w:pPr>
        <w:keepNext/>
        <w:keepLines/>
        <w:spacing w:before="300" w:after="300" w:line="280" w:lineRule="exact"/>
        <w:outlineLvl w:val="3"/>
        <w:rPr>
          <w:rFonts w:ascii="宋体" w:eastAsia="宋体" w:hAnsi="宋体" w:cs="宋体"/>
          <w:b/>
          <w:bCs/>
          <w:szCs w:val="21"/>
        </w:rPr>
      </w:pPr>
      <w:bookmarkStart w:id="240" w:name="_Toc989128"/>
      <w:r>
        <w:rPr>
          <w:rFonts w:ascii="宋体" w:eastAsia="宋体" w:hAnsi="宋体" w:cs="宋体"/>
          <w:b/>
          <w:bCs/>
          <w:szCs w:val="21"/>
        </w:rPr>
        <w:t>（4） 本期实际核销的应收账款情况</w:t>
      </w:r>
      <w:bookmarkEnd w:id="240"/>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4820"/>
        <w:gridCol w:w="4819"/>
      </w:tblGrid>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核销金额</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实际核销的应收账款</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3,906,674.36</w:t>
            </w:r>
          </w:p>
        </w:tc>
      </w:tr>
    </w:tbl>
    <w:p w:rsidR="00F220E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其中重要的应收账款核销情况：</w:t>
      </w:r>
      <w:r w:rsidR="00F220E5">
        <w:rPr>
          <w:rFonts w:ascii="宋体" w:eastAsia="宋体" w:hAnsi="宋体" w:cs="宋体" w:hint="eastAsia"/>
          <w:sz w:val="18"/>
          <w:szCs w:val="18"/>
        </w:rPr>
        <w:t>无</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应收账款核销说明：</w:t>
      </w:r>
      <w:r w:rsidR="00F220E5">
        <w:rPr>
          <w:rFonts w:ascii="宋体" w:eastAsia="宋体" w:hAnsi="宋体" w:cs="宋体"/>
          <w:sz w:val="18"/>
          <w:szCs w:val="18"/>
        </w:rPr>
        <w:t>无</w:t>
      </w:r>
    </w:p>
    <w:p w:rsidR="00BA0365" w:rsidRDefault="008D4B2E">
      <w:pPr>
        <w:keepNext/>
        <w:keepLines/>
        <w:spacing w:before="300" w:after="300" w:line="280" w:lineRule="exact"/>
        <w:outlineLvl w:val="3"/>
        <w:rPr>
          <w:rFonts w:ascii="宋体" w:eastAsia="宋体" w:hAnsi="宋体" w:cs="宋体"/>
          <w:b/>
          <w:bCs/>
          <w:szCs w:val="21"/>
        </w:rPr>
      </w:pPr>
      <w:bookmarkStart w:id="241" w:name="_Toc989129"/>
      <w:r>
        <w:rPr>
          <w:rFonts w:ascii="宋体" w:eastAsia="宋体" w:hAnsi="宋体" w:cs="宋体"/>
          <w:b/>
          <w:bCs/>
          <w:szCs w:val="21"/>
        </w:rPr>
        <w:t>（5） 按欠款方归集的期末余额前五名的应收账款和合同资产情况</w:t>
      </w:r>
      <w:bookmarkEnd w:id="241"/>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1606"/>
        <w:gridCol w:w="1606"/>
        <w:gridCol w:w="1606"/>
        <w:gridCol w:w="1607"/>
        <w:gridCol w:w="1607"/>
        <w:gridCol w:w="1607"/>
      </w:tblGrid>
      <w:tr w:rsidR="00157EA0">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应收账款期末余额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合同资产期末余额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应收账款和合同资产期末余额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占应收账款和合同资产期末余额合计数的比例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应收账款坏账准备和合同资产减值准备期末余额</w:t>
            </w:r>
          </w:p>
        </w:tc>
      </w:tr>
      <w:tr w:rsidR="00157EA0">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A公司</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388,976,953.84</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388,976,953.84</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25.79%</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17,860,590.53</w:t>
            </w:r>
          </w:p>
        </w:tc>
      </w:tr>
      <w:tr w:rsidR="00157EA0">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B公司</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102,280,641.11</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102,280,641.11</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6.78%</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2,764,277.32</w:t>
            </w:r>
          </w:p>
        </w:tc>
      </w:tr>
      <w:tr w:rsidR="00157EA0">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C公司</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101,782,703.41</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101,782,703.41</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6.75%</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2,035,654.07</w:t>
            </w:r>
          </w:p>
        </w:tc>
      </w:tr>
      <w:tr w:rsidR="00157EA0">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D公司</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64,116,000.00</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64,116,000.00</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4.25%</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64,116,000.00</w:t>
            </w:r>
          </w:p>
        </w:tc>
      </w:tr>
      <w:tr w:rsidR="00157EA0">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E公司</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60,534,294.22</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60,534,294.22</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4.01%</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1,242,829.86</w:t>
            </w:r>
          </w:p>
        </w:tc>
      </w:tr>
      <w:tr w:rsidR="00157EA0">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717,690,592.58</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717,690,592.58</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47.58%</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88,019,351.78</w:t>
            </w:r>
          </w:p>
        </w:tc>
      </w:tr>
    </w:tbl>
    <w:p w:rsidR="00BA0365" w:rsidRDefault="008D4B2E">
      <w:pPr>
        <w:pStyle w:val="3"/>
        <w:spacing w:line="280" w:lineRule="exact"/>
        <w:jc w:val="left"/>
        <w:rPr>
          <w:rFonts w:ascii="宋体" w:hAnsi="宋体" w:cs="宋体"/>
          <w:b/>
          <w:bCs/>
        </w:rPr>
      </w:pPr>
      <w:bookmarkStart w:id="242" w:name="_Toc989130"/>
      <w:r>
        <w:rPr>
          <w:rFonts w:ascii="宋体" w:hAnsi="宋体" w:cs="宋体"/>
          <w:b/>
          <w:bCs/>
        </w:rPr>
        <w:t>5、应收款项融资</w:t>
      </w:r>
      <w:bookmarkEnd w:id="242"/>
    </w:p>
    <w:p w:rsidR="00BA0365" w:rsidRDefault="008D4B2E">
      <w:pPr>
        <w:keepNext/>
        <w:keepLines/>
        <w:spacing w:before="300" w:after="300" w:line="280" w:lineRule="exact"/>
        <w:outlineLvl w:val="3"/>
        <w:rPr>
          <w:rFonts w:ascii="宋体" w:eastAsia="宋体" w:hAnsi="宋体" w:cs="宋体"/>
          <w:b/>
          <w:bCs/>
          <w:szCs w:val="21"/>
        </w:rPr>
      </w:pPr>
      <w:bookmarkStart w:id="243" w:name="_Toc989131"/>
      <w:r>
        <w:rPr>
          <w:rFonts w:ascii="宋体" w:eastAsia="宋体" w:hAnsi="宋体" w:cs="宋体"/>
          <w:b/>
          <w:bCs/>
          <w:szCs w:val="21"/>
        </w:rPr>
        <w:t>（1） 应收款项融资分类列示</w:t>
      </w:r>
      <w:bookmarkEnd w:id="243"/>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3213"/>
        <w:gridCol w:w="3213"/>
        <w:gridCol w:w="3213"/>
      </w:tblGrid>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176,770,743.91</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529,018,313.90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176,770,743.91</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529,018,313.90</w:t>
            </w:r>
          </w:p>
        </w:tc>
      </w:tr>
    </w:tbl>
    <w:p w:rsidR="00BA0365" w:rsidRDefault="008D4B2E">
      <w:pPr>
        <w:keepNext/>
        <w:keepLines/>
        <w:spacing w:before="300" w:after="300" w:line="280" w:lineRule="exact"/>
        <w:outlineLvl w:val="3"/>
        <w:rPr>
          <w:rFonts w:ascii="宋体" w:eastAsia="宋体" w:hAnsi="宋体" w:cs="宋体"/>
          <w:b/>
          <w:bCs/>
          <w:szCs w:val="21"/>
        </w:rPr>
      </w:pPr>
      <w:bookmarkStart w:id="244" w:name="_Toc989132"/>
      <w:r>
        <w:rPr>
          <w:rFonts w:ascii="宋体" w:eastAsia="宋体" w:hAnsi="宋体" w:cs="宋体"/>
          <w:b/>
          <w:bCs/>
          <w:szCs w:val="21"/>
        </w:rPr>
        <w:t>（2） 期末公司已背书或贴现且在资产负债表日尚未到期的应收款项融资</w:t>
      </w:r>
      <w:bookmarkEnd w:id="244"/>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3213"/>
        <w:gridCol w:w="3213"/>
        <w:gridCol w:w="3213"/>
      </w:tblGrid>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期末终止确认金额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期末未终止确认金额</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银行承兑汇票</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687,059,486.39</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商业承兑汇票</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687,059,486.39</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bl>
    <w:p w:rsidR="00BA0365" w:rsidRDefault="008D4B2E">
      <w:pPr>
        <w:pStyle w:val="3"/>
        <w:spacing w:line="280" w:lineRule="exact"/>
        <w:jc w:val="left"/>
        <w:rPr>
          <w:rFonts w:ascii="宋体" w:hAnsi="宋体" w:cs="宋体"/>
          <w:b/>
          <w:bCs/>
        </w:rPr>
      </w:pPr>
      <w:bookmarkStart w:id="245" w:name="_Toc989135"/>
      <w:r>
        <w:rPr>
          <w:rFonts w:ascii="宋体" w:hAnsi="宋体" w:cs="宋体"/>
          <w:b/>
          <w:bCs/>
        </w:rPr>
        <w:t>6、其他应收款</w:t>
      </w:r>
      <w:bookmarkEnd w:id="245"/>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3213"/>
        <w:gridCol w:w="3213"/>
        <w:gridCol w:w="3213"/>
      </w:tblGrid>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1,200,000.00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45,788,981.72</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97,544,337.28</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45,788,981.72</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98,744,337.28</w:t>
            </w:r>
          </w:p>
        </w:tc>
      </w:tr>
    </w:tbl>
    <w:p w:rsidR="00BA0365" w:rsidRDefault="008D4B2E">
      <w:pPr>
        <w:keepNext/>
        <w:keepLines/>
        <w:spacing w:before="300" w:after="300" w:line="280" w:lineRule="exact"/>
        <w:outlineLvl w:val="3"/>
        <w:rPr>
          <w:rFonts w:ascii="宋体" w:eastAsia="宋体" w:hAnsi="宋体" w:cs="宋体"/>
          <w:b/>
          <w:bCs/>
          <w:szCs w:val="21"/>
        </w:rPr>
      </w:pPr>
      <w:bookmarkStart w:id="246" w:name="_Toc989136"/>
      <w:r>
        <w:rPr>
          <w:rFonts w:ascii="宋体" w:eastAsia="宋体" w:hAnsi="宋体" w:cs="宋体"/>
          <w:b/>
          <w:bCs/>
          <w:szCs w:val="21"/>
        </w:rPr>
        <w:t>（1） 应收股利</w:t>
      </w:r>
      <w:bookmarkEnd w:id="246"/>
    </w:p>
    <w:p w:rsidR="00BA0365" w:rsidRDefault="008D4B2E">
      <w:pPr>
        <w:keepNext/>
        <w:keepLines/>
        <w:spacing w:before="300" w:after="300" w:line="280" w:lineRule="exact"/>
        <w:outlineLvl w:val="4"/>
        <w:rPr>
          <w:rFonts w:ascii="宋体" w:eastAsia="宋体" w:hAnsi="宋体" w:cs="宋体"/>
          <w:b/>
          <w:bCs/>
          <w:szCs w:val="21"/>
        </w:rPr>
      </w:pPr>
      <w:bookmarkStart w:id="247" w:name="_Toc989137"/>
      <w:r>
        <w:rPr>
          <w:rFonts w:ascii="宋体" w:eastAsia="宋体" w:hAnsi="宋体" w:cs="宋体"/>
          <w:b/>
          <w:bCs/>
          <w:szCs w:val="21"/>
        </w:rPr>
        <w:t>1） 应收股利分类</w:t>
      </w:r>
      <w:bookmarkEnd w:id="247"/>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3213"/>
        <w:gridCol w:w="3213"/>
        <w:gridCol w:w="3213"/>
      </w:tblGrid>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项目（或被投资单位）</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四川凯力威科技股份有限公司</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1,200,000.00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1,200,000.00</w:t>
            </w:r>
          </w:p>
        </w:tc>
      </w:tr>
    </w:tbl>
    <w:p w:rsidR="00BA0365" w:rsidRDefault="008D4B2E">
      <w:pPr>
        <w:keepNext/>
        <w:keepLines/>
        <w:spacing w:before="300" w:after="300" w:line="280" w:lineRule="exact"/>
        <w:outlineLvl w:val="3"/>
        <w:rPr>
          <w:rFonts w:ascii="宋体" w:eastAsia="宋体" w:hAnsi="宋体" w:cs="宋体"/>
          <w:b/>
          <w:bCs/>
          <w:szCs w:val="21"/>
        </w:rPr>
      </w:pPr>
      <w:bookmarkStart w:id="248" w:name="_Toc989138"/>
      <w:r>
        <w:rPr>
          <w:rFonts w:ascii="宋体" w:eastAsia="宋体" w:hAnsi="宋体" w:cs="宋体"/>
          <w:b/>
          <w:bCs/>
          <w:szCs w:val="21"/>
        </w:rPr>
        <w:lastRenderedPageBreak/>
        <w:t>（2） 其他应收款</w:t>
      </w:r>
      <w:bookmarkEnd w:id="248"/>
    </w:p>
    <w:p w:rsidR="00BA0365" w:rsidRDefault="008D4B2E">
      <w:pPr>
        <w:keepNext/>
        <w:keepLines/>
        <w:spacing w:before="300" w:after="300" w:line="280" w:lineRule="exact"/>
        <w:outlineLvl w:val="4"/>
        <w:rPr>
          <w:rFonts w:ascii="宋体" w:eastAsia="宋体" w:hAnsi="宋体" w:cs="宋体"/>
          <w:b/>
          <w:bCs/>
          <w:szCs w:val="21"/>
        </w:rPr>
      </w:pPr>
      <w:bookmarkStart w:id="249" w:name="_Toc989139"/>
      <w:r>
        <w:rPr>
          <w:rFonts w:ascii="宋体" w:eastAsia="宋体" w:hAnsi="宋体" w:cs="宋体"/>
          <w:b/>
          <w:bCs/>
          <w:szCs w:val="21"/>
        </w:rPr>
        <w:t>1） 其他应收款按款项性质分类情况</w:t>
      </w:r>
      <w:bookmarkEnd w:id="249"/>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3213"/>
        <w:gridCol w:w="3213"/>
        <w:gridCol w:w="3213"/>
      </w:tblGrid>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款项性质</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期初账面余额</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单位往来</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324,134,332.27</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372,274,536.49</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保证金、押金及备用金</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47,496,644.23</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49,486,912.92</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17,519,248.64</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26,724,969.35</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389,150,225.14</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448,486,418.76</w:t>
            </w:r>
          </w:p>
        </w:tc>
      </w:tr>
    </w:tbl>
    <w:p w:rsidR="00BA0365" w:rsidRDefault="008D4B2E">
      <w:pPr>
        <w:keepNext/>
        <w:keepLines/>
        <w:spacing w:before="300" w:after="300" w:line="280" w:lineRule="exact"/>
        <w:outlineLvl w:val="4"/>
        <w:rPr>
          <w:rFonts w:ascii="宋体" w:eastAsia="宋体" w:hAnsi="宋体" w:cs="宋体"/>
          <w:b/>
          <w:bCs/>
          <w:szCs w:val="21"/>
        </w:rPr>
      </w:pPr>
      <w:bookmarkStart w:id="250" w:name="_Toc989140"/>
      <w:r>
        <w:rPr>
          <w:rFonts w:ascii="宋体" w:eastAsia="宋体" w:hAnsi="宋体" w:cs="宋体"/>
          <w:b/>
          <w:bCs/>
          <w:szCs w:val="21"/>
        </w:rPr>
        <w:t xml:space="preserve">2） </w:t>
      </w:r>
      <w:proofErr w:type="gramStart"/>
      <w:r>
        <w:rPr>
          <w:rFonts w:ascii="宋体" w:eastAsia="宋体" w:hAnsi="宋体" w:cs="宋体"/>
          <w:b/>
          <w:bCs/>
          <w:szCs w:val="21"/>
        </w:rPr>
        <w:t>按账龄</w:t>
      </w:r>
      <w:proofErr w:type="gramEnd"/>
      <w:r>
        <w:rPr>
          <w:rFonts w:ascii="宋体" w:eastAsia="宋体" w:hAnsi="宋体" w:cs="宋体"/>
          <w:b/>
          <w:bCs/>
          <w:szCs w:val="21"/>
        </w:rPr>
        <w:t>披露</w:t>
      </w:r>
      <w:bookmarkEnd w:id="250"/>
    </w:p>
    <w:p w:rsidR="00BA0365" w:rsidRDefault="008D4B2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3213"/>
        <w:gridCol w:w="3213"/>
        <w:gridCol w:w="3213"/>
      </w:tblGrid>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期初账面余额</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1年以内（含1年）</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48,392,557.52</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126,029,567.92</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1至2年</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43,914,938.95</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12,378,925.81</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2至3年</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3,045,270.95</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4,055,576.56</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3年以上</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293,797,457.72</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306,022,348.47</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3至4年</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3,600,204.72</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47,897,937.71</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4至5年</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46,175,788.57</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3,421,822.48</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5年以上</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244,021,464.43</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254,702,588.28</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389,150,225.14</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448,486,418.76</w:t>
            </w:r>
          </w:p>
        </w:tc>
      </w:tr>
    </w:tbl>
    <w:p w:rsidR="00BA0365" w:rsidRDefault="008D4B2E">
      <w:pPr>
        <w:keepNext/>
        <w:keepLines/>
        <w:spacing w:before="300" w:after="300" w:line="280" w:lineRule="exact"/>
        <w:outlineLvl w:val="4"/>
        <w:rPr>
          <w:rFonts w:ascii="宋体" w:eastAsia="宋体" w:hAnsi="宋体" w:cs="宋体"/>
          <w:b/>
          <w:bCs/>
          <w:szCs w:val="21"/>
        </w:rPr>
      </w:pPr>
      <w:bookmarkStart w:id="251" w:name="_Toc989141"/>
      <w:r>
        <w:rPr>
          <w:rFonts w:ascii="宋体" w:eastAsia="宋体" w:hAnsi="宋体" w:cs="宋体"/>
          <w:b/>
          <w:bCs/>
          <w:szCs w:val="21"/>
        </w:rPr>
        <w:t>3） 按坏账计提方法分类披露</w:t>
      </w:r>
      <w:bookmarkEnd w:id="251"/>
    </w:p>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keepNext/>
        <w:keepLines/>
        <w:spacing w:before="300" w:after="300" w:line="280" w:lineRule="exact"/>
        <w:outlineLvl w:val="4"/>
        <w:rPr>
          <w:rFonts w:ascii="宋体" w:eastAsia="宋体" w:hAnsi="宋体" w:cs="宋体"/>
          <w:b/>
          <w:bCs/>
          <w:szCs w:val="21"/>
        </w:rPr>
      </w:pPr>
      <w:bookmarkStart w:id="252" w:name="_Toc989142"/>
      <w:r>
        <w:rPr>
          <w:rFonts w:ascii="宋体" w:eastAsia="宋体" w:hAnsi="宋体" w:cs="宋体"/>
          <w:b/>
          <w:bCs/>
          <w:szCs w:val="21"/>
        </w:rPr>
        <w:t>4） 本期计提、收回或转回的坏账准备情况</w:t>
      </w:r>
      <w:bookmarkEnd w:id="252"/>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本期计提坏账准备情况：</w:t>
      </w:r>
    </w:p>
    <w:p w:rsidR="00BA0365" w:rsidRDefault="008D4B2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1377"/>
        <w:gridCol w:w="1377"/>
        <w:gridCol w:w="1377"/>
        <w:gridCol w:w="1377"/>
        <w:gridCol w:w="1377"/>
        <w:gridCol w:w="1377"/>
        <w:gridCol w:w="1377"/>
      </w:tblGrid>
      <w:tr w:rsidR="00157EA0">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157EA0">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转销或核销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r w:rsidR="00157EA0">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350,942,081.48</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-7,480,838.06</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100,000.00</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343,361,243.42</w:t>
            </w:r>
          </w:p>
        </w:tc>
      </w:tr>
      <w:tr w:rsidR="00157EA0">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350,942,081.48</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-7,480,838.06</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100,000.00</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343,361,243.42</w:t>
            </w:r>
          </w:p>
        </w:tc>
      </w:tr>
    </w:tbl>
    <w:p w:rsidR="00BA0365" w:rsidRDefault="008D4B2E">
      <w:pPr>
        <w:keepNext/>
        <w:keepLines/>
        <w:spacing w:before="300" w:after="300" w:line="280" w:lineRule="exact"/>
        <w:outlineLvl w:val="4"/>
        <w:rPr>
          <w:rFonts w:ascii="宋体" w:eastAsia="宋体" w:hAnsi="宋体" w:cs="宋体"/>
          <w:b/>
          <w:bCs/>
          <w:szCs w:val="21"/>
        </w:rPr>
      </w:pPr>
      <w:bookmarkStart w:id="253" w:name="_Toc989143"/>
      <w:r>
        <w:rPr>
          <w:rFonts w:ascii="宋体" w:eastAsia="宋体" w:hAnsi="宋体" w:cs="宋体"/>
          <w:b/>
          <w:bCs/>
          <w:szCs w:val="21"/>
        </w:rPr>
        <w:t>5） 本期实际核销的其他应收款情况</w:t>
      </w:r>
      <w:bookmarkEnd w:id="253"/>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4820"/>
        <w:gridCol w:w="4819"/>
      </w:tblGrid>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核销金额</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实际核销的其他应收款</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100,000.00</w:t>
            </w:r>
          </w:p>
        </w:tc>
      </w:tr>
    </w:tbl>
    <w:p w:rsidR="00F220E5" w:rsidRDefault="008D4B2E">
      <w:pPr>
        <w:keepNext/>
        <w:keepLines/>
        <w:spacing w:before="300" w:after="300" w:line="280" w:lineRule="exact"/>
        <w:outlineLvl w:val="4"/>
        <w:rPr>
          <w:rFonts w:ascii="宋体" w:eastAsia="宋体" w:hAnsi="宋体" w:cs="宋体"/>
          <w:sz w:val="18"/>
          <w:szCs w:val="18"/>
        </w:rPr>
      </w:pPr>
      <w:r>
        <w:rPr>
          <w:rFonts w:ascii="宋体" w:eastAsia="宋体" w:hAnsi="宋体" w:cs="宋体"/>
          <w:sz w:val="18"/>
          <w:szCs w:val="18"/>
        </w:rPr>
        <w:lastRenderedPageBreak/>
        <w:t>其中重要的其他应收款核销情况：</w:t>
      </w:r>
      <w:bookmarkStart w:id="254" w:name="_Toc989144"/>
      <w:r w:rsidR="00F220E5">
        <w:rPr>
          <w:rFonts w:ascii="宋体" w:eastAsia="宋体" w:hAnsi="宋体" w:cs="宋体" w:hint="eastAsia"/>
          <w:sz w:val="18"/>
          <w:szCs w:val="18"/>
        </w:rPr>
        <w:t>无</w:t>
      </w:r>
    </w:p>
    <w:p w:rsidR="00BA0365" w:rsidRDefault="00F220E5">
      <w:pPr>
        <w:keepNext/>
        <w:keepLines/>
        <w:spacing w:before="300" w:after="300" w:line="280" w:lineRule="exact"/>
        <w:outlineLvl w:val="4"/>
        <w:rPr>
          <w:rFonts w:ascii="宋体" w:eastAsia="宋体" w:hAnsi="宋体" w:cs="宋体"/>
          <w:b/>
          <w:bCs/>
          <w:szCs w:val="21"/>
        </w:rPr>
      </w:pPr>
      <w:r>
        <w:rPr>
          <w:rFonts w:ascii="宋体" w:eastAsia="宋体" w:hAnsi="宋体" w:cs="宋体"/>
          <w:b/>
          <w:bCs/>
          <w:szCs w:val="21"/>
        </w:rPr>
        <w:t>6） 按欠款方归集的期末余额前五名的其他应收款情况</w:t>
      </w:r>
      <w:bookmarkEnd w:id="254"/>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1606"/>
        <w:gridCol w:w="1606"/>
        <w:gridCol w:w="1606"/>
        <w:gridCol w:w="1607"/>
        <w:gridCol w:w="1607"/>
        <w:gridCol w:w="1607"/>
      </w:tblGrid>
      <w:tr w:rsidR="00157EA0">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款项的性质</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占其他应收款期末余额合计数的比例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坏账准备期末余额</w:t>
            </w:r>
          </w:p>
        </w:tc>
      </w:tr>
      <w:tr w:rsidR="00157EA0">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A公司</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单位往来</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229,790,604.64</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5年以上</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59.05%</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229,790,604.64</w:t>
            </w:r>
          </w:p>
        </w:tc>
      </w:tr>
      <w:tr w:rsidR="00157EA0">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B公司</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单位往来</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38,246,580.00</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4-5年</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9.83%</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38,246,580.00</w:t>
            </w:r>
          </w:p>
        </w:tc>
      </w:tr>
      <w:tr w:rsidR="00157EA0">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C公司</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单位往来</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23,175,000.00</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1-2年</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5.96%</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23,175,000.00</w:t>
            </w:r>
          </w:p>
        </w:tc>
      </w:tr>
      <w:tr w:rsidR="00157EA0">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D公司</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单位往来</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8,402,284.50</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1年以内</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2.16%</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3,388,839.34</w:t>
            </w:r>
          </w:p>
        </w:tc>
      </w:tr>
      <w:tr w:rsidR="00157EA0">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E公司</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单位往来</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5,968,488.83</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4-5年</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1.53%</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5,968,488.83</w:t>
            </w:r>
          </w:p>
        </w:tc>
      </w:tr>
      <w:tr w:rsidR="00157EA0">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305,582,957.97</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78.53%</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300,569,512.81</w:t>
            </w:r>
          </w:p>
        </w:tc>
      </w:tr>
    </w:tbl>
    <w:p w:rsidR="00BA0365" w:rsidRDefault="008D4B2E">
      <w:pPr>
        <w:pStyle w:val="3"/>
        <w:spacing w:line="280" w:lineRule="exact"/>
        <w:jc w:val="left"/>
        <w:rPr>
          <w:rFonts w:ascii="宋体" w:hAnsi="宋体" w:cs="宋体"/>
          <w:b/>
          <w:bCs/>
        </w:rPr>
      </w:pPr>
      <w:bookmarkStart w:id="255" w:name="_Toc989145"/>
      <w:r>
        <w:rPr>
          <w:rFonts w:ascii="宋体" w:hAnsi="宋体" w:cs="宋体"/>
          <w:b/>
          <w:bCs/>
        </w:rPr>
        <w:t>7、预付款项</w:t>
      </w:r>
      <w:bookmarkEnd w:id="255"/>
    </w:p>
    <w:p w:rsidR="00BA0365" w:rsidRDefault="008D4B2E">
      <w:pPr>
        <w:keepNext/>
        <w:keepLines/>
        <w:spacing w:before="300" w:after="300" w:line="280" w:lineRule="exact"/>
        <w:outlineLvl w:val="3"/>
        <w:rPr>
          <w:rFonts w:ascii="宋体" w:eastAsia="宋体" w:hAnsi="宋体" w:cs="宋体"/>
          <w:b/>
          <w:bCs/>
          <w:szCs w:val="21"/>
        </w:rPr>
      </w:pPr>
      <w:bookmarkStart w:id="256" w:name="_Toc989146"/>
      <w:r>
        <w:rPr>
          <w:rFonts w:ascii="宋体" w:eastAsia="宋体" w:hAnsi="宋体" w:cs="宋体"/>
          <w:b/>
          <w:bCs/>
          <w:szCs w:val="21"/>
        </w:rPr>
        <w:t>（1） 预付</w:t>
      </w:r>
      <w:proofErr w:type="gramStart"/>
      <w:r>
        <w:rPr>
          <w:rFonts w:ascii="宋体" w:eastAsia="宋体" w:hAnsi="宋体" w:cs="宋体"/>
          <w:b/>
          <w:bCs/>
          <w:szCs w:val="21"/>
        </w:rPr>
        <w:t>款项按账龄</w:t>
      </w:r>
      <w:proofErr w:type="gramEnd"/>
      <w:r>
        <w:rPr>
          <w:rFonts w:ascii="宋体" w:eastAsia="宋体" w:hAnsi="宋体" w:cs="宋体"/>
          <w:b/>
          <w:bCs/>
          <w:szCs w:val="21"/>
        </w:rPr>
        <w:t>列示</w:t>
      </w:r>
      <w:bookmarkEnd w:id="256"/>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1927"/>
        <w:gridCol w:w="1928"/>
        <w:gridCol w:w="1928"/>
        <w:gridCol w:w="1928"/>
        <w:gridCol w:w="1928"/>
      </w:tblGrid>
      <w:tr w:rsidR="00157EA0">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57EA0">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r>
      <w:tr w:rsidR="00157EA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1年以内</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150,508,237.32</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85.38%</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222,727,994.98</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83.28%</w:t>
            </w:r>
          </w:p>
        </w:tc>
      </w:tr>
      <w:tr w:rsidR="00157EA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1至2年</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17,148,751.03</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9.73%</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33,378,573.26</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12.48%</w:t>
            </w:r>
          </w:p>
        </w:tc>
      </w:tr>
      <w:tr w:rsidR="00157EA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2至3年</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1,398,186.26</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0.79%</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3,968,896.97</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1.48%</w:t>
            </w:r>
          </w:p>
        </w:tc>
      </w:tr>
      <w:tr w:rsidR="00157EA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3年以上</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7,229,023.90</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4.10%</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7,384,605.60</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2.76%</w:t>
            </w:r>
          </w:p>
        </w:tc>
      </w:tr>
      <w:tr w:rsidR="00157EA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176,284,198.51</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267,460,070.81</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bl>
    <w:p w:rsidR="00BA0365" w:rsidRDefault="008D4B2E">
      <w:pPr>
        <w:keepNext/>
        <w:keepLines/>
        <w:spacing w:before="300" w:after="300" w:line="280" w:lineRule="exact"/>
        <w:outlineLvl w:val="3"/>
        <w:rPr>
          <w:rFonts w:ascii="宋体" w:eastAsia="宋体" w:hAnsi="宋体" w:cs="宋体"/>
          <w:b/>
          <w:bCs/>
          <w:szCs w:val="21"/>
        </w:rPr>
      </w:pPr>
      <w:bookmarkStart w:id="257" w:name="_Toc989147"/>
      <w:r>
        <w:rPr>
          <w:rFonts w:ascii="宋体" w:eastAsia="宋体" w:hAnsi="宋体" w:cs="宋体"/>
          <w:b/>
          <w:bCs/>
          <w:szCs w:val="21"/>
        </w:rPr>
        <w:t>（2） 按预付对象归集的期末余额前五名的预付款情况</w:t>
      </w:r>
      <w:bookmarkEnd w:id="257"/>
    </w:p>
    <w:tbl>
      <w:tblPr>
        <w:tblW w:w="9606" w:type="dxa"/>
        <w:tblCellMar>
          <w:top w:w="15" w:type="dxa"/>
          <w:left w:w="15" w:type="dxa"/>
          <w:bottom w:w="15" w:type="dxa"/>
          <w:right w:w="15" w:type="dxa"/>
        </w:tblCellMar>
        <w:tblLook w:val="04A0" w:firstRow="1" w:lastRow="0" w:firstColumn="1" w:lastColumn="0" w:noHBand="0" w:noVBand="1"/>
      </w:tblPr>
      <w:tblGrid>
        <w:gridCol w:w="3655"/>
        <w:gridCol w:w="2265"/>
        <w:gridCol w:w="3686"/>
      </w:tblGrid>
      <w:tr w:rsidR="008D4B2E" w:rsidTr="00F220E5">
        <w:trPr>
          <w:divId w:val="1691681757"/>
          <w:trHeight w:val="493"/>
        </w:trPr>
        <w:tc>
          <w:tcPr>
            <w:tcW w:w="3655" w:type="dxa"/>
            <w:tcBorders>
              <w:top w:val="single" w:sz="8" w:space="0" w:color="auto"/>
              <w:left w:val="single" w:sz="8" w:space="0" w:color="auto"/>
              <w:bottom w:val="single" w:sz="8" w:space="0" w:color="auto"/>
              <w:right w:val="single" w:sz="8" w:space="0" w:color="auto"/>
            </w:tcBorders>
            <w:shd w:val="clear" w:color="auto" w:fill="D3D3D3"/>
            <w:noWrap/>
            <w:tcMar>
              <w:top w:w="0" w:type="dxa"/>
              <w:left w:w="108" w:type="dxa"/>
              <w:bottom w:w="0" w:type="dxa"/>
              <w:right w:w="108" w:type="dxa"/>
            </w:tcMar>
            <w:vAlign w:val="center"/>
            <w:hideMark/>
          </w:tcPr>
          <w:p w:rsidR="008D4B2E" w:rsidRPr="00FC6EB6" w:rsidRDefault="008D4B2E" w:rsidP="00FC6EB6">
            <w:pPr>
              <w:spacing w:before="40" w:after="40" w:line="240" w:lineRule="exact"/>
              <w:jc w:val="center"/>
              <w:rPr>
                <w:rFonts w:ascii="宋体" w:eastAsia="宋体" w:hAnsi="宋体" w:cs="宋体"/>
                <w:sz w:val="18"/>
                <w:szCs w:val="18"/>
              </w:rPr>
            </w:pPr>
            <w:r w:rsidRPr="00FC6EB6">
              <w:rPr>
                <w:rFonts w:ascii="宋体" w:eastAsia="宋体" w:hAnsi="宋体" w:cs="宋体" w:hint="eastAsia"/>
                <w:sz w:val="18"/>
                <w:szCs w:val="18"/>
              </w:rPr>
              <w:t>单位名称</w:t>
            </w:r>
          </w:p>
        </w:tc>
        <w:tc>
          <w:tcPr>
            <w:tcW w:w="2265" w:type="dxa"/>
            <w:tcBorders>
              <w:top w:val="single" w:sz="8" w:space="0" w:color="auto"/>
              <w:left w:val="nil"/>
              <w:bottom w:val="single" w:sz="8" w:space="0" w:color="auto"/>
              <w:right w:val="single" w:sz="8" w:space="0" w:color="auto"/>
            </w:tcBorders>
            <w:shd w:val="clear" w:color="auto" w:fill="D3D3D3"/>
            <w:noWrap/>
            <w:tcMar>
              <w:top w:w="0" w:type="dxa"/>
              <w:left w:w="108" w:type="dxa"/>
              <w:bottom w:w="0" w:type="dxa"/>
              <w:right w:w="108" w:type="dxa"/>
            </w:tcMar>
            <w:vAlign w:val="center"/>
            <w:hideMark/>
          </w:tcPr>
          <w:p w:rsidR="008D4B2E" w:rsidRPr="00FC6EB6" w:rsidRDefault="008D4B2E" w:rsidP="00FC6EB6">
            <w:pPr>
              <w:spacing w:before="40" w:after="40" w:line="240" w:lineRule="exact"/>
              <w:jc w:val="center"/>
              <w:rPr>
                <w:rFonts w:ascii="宋体" w:eastAsia="宋体" w:hAnsi="宋体" w:cs="宋体"/>
                <w:sz w:val="18"/>
                <w:szCs w:val="18"/>
              </w:rPr>
            </w:pPr>
            <w:r w:rsidRPr="00FC6EB6">
              <w:rPr>
                <w:rFonts w:ascii="宋体" w:eastAsia="宋体" w:hAnsi="宋体" w:cs="宋体" w:hint="eastAsia"/>
                <w:sz w:val="18"/>
                <w:szCs w:val="18"/>
              </w:rPr>
              <w:t>期末余额</w:t>
            </w:r>
          </w:p>
        </w:tc>
        <w:tc>
          <w:tcPr>
            <w:tcW w:w="3686" w:type="dxa"/>
            <w:tcBorders>
              <w:top w:val="single" w:sz="8" w:space="0" w:color="auto"/>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rsidR="008D4B2E" w:rsidRPr="00FC6EB6" w:rsidRDefault="008D4B2E" w:rsidP="00FC6EB6">
            <w:pPr>
              <w:spacing w:before="40" w:after="40" w:line="240" w:lineRule="exact"/>
              <w:jc w:val="center"/>
              <w:rPr>
                <w:rFonts w:ascii="宋体" w:eastAsia="宋体" w:hAnsi="宋体" w:cs="宋体"/>
                <w:sz w:val="18"/>
                <w:szCs w:val="18"/>
              </w:rPr>
            </w:pPr>
            <w:r w:rsidRPr="00FC6EB6">
              <w:rPr>
                <w:rFonts w:ascii="宋体" w:eastAsia="宋体" w:hAnsi="宋体" w:cs="宋体" w:hint="eastAsia"/>
                <w:sz w:val="18"/>
                <w:szCs w:val="18"/>
              </w:rPr>
              <w:t>占预付账款期末余额合计数的比例（</w:t>
            </w:r>
            <w:r w:rsidRPr="00FC6EB6">
              <w:rPr>
                <w:rFonts w:ascii="宋体" w:eastAsia="宋体" w:hAnsi="宋体" w:cs="宋体"/>
                <w:sz w:val="18"/>
                <w:szCs w:val="18"/>
              </w:rPr>
              <w:t>%</w:t>
            </w:r>
            <w:r w:rsidRPr="00FC6EB6">
              <w:rPr>
                <w:rFonts w:ascii="宋体" w:eastAsia="宋体" w:hAnsi="宋体" w:cs="宋体" w:hint="eastAsia"/>
                <w:sz w:val="18"/>
                <w:szCs w:val="18"/>
              </w:rPr>
              <w:t>）</w:t>
            </w:r>
          </w:p>
        </w:tc>
      </w:tr>
      <w:tr w:rsidR="008D4B2E" w:rsidTr="00F220E5">
        <w:trPr>
          <w:divId w:val="1691681757"/>
          <w:trHeight w:val="343"/>
        </w:trPr>
        <w:tc>
          <w:tcPr>
            <w:tcW w:w="3655" w:type="dxa"/>
            <w:tcBorders>
              <w:top w:val="nil"/>
              <w:left w:val="single" w:sz="8" w:space="0" w:color="auto"/>
              <w:bottom w:val="single" w:sz="8" w:space="0" w:color="auto"/>
              <w:right w:val="single" w:sz="8" w:space="0" w:color="auto"/>
            </w:tcBorders>
            <w:shd w:val="clear" w:color="auto" w:fill="D3D3D3"/>
            <w:noWrap/>
            <w:tcMar>
              <w:top w:w="0" w:type="dxa"/>
              <w:left w:w="108" w:type="dxa"/>
              <w:bottom w:w="0" w:type="dxa"/>
              <w:right w:w="108" w:type="dxa"/>
            </w:tcMar>
            <w:vAlign w:val="center"/>
            <w:hideMark/>
          </w:tcPr>
          <w:p w:rsidR="008D4B2E" w:rsidRPr="00FC6EB6" w:rsidRDefault="008D4B2E" w:rsidP="00FC6EB6">
            <w:pPr>
              <w:spacing w:before="40" w:after="40" w:line="240" w:lineRule="exact"/>
              <w:rPr>
                <w:rFonts w:ascii="宋体" w:eastAsia="宋体" w:hAnsi="宋体" w:cs="宋体"/>
                <w:sz w:val="18"/>
                <w:szCs w:val="18"/>
              </w:rPr>
            </w:pPr>
            <w:r w:rsidRPr="00FC6EB6">
              <w:rPr>
                <w:rFonts w:ascii="宋体" w:eastAsia="宋体" w:hAnsi="宋体" w:cs="宋体"/>
                <w:sz w:val="18"/>
                <w:szCs w:val="18"/>
              </w:rPr>
              <w:t>A</w:t>
            </w:r>
            <w:r w:rsidRPr="00FC6EB6">
              <w:rPr>
                <w:rFonts w:ascii="宋体" w:eastAsia="宋体" w:hAnsi="宋体" w:cs="宋体" w:hint="eastAsia"/>
                <w:sz w:val="18"/>
                <w:szCs w:val="18"/>
              </w:rPr>
              <w:t>公司</w:t>
            </w:r>
          </w:p>
        </w:tc>
        <w:tc>
          <w:tcPr>
            <w:tcW w:w="226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D4B2E" w:rsidRPr="00FC6EB6" w:rsidRDefault="008D4B2E" w:rsidP="00FC6EB6">
            <w:pPr>
              <w:spacing w:before="40" w:after="40" w:line="240" w:lineRule="exact"/>
              <w:jc w:val="right"/>
              <w:rPr>
                <w:rFonts w:ascii="宋体" w:eastAsia="宋体" w:hAnsi="宋体" w:cs="宋体"/>
                <w:sz w:val="18"/>
                <w:szCs w:val="18"/>
              </w:rPr>
            </w:pPr>
            <w:r w:rsidRPr="00FC6EB6">
              <w:rPr>
                <w:rFonts w:ascii="宋体" w:eastAsia="宋体" w:hAnsi="宋体" w:cs="宋体"/>
                <w:sz w:val="18"/>
                <w:szCs w:val="18"/>
              </w:rPr>
              <w:t>15,864,367.55</w:t>
            </w:r>
          </w:p>
        </w:tc>
        <w:tc>
          <w:tcPr>
            <w:tcW w:w="368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D4B2E" w:rsidRPr="00FC6EB6" w:rsidRDefault="008D4B2E" w:rsidP="00FC6EB6">
            <w:pPr>
              <w:spacing w:before="40" w:after="40" w:line="240" w:lineRule="exact"/>
              <w:jc w:val="right"/>
              <w:rPr>
                <w:rFonts w:ascii="宋体" w:eastAsia="宋体" w:hAnsi="宋体" w:cs="宋体"/>
                <w:sz w:val="18"/>
                <w:szCs w:val="18"/>
              </w:rPr>
            </w:pPr>
            <w:r w:rsidRPr="00FC6EB6">
              <w:rPr>
                <w:rFonts w:ascii="宋体" w:eastAsia="宋体" w:hAnsi="宋体" w:cs="宋体"/>
                <w:sz w:val="18"/>
                <w:szCs w:val="18"/>
              </w:rPr>
              <w:t>9.00</w:t>
            </w:r>
          </w:p>
        </w:tc>
      </w:tr>
      <w:tr w:rsidR="008D4B2E" w:rsidTr="00F220E5">
        <w:trPr>
          <w:divId w:val="1691681757"/>
          <w:trHeight w:val="343"/>
        </w:trPr>
        <w:tc>
          <w:tcPr>
            <w:tcW w:w="3655" w:type="dxa"/>
            <w:tcBorders>
              <w:top w:val="nil"/>
              <w:left w:val="single" w:sz="8" w:space="0" w:color="auto"/>
              <w:bottom w:val="single" w:sz="8" w:space="0" w:color="auto"/>
              <w:right w:val="single" w:sz="8" w:space="0" w:color="auto"/>
            </w:tcBorders>
            <w:shd w:val="clear" w:color="auto" w:fill="D3D3D3"/>
            <w:noWrap/>
            <w:tcMar>
              <w:top w:w="0" w:type="dxa"/>
              <w:left w:w="108" w:type="dxa"/>
              <w:bottom w:w="0" w:type="dxa"/>
              <w:right w:w="108" w:type="dxa"/>
            </w:tcMar>
            <w:vAlign w:val="center"/>
            <w:hideMark/>
          </w:tcPr>
          <w:p w:rsidR="008D4B2E" w:rsidRPr="00FC6EB6" w:rsidRDefault="008D4B2E" w:rsidP="00FC6EB6">
            <w:pPr>
              <w:spacing w:before="40" w:after="40" w:line="240" w:lineRule="exact"/>
              <w:rPr>
                <w:rFonts w:ascii="宋体" w:eastAsia="宋体" w:hAnsi="宋体" w:cs="宋体"/>
                <w:sz w:val="18"/>
                <w:szCs w:val="18"/>
              </w:rPr>
            </w:pPr>
            <w:r w:rsidRPr="00FC6EB6">
              <w:rPr>
                <w:rFonts w:ascii="宋体" w:eastAsia="宋体" w:hAnsi="宋体" w:cs="宋体"/>
                <w:sz w:val="18"/>
                <w:szCs w:val="18"/>
              </w:rPr>
              <w:t>B</w:t>
            </w:r>
            <w:r w:rsidRPr="00FC6EB6">
              <w:rPr>
                <w:rFonts w:ascii="宋体" w:eastAsia="宋体" w:hAnsi="宋体" w:cs="宋体" w:hint="eastAsia"/>
                <w:sz w:val="18"/>
                <w:szCs w:val="18"/>
              </w:rPr>
              <w:t>公司</w:t>
            </w:r>
          </w:p>
        </w:tc>
        <w:tc>
          <w:tcPr>
            <w:tcW w:w="226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D4B2E" w:rsidRPr="00FC6EB6" w:rsidRDefault="008D4B2E" w:rsidP="00FC6EB6">
            <w:pPr>
              <w:spacing w:before="40" w:after="40" w:line="240" w:lineRule="exact"/>
              <w:jc w:val="right"/>
              <w:rPr>
                <w:rFonts w:ascii="宋体" w:eastAsia="宋体" w:hAnsi="宋体" w:cs="宋体"/>
                <w:sz w:val="18"/>
                <w:szCs w:val="18"/>
              </w:rPr>
            </w:pPr>
            <w:r w:rsidRPr="00FC6EB6">
              <w:rPr>
                <w:rFonts w:ascii="宋体" w:eastAsia="宋体" w:hAnsi="宋体" w:cs="宋体"/>
                <w:sz w:val="18"/>
                <w:szCs w:val="18"/>
              </w:rPr>
              <w:t>12,203,404.62</w:t>
            </w:r>
          </w:p>
        </w:tc>
        <w:tc>
          <w:tcPr>
            <w:tcW w:w="368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D4B2E" w:rsidRPr="00FC6EB6" w:rsidRDefault="008D4B2E" w:rsidP="00FC6EB6">
            <w:pPr>
              <w:spacing w:before="40" w:after="40" w:line="240" w:lineRule="exact"/>
              <w:jc w:val="right"/>
              <w:rPr>
                <w:rFonts w:ascii="宋体" w:eastAsia="宋体" w:hAnsi="宋体" w:cs="宋体"/>
                <w:sz w:val="18"/>
                <w:szCs w:val="18"/>
              </w:rPr>
            </w:pPr>
            <w:r w:rsidRPr="00FC6EB6">
              <w:rPr>
                <w:rFonts w:ascii="宋体" w:eastAsia="宋体" w:hAnsi="宋体" w:cs="宋体"/>
                <w:sz w:val="18"/>
                <w:szCs w:val="18"/>
              </w:rPr>
              <w:t>6.92</w:t>
            </w:r>
          </w:p>
        </w:tc>
      </w:tr>
      <w:tr w:rsidR="008D4B2E" w:rsidTr="00F220E5">
        <w:trPr>
          <w:divId w:val="1691681757"/>
          <w:trHeight w:val="343"/>
        </w:trPr>
        <w:tc>
          <w:tcPr>
            <w:tcW w:w="3655" w:type="dxa"/>
            <w:tcBorders>
              <w:top w:val="nil"/>
              <w:left w:val="single" w:sz="8" w:space="0" w:color="auto"/>
              <w:bottom w:val="single" w:sz="8" w:space="0" w:color="auto"/>
              <w:right w:val="single" w:sz="8" w:space="0" w:color="auto"/>
            </w:tcBorders>
            <w:shd w:val="clear" w:color="auto" w:fill="D3D3D3"/>
            <w:noWrap/>
            <w:tcMar>
              <w:top w:w="0" w:type="dxa"/>
              <w:left w:w="108" w:type="dxa"/>
              <w:bottom w:w="0" w:type="dxa"/>
              <w:right w:w="108" w:type="dxa"/>
            </w:tcMar>
            <w:vAlign w:val="center"/>
            <w:hideMark/>
          </w:tcPr>
          <w:p w:rsidR="008D4B2E" w:rsidRPr="00FC6EB6" w:rsidRDefault="008D4B2E" w:rsidP="00FC6EB6">
            <w:pPr>
              <w:spacing w:before="40" w:after="40" w:line="240" w:lineRule="exact"/>
              <w:rPr>
                <w:rFonts w:ascii="宋体" w:eastAsia="宋体" w:hAnsi="宋体" w:cs="宋体"/>
                <w:sz w:val="18"/>
                <w:szCs w:val="18"/>
              </w:rPr>
            </w:pPr>
            <w:r w:rsidRPr="00FC6EB6">
              <w:rPr>
                <w:rFonts w:ascii="宋体" w:eastAsia="宋体" w:hAnsi="宋体" w:cs="宋体"/>
                <w:sz w:val="18"/>
                <w:szCs w:val="18"/>
              </w:rPr>
              <w:t>C</w:t>
            </w:r>
            <w:r w:rsidRPr="00FC6EB6">
              <w:rPr>
                <w:rFonts w:ascii="宋体" w:eastAsia="宋体" w:hAnsi="宋体" w:cs="宋体" w:hint="eastAsia"/>
                <w:sz w:val="18"/>
                <w:szCs w:val="18"/>
              </w:rPr>
              <w:t>公司</w:t>
            </w:r>
          </w:p>
        </w:tc>
        <w:tc>
          <w:tcPr>
            <w:tcW w:w="226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D4B2E" w:rsidRPr="00FC6EB6" w:rsidRDefault="008D4B2E" w:rsidP="00FC6EB6">
            <w:pPr>
              <w:spacing w:before="40" w:after="40" w:line="240" w:lineRule="exact"/>
              <w:jc w:val="right"/>
              <w:rPr>
                <w:rFonts w:ascii="宋体" w:eastAsia="宋体" w:hAnsi="宋体" w:cs="宋体"/>
                <w:sz w:val="18"/>
                <w:szCs w:val="18"/>
              </w:rPr>
            </w:pPr>
            <w:r w:rsidRPr="00FC6EB6">
              <w:rPr>
                <w:rFonts w:ascii="宋体" w:eastAsia="宋体" w:hAnsi="宋体" w:cs="宋体"/>
                <w:sz w:val="18"/>
                <w:szCs w:val="18"/>
              </w:rPr>
              <w:t>11,184,750.00</w:t>
            </w:r>
          </w:p>
        </w:tc>
        <w:tc>
          <w:tcPr>
            <w:tcW w:w="368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D4B2E" w:rsidRPr="00FC6EB6" w:rsidRDefault="008D4B2E" w:rsidP="00FC6EB6">
            <w:pPr>
              <w:spacing w:before="40" w:after="40" w:line="240" w:lineRule="exact"/>
              <w:jc w:val="right"/>
              <w:rPr>
                <w:rFonts w:ascii="宋体" w:eastAsia="宋体" w:hAnsi="宋体" w:cs="宋体"/>
                <w:sz w:val="18"/>
                <w:szCs w:val="18"/>
              </w:rPr>
            </w:pPr>
            <w:r w:rsidRPr="00FC6EB6">
              <w:rPr>
                <w:rFonts w:ascii="宋体" w:eastAsia="宋体" w:hAnsi="宋体" w:cs="宋体"/>
                <w:sz w:val="18"/>
                <w:szCs w:val="18"/>
              </w:rPr>
              <w:t>6.34</w:t>
            </w:r>
          </w:p>
        </w:tc>
      </w:tr>
      <w:tr w:rsidR="008D4B2E" w:rsidTr="00F220E5">
        <w:trPr>
          <w:divId w:val="1691681757"/>
          <w:trHeight w:val="343"/>
        </w:trPr>
        <w:tc>
          <w:tcPr>
            <w:tcW w:w="3655" w:type="dxa"/>
            <w:tcBorders>
              <w:top w:val="nil"/>
              <w:left w:val="single" w:sz="8" w:space="0" w:color="auto"/>
              <w:bottom w:val="single" w:sz="8" w:space="0" w:color="auto"/>
              <w:right w:val="single" w:sz="8" w:space="0" w:color="auto"/>
            </w:tcBorders>
            <w:shd w:val="clear" w:color="auto" w:fill="D3D3D3"/>
            <w:noWrap/>
            <w:tcMar>
              <w:top w:w="0" w:type="dxa"/>
              <w:left w:w="108" w:type="dxa"/>
              <w:bottom w:w="0" w:type="dxa"/>
              <w:right w:w="108" w:type="dxa"/>
            </w:tcMar>
            <w:vAlign w:val="center"/>
            <w:hideMark/>
          </w:tcPr>
          <w:p w:rsidR="008D4B2E" w:rsidRPr="00FC6EB6" w:rsidRDefault="008D4B2E" w:rsidP="00FC6EB6">
            <w:pPr>
              <w:spacing w:before="40" w:after="40" w:line="240" w:lineRule="exact"/>
              <w:rPr>
                <w:rFonts w:ascii="宋体" w:eastAsia="宋体" w:hAnsi="宋体" w:cs="宋体"/>
                <w:sz w:val="18"/>
                <w:szCs w:val="18"/>
              </w:rPr>
            </w:pPr>
            <w:r w:rsidRPr="00FC6EB6">
              <w:rPr>
                <w:rFonts w:ascii="宋体" w:eastAsia="宋体" w:hAnsi="宋体" w:cs="宋体"/>
                <w:sz w:val="18"/>
                <w:szCs w:val="18"/>
              </w:rPr>
              <w:t>D</w:t>
            </w:r>
            <w:r w:rsidRPr="00FC6EB6">
              <w:rPr>
                <w:rFonts w:ascii="宋体" w:eastAsia="宋体" w:hAnsi="宋体" w:cs="宋体" w:hint="eastAsia"/>
                <w:sz w:val="18"/>
                <w:szCs w:val="18"/>
              </w:rPr>
              <w:t>公司</w:t>
            </w:r>
          </w:p>
        </w:tc>
        <w:tc>
          <w:tcPr>
            <w:tcW w:w="226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D4B2E" w:rsidRPr="00FC6EB6" w:rsidRDefault="008D4B2E" w:rsidP="00FC6EB6">
            <w:pPr>
              <w:spacing w:before="40" w:after="40" w:line="240" w:lineRule="exact"/>
              <w:jc w:val="right"/>
              <w:rPr>
                <w:rFonts w:ascii="宋体" w:eastAsia="宋体" w:hAnsi="宋体" w:cs="宋体"/>
                <w:sz w:val="18"/>
                <w:szCs w:val="18"/>
              </w:rPr>
            </w:pPr>
            <w:r w:rsidRPr="00FC6EB6">
              <w:rPr>
                <w:rFonts w:ascii="宋体" w:eastAsia="宋体" w:hAnsi="宋体" w:cs="宋体"/>
                <w:sz w:val="18"/>
                <w:szCs w:val="18"/>
              </w:rPr>
              <w:t>10,406,519.33</w:t>
            </w:r>
          </w:p>
        </w:tc>
        <w:tc>
          <w:tcPr>
            <w:tcW w:w="368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D4B2E" w:rsidRPr="00FC6EB6" w:rsidRDefault="008D4B2E" w:rsidP="00FC6EB6">
            <w:pPr>
              <w:spacing w:before="40" w:after="40" w:line="240" w:lineRule="exact"/>
              <w:jc w:val="right"/>
              <w:rPr>
                <w:rFonts w:ascii="宋体" w:eastAsia="宋体" w:hAnsi="宋体" w:cs="宋体"/>
                <w:sz w:val="18"/>
                <w:szCs w:val="18"/>
              </w:rPr>
            </w:pPr>
            <w:r w:rsidRPr="00FC6EB6">
              <w:rPr>
                <w:rFonts w:ascii="宋体" w:eastAsia="宋体" w:hAnsi="宋体" w:cs="宋体"/>
                <w:sz w:val="18"/>
                <w:szCs w:val="18"/>
              </w:rPr>
              <w:t>5.90</w:t>
            </w:r>
          </w:p>
        </w:tc>
      </w:tr>
      <w:tr w:rsidR="008D4B2E" w:rsidTr="00F220E5">
        <w:trPr>
          <w:divId w:val="1691681757"/>
          <w:trHeight w:val="54"/>
        </w:trPr>
        <w:tc>
          <w:tcPr>
            <w:tcW w:w="3655" w:type="dxa"/>
            <w:tcBorders>
              <w:top w:val="nil"/>
              <w:left w:val="single" w:sz="8" w:space="0" w:color="auto"/>
              <w:bottom w:val="single" w:sz="8" w:space="0" w:color="auto"/>
              <w:right w:val="single" w:sz="8" w:space="0" w:color="auto"/>
            </w:tcBorders>
            <w:shd w:val="clear" w:color="auto" w:fill="D3D3D3"/>
            <w:noWrap/>
            <w:tcMar>
              <w:top w:w="0" w:type="dxa"/>
              <w:left w:w="108" w:type="dxa"/>
              <w:bottom w:w="0" w:type="dxa"/>
              <w:right w:w="108" w:type="dxa"/>
            </w:tcMar>
            <w:vAlign w:val="center"/>
            <w:hideMark/>
          </w:tcPr>
          <w:p w:rsidR="008D4B2E" w:rsidRPr="00FC6EB6" w:rsidRDefault="008D4B2E" w:rsidP="00FC6EB6">
            <w:pPr>
              <w:spacing w:before="40" w:after="40" w:line="240" w:lineRule="exact"/>
              <w:rPr>
                <w:rFonts w:ascii="宋体" w:eastAsia="宋体" w:hAnsi="宋体" w:cs="宋体"/>
                <w:sz w:val="18"/>
                <w:szCs w:val="18"/>
              </w:rPr>
            </w:pPr>
            <w:r w:rsidRPr="00FC6EB6">
              <w:rPr>
                <w:rFonts w:ascii="宋体" w:eastAsia="宋体" w:hAnsi="宋体" w:cs="宋体"/>
                <w:sz w:val="18"/>
                <w:szCs w:val="18"/>
              </w:rPr>
              <w:t>E</w:t>
            </w:r>
            <w:r w:rsidRPr="00FC6EB6">
              <w:rPr>
                <w:rFonts w:ascii="宋体" w:eastAsia="宋体" w:hAnsi="宋体" w:cs="宋体" w:hint="eastAsia"/>
                <w:sz w:val="18"/>
                <w:szCs w:val="18"/>
              </w:rPr>
              <w:t>公司</w:t>
            </w:r>
          </w:p>
        </w:tc>
        <w:tc>
          <w:tcPr>
            <w:tcW w:w="226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D4B2E" w:rsidRPr="00FC6EB6" w:rsidRDefault="008D4B2E" w:rsidP="00FC6EB6">
            <w:pPr>
              <w:spacing w:before="40" w:after="40" w:line="240" w:lineRule="exact"/>
              <w:jc w:val="right"/>
              <w:rPr>
                <w:rFonts w:ascii="宋体" w:eastAsia="宋体" w:hAnsi="宋体" w:cs="宋体"/>
                <w:sz w:val="18"/>
                <w:szCs w:val="18"/>
              </w:rPr>
            </w:pPr>
            <w:r w:rsidRPr="00FC6EB6">
              <w:rPr>
                <w:rFonts w:ascii="宋体" w:eastAsia="宋体" w:hAnsi="宋体" w:cs="宋体"/>
                <w:sz w:val="18"/>
                <w:szCs w:val="18"/>
              </w:rPr>
              <w:t>7,840,000.00</w:t>
            </w:r>
          </w:p>
        </w:tc>
        <w:tc>
          <w:tcPr>
            <w:tcW w:w="368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D4B2E" w:rsidRPr="00FC6EB6" w:rsidRDefault="008D4B2E" w:rsidP="00FC6EB6">
            <w:pPr>
              <w:spacing w:before="40" w:after="40" w:line="240" w:lineRule="exact"/>
              <w:jc w:val="right"/>
              <w:rPr>
                <w:rFonts w:ascii="宋体" w:eastAsia="宋体" w:hAnsi="宋体" w:cs="宋体"/>
                <w:sz w:val="18"/>
                <w:szCs w:val="18"/>
              </w:rPr>
            </w:pPr>
            <w:r w:rsidRPr="00FC6EB6">
              <w:rPr>
                <w:rFonts w:ascii="宋体" w:eastAsia="宋体" w:hAnsi="宋体" w:cs="宋体"/>
                <w:sz w:val="18"/>
                <w:szCs w:val="18"/>
              </w:rPr>
              <w:t>4.45</w:t>
            </w:r>
          </w:p>
        </w:tc>
      </w:tr>
      <w:tr w:rsidR="008D4B2E" w:rsidTr="00F220E5">
        <w:trPr>
          <w:divId w:val="1691681757"/>
          <w:trHeight w:val="343"/>
        </w:trPr>
        <w:tc>
          <w:tcPr>
            <w:tcW w:w="3655" w:type="dxa"/>
            <w:tcBorders>
              <w:top w:val="nil"/>
              <w:left w:val="single" w:sz="8" w:space="0" w:color="auto"/>
              <w:bottom w:val="single" w:sz="8" w:space="0" w:color="auto"/>
              <w:right w:val="single" w:sz="8" w:space="0" w:color="auto"/>
            </w:tcBorders>
            <w:shd w:val="clear" w:color="auto" w:fill="D3D3D3"/>
            <w:noWrap/>
            <w:tcMar>
              <w:top w:w="0" w:type="dxa"/>
              <w:left w:w="108" w:type="dxa"/>
              <w:bottom w:w="0" w:type="dxa"/>
              <w:right w:w="108" w:type="dxa"/>
            </w:tcMar>
            <w:vAlign w:val="bottom"/>
            <w:hideMark/>
          </w:tcPr>
          <w:p w:rsidR="008D4B2E" w:rsidRPr="00FC6EB6" w:rsidRDefault="008D4B2E" w:rsidP="00FC6EB6">
            <w:pPr>
              <w:spacing w:before="40" w:after="40" w:line="240" w:lineRule="exact"/>
              <w:rPr>
                <w:rFonts w:ascii="宋体" w:eastAsia="宋体" w:hAnsi="宋体" w:cs="宋体"/>
                <w:sz w:val="18"/>
                <w:szCs w:val="18"/>
              </w:rPr>
            </w:pPr>
            <w:r w:rsidRPr="00FC6EB6">
              <w:rPr>
                <w:rFonts w:ascii="宋体" w:eastAsia="宋体" w:hAnsi="宋体" w:cs="宋体" w:hint="eastAsia"/>
                <w:sz w:val="18"/>
                <w:szCs w:val="18"/>
              </w:rPr>
              <w:t>合计</w:t>
            </w:r>
          </w:p>
        </w:tc>
        <w:tc>
          <w:tcPr>
            <w:tcW w:w="226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D4B2E" w:rsidRPr="00FC6EB6" w:rsidRDefault="008D4B2E" w:rsidP="00FC6EB6">
            <w:pPr>
              <w:spacing w:before="40" w:after="40" w:line="240" w:lineRule="exact"/>
              <w:jc w:val="right"/>
              <w:rPr>
                <w:rFonts w:ascii="宋体" w:eastAsia="宋体" w:hAnsi="宋体" w:cs="宋体"/>
                <w:sz w:val="18"/>
                <w:szCs w:val="18"/>
              </w:rPr>
            </w:pPr>
            <w:r w:rsidRPr="00FC6EB6">
              <w:rPr>
                <w:rFonts w:ascii="宋体" w:eastAsia="宋体" w:hAnsi="宋体" w:cs="宋体"/>
                <w:bCs/>
                <w:sz w:val="18"/>
                <w:szCs w:val="18"/>
              </w:rPr>
              <w:t>57,499,041.50</w:t>
            </w:r>
          </w:p>
        </w:tc>
        <w:tc>
          <w:tcPr>
            <w:tcW w:w="368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D4B2E" w:rsidRPr="00FC6EB6" w:rsidRDefault="008D4B2E" w:rsidP="00FC6EB6">
            <w:pPr>
              <w:spacing w:before="40" w:after="40" w:line="240" w:lineRule="exact"/>
              <w:jc w:val="right"/>
              <w:rPr>
                <w:rFonts w:ascii="宋体" w:eastAsia="宋体" w:hAnsi="宋体" w:cs="宋体"/>
                <w:sz w:val="18"/>
                <w:szCs w:val="18"/>
              </w:rPr>
            </w:pPr>
            <w:r w:rsidRPr="00FC6EB6">
              <w:rPr>
                <w:rFonts w:ascii="宋体" w:eastAsia="宋体" w:hAnsi="宋体" w:cs="宋体"/>
                <w:bCs/>
                <w:sz w:val="18"/>
                <w:szCs w:val="18"/>
              </w:rPr>
              <w:t>32.61</w:t>
            </w:r>
          </w:p>
        </w:tc>
      </w:tr>
    </w:tbl>
    <w:p w:rsidR="00BA0365" w:rsidRDefault="008D4B2E">
      <w:pPr>
        <w:pStyle w:val="3"/>
        <w:spacing w:line="280" w:lineRule="exact"/>
        <w:jc w:val="left"/>
        <w:rPr>
          <w:rFonts w:ascii="宋体" w:hAnsi="宋体" w:cs="宋体"/>
          <w:b/>
          <w:bCs/>
        </w:rPr>
      </w:pPr>
      <w:bookmarkStart w:id="258" w:name="_Toc989148"/>
      <w:r>
        <w:rPr>
          <w:rFonts w:ascii="宋体" w:hAnsi="宋体" w:cs="宋体"/>
          <w:b/>
          <w:bCs/>
        </w:rPr>
        <w:t>8、存货</w:t>
      </w:r>
      <w:bookmarkEnd w:id="258"/>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公司是否需要遵守房地产行业的披露要求</w:t>
      </w:r>
    </w:p>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否</w:t>
      </w:r>
      <w:proofErr w:type="gramEnd"/>
    </w:p>
    <w:p w:rsidR="00BA0365" w:rsidRDefault="008D4B2E">
      <w:pPr>
        <w:keepNext/>
        <w:keepLines/>
        <w:spacing w:before="300" w:after="300" w:line="280" w:lineRule="exact"/>
        <w:outlineLvl w:val="3"/>
        <w:rPr>
          <w:rFonts w:ascii="宋体" w:eastAsia="宋体" w:hAnsi="宋体" w:cs="宋体"/>
          <w:b/>
          <w:bCs/>
          <w:szCs w:val="21"/>
        </w:rPr>
      </w:pPr>
      <w:bookmarkStart w:id="259" w:name="_Toc989149"/>
      <w:r>
        <w:rPr>
          <w:rFonts w:ascii="宋体" w:eastAsia="宋体" w:hAnsi="宋体" w:cs="宋体"/>
          <w:b/>
          <w:bCs/>
          <w:szCs w:val="21"/>
        </w:rPr>
        <w:lastRenderedPageBreak/>
        <w:t>（1） 存货分类</w:t>
      </w:r>
      <w:bookmarkEnd w:id="259"/>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1377"/>
        <w:gridCol w:w="1377"/>
        <w:gridCol w:w="1377"/>
        <w:gridCol w:w="1377"/>
        <w:gridCol w:w="1377"/>
        <w:gridCol w:w="1377"/>
        <w:gridCol w:w="1377"/>
      </w:tblGrid>
      <w:tr w:rsidR="00157EA0">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57EA0">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存货跌价准备或合同履约成本减值准备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存货跌价准备或合同履约成本减值准备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157EA0">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原材料</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545,139,626.27</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69,307,560.32</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475,832,065.95</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516,215,191.01</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38,988,260.20</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477,226,930.81</w:t>
            </w:r>
          </w:p>
        </w:tc>
      </w:tr>
      <w:tr w:rsidR="00157EA0">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在产品</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5,176,394,976.56</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157,773,658.53</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5,018,621,318.03</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4,148,523,342.02</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148,420,778.11</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4,000,102,563.91</w:t>
            </w:r>
          </w:p>
        </w:tc>
      </w:tr>
      <w:tr w:rsidR="00157EA0">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库存商品</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179,504,804.57</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2,638,051.45</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176,866,753.12</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189,768,767.87</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6,992,313.78</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182,776,454.09</w:t>
            </w:r>
          </w:p>
        </w:tc>
      </w:tr>
      <w:tr w:rsidR="00157EA0">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周转材料</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1,954,737.02</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1,954,737.02</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1,120,550.86</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1,120,550.86</w:t>
            </w:r>
          </w:p>
        </w:tc>
      </w:tr>
      <w:tr w:rsidR="00157EA0">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5,902,994,144.42</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229,719,270.30</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5,673,274,874.12</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4,855,627,851.76</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194,401,352.09</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4,661,226,499.67</w:t>
            </w:r>
          </w:p>
        </w:tc>
      </w:tr>
    </w:tbl>
    <w:p w:rsidR="00BA0365" w:rsidRDefault="008D4B2E">
      <w:pPr>
        <w:keepNext/>
        <w:keepLines/>
        <w:spacing w:before="300" w:after="300" w:line="280" w:lineRule="exact"/>
        <w:outlineLvl w:val="3"/>
        <w:rPr>
          <w:rFonts w:ascii="宋体" w:eastAsia="宋体" w:hAnsi="宋体" w:cs="宋体"/>
          <w:b/>
          <w:bCs/>
          <w:szCs w:val="21"/>
        </w:rPr>
      </w:pPr>
      <w:bookmarkStart w:id="260" w:name="_Toc989150"/>
      <w:r>
        <w:rPr>
          <w:rFonts w:ascii="宋体" w:eastAsia="宋体" w:hAnsi="宋体" w:cs="宋体"/>
          <w:b/>
          <w:bCs/>
          <w:szCs w:val="21"/>
        </w:rPr>
        <w:t>（2） 存货跌价准备和合同履约成本减值准备</w:t>
      </w:r>
      <w:bookmarkEnd w:id="260"/>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1377"/>
        <w:gridCol w:w="1377"/>
        <w:gridCol w:w="1377"/>
        <w:gridCol w:w="1377"/>
        <w:gridCol w:w="1377"/>
        <w:gridCol w:w="1377"/>
        <w:gridCol w:w="1377"/>
      </w:tblGrid>
      <w:tr w:rsidR="00157EA0">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本期增加金额</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157EA0">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转回或转销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r w:rsidR="00157EA0">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原材料</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38,988,260.20</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30,319,300.12</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69,307,560.32</w:t>
            </w:r>
          </w:p>
        </w:tc>
      </w:tr>
      <w:tr w:rsidR="00157EA0">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在产品</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148,420,778.11</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50,534,540.48</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41,181,660.06</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157,773,658.53</w:t>
            </w:r>
          </w:p>
        </w:tc>
      </w:tr>
      <w:tr w:rsidR="00157EA0">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库存商品</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6,992,313.78</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1,476,572.87</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5,830,835.20</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2,638,051.45</w:t>
            </w:r>
          </w:p>
        </w:tc>
      </w:tr>
      <w:tr w:rsidR="00157EA0">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194,401,352.09</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82,330,413.47</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47,012,495.26</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229,719,270.30</w:t>
            </w:r>
          </w:p>
        </w:tc>
      </w:tr>
    </w:tbl>
    <w:p w:rsidR="00BA0365" w:rsidRDefault="008D4B2E">
      <w:pPr>
        <w:pStyle w:val="3"/>
        <w:spacing w:line="280" w:lineRule="exact"/>
        <w:jc w:val="left"/>
        <w:rPr>
          <w:rFonts w:ascii="宋体" w:hAnsi="宋体" w:cs="宋体"/>
          <w:b/>
          <w:bCs/>
        </w:rPr>
      </w:pPr>
      <w:bookmarkStart w:id="261" w:name="_Toc989151"/>
      <w:r>
        <w:rPr>
          <w:rFonts w:ascii="宋体" w:hAnsi="宋体" w:cs="宋体"/>
          <w:b/>
          <w:bCs/>
        </w:rPr>
        <w:t>9、其他流动资产</w:t>
      </w:r>
      <w:bookmarkEnd w:id="261"/>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3213"/>
        <w:gridCol w:w="3213"/>
        <w:gridCol w:w="3213"/>
      </w:tblGrid>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待抵扣进项税</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109,894,278.58</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83,462,736.18</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其他税费重分类</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7,381,980.09</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27,676,136.34</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银行理财产品</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50,165,616.44</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252,505,000.00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167,441,875.11</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363,643,872.52</w:t>
            </w:r>
          </w:p>
        </w:tc>
      </w:tr>
    </w:tbl>
    <w:p w:rsidR="00BA0365" w:rsidRDefault="008D4B2E">
      <w:pPr>
        <w:pStyle w:val="3"/>
        <w:spacing w:line="280" w:lineRule="exact"/>
        <w:jc w:val="left"/>
        <w:rPr>
          <w:rFonts w:ascii="宋体" w:hAnsi="宋体" w:cs="宋体"/>
          <w:b/>
          <w:bCs/>
        </w:rPr>
      </w:pPr>
      <w:bookmarkStart w:id="262" w:name="_Toc989152"/>
      <w:r>
        <w:rPr>
          <w:rFonts w:ascii="宋体" w:hAnsi="宋体" w:cs="宋体"/>
          <w:b/>
          <w:bCs/>
        </w:rPr>
        <w:t>10、其他权益工具投资</w:t>
      </w:r>
      <w:bookmarkEnd w:id="262"/>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1071"/>
        <w:gridCol w:w="1071"/>
        <w:gridCol w:w="1071"/>
        <w:gridCol w:w="1071"/>
        <w:gridCol w:w="1071"/>
        <w:gridCol w:w="1071"/>
        <w:gridCol w:w="1071"/>
        <w:gridCol w:w="1071"/>
        <w:gridCol w:w="1071"/>
      </w:tblGrid>
      <w:tr w:rsidR="00157EA0">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项目名称</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本期计入其他综合收益的利得</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本期计入其他综合收益的损失</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本期末累计计入其他综合收益的利得</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本期末累计计入其他综合收益的损失</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本期确认的股利收入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指定为以公允价值计量且其变动计入其他综合收益的原因</w:t>
            </w:r>
          </w:p>
        </w:tc>
      </w:tr>
      <w:tr w:rsidR="00157EA0">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青软创新</w:t>
            </w:r>
            <w:proofErr w:type="gramEnd"/>
            <w:r>
              <w:rPr>
                <w:rFonts w:ascii="宋体" w:eastAsia="宋体" w:hAnsi="宋体" w:cs="宋体"/>
                <w:sz w:val="18"/>
                <w:szCs w:val="18"/>
              </w:rPr>
              <w:t>科技集团</w:t>
            </w:r>
            <w:r>
              <w:rPr>
                <w:rFonts w:ascii="宋体" w:eastAsia="宋体" w:hAnsi="宋体" w:cs="宋体"/>
                <w:sz w:val="18"/>
                <w:szCs w:val="18"/>
              </w:rPr>
              <w:lastRenderedPageBreak/>
              <w:t>股份有限公司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lastRenderedPageBreak/>
              <w:t>30,000,000.00</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30,000,000.00</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r>
      <w:tr w:rsidR="00157EA0">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lastRenderedPageBreak/>
              <w:t>青岛万方循环科技有限公司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22,312,030.87</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22,312,030.87</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r>
      <w:tr w:rsidR="00157EA0">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青岛科捷机器人有限公司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11,730,000.00</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11,730,000.00</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r>
      <w:tr w:rsidR="00157EA0">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华商汇通融资租赁有限公司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10,836,000.00</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10,836,000.00</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r>
      <w:tr w:rsidR="00157EA0">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科捷智能科技股份有限公司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59,641,039.50</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88,465,000.00</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-908,509.30</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41,211,442.13</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1,300,000.00</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r>
      <w:tr w:rsidR="00157EA0">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七台河市</w:t>
            </w:r>
            <w:proofErr w:type="gramStart"/>
            <w:r>
              <w:rPr>
                <w:rFonts w:ascii="宋体" w:eastAsia="宋体" w:hAnsi="宋体" w:cs="宋体"/>
                <w:sz w:val="18"/>
                <w:szCs w:val="18"/>
              </w:rPr>
              <w:t>飞嘉废旧</w:t>
            </w:r>
            <w:proofErr w:type="gramEnd"/>
            <w:r>
              <w:rPr>
                <w:rFonts w:ascii="宋体" w:eastAsia="宋体" w:hAnsi="宋体" w:cs="宋体"/>
                <w:sz w:val="18"/>
                <w:szCs w:val="18"/>
              </w:rPr>
              <w:t>轮胎综合利用有限公司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654,823.08</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836,483.06</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-154,410.98</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-973,400.38</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r>
      <w:tr w:rsidR="00157EA0">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天津农村商业银行股份有限公司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347,150,000.00</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347,150,000.00</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13,100,000.00</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r>
      <w:tr w:rsidR="00570C59">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570C59" w:rsidRDefault="00570C59">
            <w:pPr>
              <w:spacing w:line="240" w:lineRule="exact"/>
              <w:rPr>
                <w:rFonts w:ascii="宋体" w:eastAsia="宋体" w:hAnsi="宋体" w:cs="宋体"/>
                <w:sz w:val="18"/>
                <w:szCs w:val="18"/>
              </w:rPr>
            </w:pPr>
            <w:proofErr w:type="gramStart"/>
            <w:r w:rsidRPr="00570C59">
              <w:rPr>
                <w:rFonts w:ascii="宋体" w:eastAsia="宋体" w:hAnsi="宋体" w:cs="宋体" w:hint="eastAsia"/>
                <w:sz w:val="18"/>
                <w:szCs w:val="18"/>
              </w:rPr>
              <w:t>怡</w:t>
            </w:r>
            <w:proofErr w:type="gramEnd"/>
            <w:r w:rsidRPr="00570C59">
              <w:rPr>
                <w:rFonts w:ascii="宋体" w:eastAsia="宋体" w:hAnsi="宋体" w:cs="宋体" w:hint="eastAsia"/>
                <w:sz w:val="18"/>
                <w:szCs w:val="18"/>
              </w:rPr>
              <w:t>维</w:t>
            </w:r>
            <w:proofErr w:type="gramStart"/>
            <w:r w:rsidRPr="00570C59">
              <w:rPr>
                <w:rFonts w:ascii="宋体" w:eastAsia="宋体" w:hAnsi="宋体" w:cs="宋体" w:hint="eastAsia"/>
                <w:sz w:val="18"/>
                <w:szCs w:val="18"/>
              </w:rPr>
              <w:t>怡</w:t>
            </w:r>
            <w:proofErr w:type="gramEnd"/>
            <w:r w:rsidRPr="00570C59">
              <w:rPr>
                <w:rFonts w:ascii="宋体" w:eastAsia="宋体" w:hAnsi="宋体" w:cs="宋体" w:hint="eastAsia"/>
                <w:sz w:val="18"/>
                <w:szCs w:val="18"/>
              </w:rPr>
              <w:t>橡胶研究院有限公司</w:t>
            </w:r>
          </w:p>
        </w:tc>
        <w:tc>
          <w:tcPr>
            <w:tcW w:w="1071" w:type="dxa"/>
            <w:tcBorders>
              <w:top w:val="single" w:sz="2" w:space="0" w:color="auto"/>
              <w:left w:val="single" w:sz="2" w:space="0" w:color="auto"/>
              <w:bottom w:val="single" w:sz="2" w:space="0" w:color="auto"/>
              <w:right w:val="single" w:sz="2" w:space="0" w:color="auto"/>
            </w:tcBorders>
            <w:vAlign w:val="center"/>
          </w:tcPr>
          <w:p w:rsidR="00570C59" w:rsidRDefault="00570C59">
            <w:pPr>
              <w:spacing w:line="240" w:lineRule="exact"/>
              <w:jc w:val="right"/>
              <w:rPr>
                <w:rFonts w:ascii="宋体" w:eastAsia="宋体" w:hAnsi="宋体" w:cs="宋体"/>
                <w:sz w:val="18"/>
                <w:szCs w:val="18"/>
              </w:rPr>
            </w:pPr>
            <w:r>
              <w:rPr>
                <w:rFonts w:ascii="宋体" w:eastAsia="宋体" w:hAnsi="宋体" w:cs="宋体" w:hint="eastAsia"/>
                <w:sz w:val="18"/>
                <w:szCs w:val="18"/>
              </w:rPr>
              <w:t>0</w:t>
            </w:r>
            <w:r>
              <w:rPr>
                <w:rFonts w:ascii="宋体" w:eastAsia="宋体" w:hAnsi="宋体" w:cs="宋体"/>
                <w:sz w:val="18"/>
                <w:szCs w:val="18"/>
              </w:rPr>
              <w:t>.00</w:t>
            </w:r>
          </w:p>
        </w:tc>
        <w:tc>
          <w:tcPr>
            <w:tcW w:w="1071" w:type="dxa"/>
            <w:tcBorders>
              <w:top w:val="single" w:sz="2" w:space="0" w:color="auto"/>
              <w:left w:val="single" w:sz="2" w:space="0" w:color="auto"/>
              <w:bottom w:val="single" w:sz="2" w:space="0" w:color="auto"/>
              <w:right w:val="single" w:sz="2" w:space="0" w:color="auto"/>
            </w:tcBorders>
            <w:vAlign w:val="center"/>
          </w:tcPr>
          <w:p w:rsidR="00570C59" w:rsidRDefault="00570C59">
            <w:pPr>
              <w:spacing w:line="240" w:lineRule="exact"/>
              <w:jc w:val="right"/>
              <w:rPr>
                <w:rFonts w:ascii="宋体" w:eastAsia="宋体" w:hAnsi="宋体" w:cs="宋体"/>
                <w:sz w:val="18"/>
                <w:szCs w:val="18"/>
              </w:rPr>
            </w:pPr>
            <w:r>
              <w:rPr>
                <w:rFonts w:ascii="宋体" w:eastAsia="宋体" w:hAnsi="宋体" w:cs="宋体" w:hint="eastAsia"/>
                <w:sz w:val="18"/>
                <w:szCs w:val="18"/>
              </w:rPr>
              <w:t>0</w:t>
            </w:r>
            <w:r>
              <w:rPr>
                <w:rFonts w:ascii="宋体" w:eastAsia="宋体" w:hAnsi="宋体" w:cs="宋体"/>
                <w:sz w:val="18"/>
                <w:szCs w:val="18"/>
              </w:rPr>
              <w:t>.00</w:t>
            </w:r>
          </w:p>
        </w:tc>
        <w:tc>
          <w:tcPr>
            <w:tcW w:w="1071" w:type="dxa"/>
            <w:tcBorders>
              <w:top w:val="single" w:sz="2" w:space="0" w:color="auto"/>
              <w:left w:val="single" w:sz="2" w:space="0" w:color="auto"/>
              <w:bottom w:val="single" w:sz="2" w:space="0" w:color="auto"/>
              <w:right w:val="single" w:sz="2" w:space="0" w:color="auto"/>
            </w:tcBorders>
            <w:vAlign w:val="center"/>
          </w:tcPr>
          <w:p w:rsidR="00570C59" w:rsidRDefault="00570C5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570C59" w:rsidRDefault="00570C5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570C59" w:rsidRDefault="00570C5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570C59" w:rsidRDefault="00570C5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570C59" w:rsidRDefault="00570C59">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570C59" w:rsidRDefault="00570C59">
            <w:pPr>
              <w:spacing w:line="240" w:lineRule="exact"/>
              <w:rPr>
                <w:rFonts w:ascii="宋体" w:eastAsia="宋体" w:hAnsi="宋体" w:cs="宋体"/>
                <w:sz w:val="18"/>
                <w:szCs w:val="18"/>
              </w:rPr>
            </w:pPr>
          </w:p>
        </w:tc>
      </w:tr>
      <w:tr w:rsidR="00157EA0">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482,323,893.45</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511,329,513.93</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-1,062,920.28</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41,211,442.13</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-973,400.38</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14,400,000.00</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bl>
    <w:p w:rsidR="00BA0365" w:rsidRDefault="008D4B2E">
      <w:pPr>
        <w:pStyle w:val="3"/>
        <w:spacing w:line="280" w:lineRule="exact"/>
        <w:jc w:val="left"/>
        <w:rPr>
          <w:rFonts w:ascii="宋体" w:hAnsi="宋体" w:cs="宋体"/>
          <w:b/>
          <w:bCs/>
        </w:rPr>
      </w:pPr>
      <w:bookmarkStart w:id="263" w:name="_Toc989153"/>
      <w:r>
        <w:rPr>
          <w:rFonts w:ascii="宋体" w:hAnsi="宋体" w:cs="宋体"/>
          <w:b/>
          <w:bCs/>
        </w:rPr>
        <w:t>11、长期股权投资</w:t>
      </w:r>
      <w:bookmarkEnd w:id="263"/>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741"/>
        <w:gridCol w:w="741"/>
        <w:gridCol w:w="741"/>
        <w:gridCol w:w="741"/>
        <w:gridCol w:w="741"/>
        <w:gridCol w:w="741"/>
        <w:gridCol w:w="741"/>
        <w:gridCol w:w="741"/>
        <w:gridCol w:w="741"/>
        <w:gridCol w:w="741"/>
        <w:gridCol w:w="745"/>
        <w:gridCol w:w="741"/>
        <w:gridCol w:w="743"/>
      </w:tblGrid>
      <w:tr w:rsidR="00157EA0">
        <w:trPr>
          <w:trHeight w:val="240"/>
        </w:trPr>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被投资单位</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期初余额（账面价值）</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减值准备期初余额</w:t>
            </w:r>
          </w:p>
        </w:tc>
        <w:tc>
          <w:tcPr>
            <w:tcW w:w="5932"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本期增减变动</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期末余额（账面价值）</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减值准备期末余额</w:t>
            </w:r>
          </w:p>
        </w:tc>
      </w:tr>
      <w:tr w:rsidR="00157EA0">
        <w:trPr>
          <w:trHeight w:val="240"/>
        </w:trPr>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追加投资</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减少投资</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权益法下确认的投资损益</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其他综合收益调整</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其他权益变动</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宣告发放现金股利或利润</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计提减值准备</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r w:rsidR="00157EA0">
        <w:trPr>
          <w:trHeight w:val="240"/>
        </w:trPr>
        <w:tc>
          <w:tcPr>
            <w:tcW w:w="9639"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一、合营企业</w:t>
            </w:r>
          </w:p>
        </w:tc>
      </w:tr>
      <w:tr w:rsidR="00157EA0">
        <w:trPr>
          <w:trHeight w:val="240"/>
        </w:trPr>
        <w:tc>
          <w:tcPr>
            <w:tcW w:w="9639"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二、联营企业</w:t>
            </w: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青岛青维科技发展有限公司</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9,903,310.89</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-163.19</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9,903,147.70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青岛华商汇通控股有限公司</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63,767,708.45</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978,873.14</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64,746,581.59</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四川</w:t>
            </w:r>
            <w:r>
              <w:rPr>
                <w:rFonts w:ascii="宋体" w:eastAsia="宋体" w:hAnsi="宋体" w:cs="宋体"/>
                <w:sz w:val="18"/>
                <w:szCs w:val="18"/>
              </w:rPr>
              <w:lastRenderedPageBreak/>
              <w:t>凯力威科技股份有限公司</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lastRenderedPageBreak/>
              <w:t>51,16</w:t>
            </w:r>
            <w:r>
              <w:rPr>
                <w:rFonts w:ascii="宋体" w:eastAsia="宋体" w:hAnsi="宋体" w:cs="宋体"/>
                <w:sz w:val="18"/>
                <w:szCs w:val="18"/>
              </w:rPr>
              <w:lastRenderedPageBreak/>
              <w:t>3,316.87</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2,603</w:t>
            </w:r>
            <w:r>
              <w:rPr>
                <w:rFonts w:ascii="宋体" w:eastAsia="宋体" w:hAnsi="宋体" w:cs="宋体"/>
                <w:sz w:val="18"/>
                <w:szCs w:val="18"/>
              </w:rPr>
              <w:lastRenderedPageBreak/>
              <w:t>,047.55</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1,600</w:t>
            </w:r>
            <w:r>
              <w:rPr>
                <w:rFonts w:ascii="宋体" w:eastAsia="宋体" w:hAnsi="宋体" w:cs="宋体"/>
                <w:sz w:val="18"/>
                <w:szCs w:val="18"/>
              </w:rPr>
              <w:lastRenderedPageBreak/>
              <w:t>,000.00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52,16</w:t>
            </w:r>
            <w:r>
              <w:rPr>
                <w:rFonts w:ascii="宋体" w:eastAsia="宋体" w:hAnsi="宋体" w:cs="宋体"/>
                <w:sz w:val="18"/>
                <w:szCs w:val="18"/>
              </w:rPr>
              <w:lastRenderedPageBreak/>
              <w:t>6,364.42</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lastRenderedPageBreak/>
              <w:t>青岛纵联工业技术有限公司</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1,330,517.35</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18,212.52</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1,348,729.87</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小计</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126,164,853.56</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3,599,970.02</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1,600,000.00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128,164,823.58</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126,164,853.56</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3,599,970.02</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1,600,000.00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128,164,823.58</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bl>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可收回金额按公允价值减去处置费用后的净额确定</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可收回金额按预计未来现金流量的现值确定</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D4B2E" w:rsidRPr="00F220E5" w:rsidRDefault="008D4B2E" w:rsidP="00F220E5">
      <w:pPr>
        <w:spacing w:before="100" w:after="100" w:line="240" w:lineRule="exact"/>
        <w:rPr>
          <w:rFonts w:ascii="宋体" w:eastAsia="宋体" w:hAnsi="宋体" w:cs="宋体"/>
          <w:sz w:val="18"/>
          <w:szCs w:val="18"/>
        </w:rPr>
      </w:pPr>
      <w:r>
        <w:rPr>
          <w:rFonts w:ascii="宋体" w:eastAsia="宋体" w:hAnsi="宋体" w:cs="宋体"/>
          <w:sz w:val="18"/>
          <w:szCs w:val="18"/>
        </w:rPr>
        <w:t>前述信息与以前年度减值测试采用的信息或外部信息明显不一致的差异原因</w:t>
      </w:r>
      <w:r w:rsidR="00F220E5">
        <w:rPr>
          <w:rFonts w:ascii="宋体" w:eastAsia="宋体" w:hAnsi="宋体" w:cs="宋体"/>
          <w:sz w:val="18"/>
          <w:szCs w:val="18"/>
        </w:rPr>
        <w:t>：无</w:t>
      </w:r>
    </w:p>
    <w:p w:rsidR="00BA0365" w:rsidRDefault="008D4B2E">
      <w:pPr>
        <w:pStyle w:val="3"/>
        <w:spacing w:line="280" w:lineRule="exact"/>
        <w:jc w:val="left"/>
        <w:rPr>
          <w:rFonts w:ascii="宋体" w:hAnsi="宋体" w:cs="宋体"/>
          <w:b/>
          <w:bCs/>
        </w:rPr>
      </w:pPr>
      <w:bookmarkStart w:id="264" w:name="_Toc989154"/>
      <w:r>
        <w:rPr>
          <w:rFonts w:ascii="宋体" w:hAnsi="宋体" w:cs="宋体"/>
          <w:b/>
          <w:bCs/>
        </w:rPr>
        <w:t>12、投资性房地产</w:t>
      </w:r>
      <w:bookmarkEnd w:id="264"/>
    </w:p>
    <w:p w:rsidR="00BA0365" w:rsidRDefault="008D4B2E">
      <w:pPr>
        <w:keepNext/>
        <w:keepLines/>
        <w:spacing w:before="300" w:after="300" w:line="280" w:lineRule="exact"/>
        <w:outlineLvl w:val="3"/>
        <w:rPr>
          <w:rFonts w:ascii="宋体" w:eastAsia="宋体" w:hAnsi="宋体" w:cs="宋体"/>
          <w:b/>
          <w:bCs/>
          <w:sz w:val="18"/>
          <w:szCs w:val="18"/>
        </w:rPr>
      </w:pPr>
      <w:bookmarkStart w:id="265" w:name="_Toc989155"/>
      <w:r>
        <w:rPr>
          <w:rFonts w:ascii="宋体" w:eastAsia="宋体" w:hAnsi="宋体" w:cs="宋体"/>
          <w:b/>
          <w:bCs/>
          <w:sz w:val="18"/>
          <w:szCs w:val="18"/>
        </w:rPr>
        <w:t>（1） 采用成本计量模式的投资性房地产</w:t>
      </w:r>
      <w:bookmarkEnd w:id="265"/>
    </w:p>
    <w:p w:rsidR="00BA0365" w:rsidRDefault="008D4B2E">
      <w:pPr>
        <w:spacing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BA0365" w:rsidRDefault="008D4B2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1927"/>
        <w:gridCol w:w="1928"/>
        <w:gridCol w:w="1928"/>
        <w:gridCol w:w="1928"/>
        <w:gridCol w:w="1928"/>
      </w:tblGrid>
      <w:tr w:rsidR="00157EA0" w:rsidTr="001542D9">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房屋、建筑物</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土地使用权</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在建工程</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157EA0" w:rsidTr="001542D9">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一、账面原值</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rsidTr="001542D9">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67,851,918.40</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12,999,967.76</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80,851,886.16</w:t>
            </w:r>
          </w:p>
        </w:tc>
      </w:tr>
      <w:tr w:rsidR="00157EA0" w:rsidTr="001542D9">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1,620,229.28</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1,620,229.28</w:t>
            </w:r>
          </w:p>
        </w:tc>
      </w:tr>
      <w:tr w:rsidR="00157EA0" w:rsidTr="001542D9">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（1）外购</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1,620,229.28</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1,620,229.28</w:t>
            </w:r>
          </w:p>
        </w:tc>
      </w:tr>
      <w:tr w:rsidR="00157EA0" w:rsidTr="001542D9">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（2）存货\固定资产\在建工程转入</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rsidTr="001542D9">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（3）企业合并增加</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rsidTr="001542D9">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rsidTr="001542D9">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69,472,147.68</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12,999,967.76</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82,472,115.44</w:t>
            </w:r>
          </w:p>
        </w:tc>
      </w:tr>
      <w:tr w:rsidR="00157EA0" w:rsidTr="001542D9">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rsidTr="001542D9">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（2）其他转出</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rsidTr="001542D9">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处置子公司转出</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69,472,147.68</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12,999,967.76</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82,472,115.44</w:t>
            </w:r>
          </w:p>
        </w:tc>
      </w:tr>
      <w:tr w:rsidR="00157EA0" w:rsidTr="001542D9">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rsidTr="001542D9">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二、累计折旧和累计摊销</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rsidTr="001542D9">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lastRenderedPageBreak/>
              <w:t>1.期初余额</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3,081,720.60</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1,559,996.14</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4,641,716.74</w:t>
            </w:r>
          </w:p>
        </w:tc>
      </w:tr>
      <w:tr w:rsidR="00157EA0" w:rsidTr="001542D9">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1,306,181.83</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108,333.06</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1,414,514.89</w:t>
            </w:r>
          </w:p>
        </w:tc>
      </w:tr>
      <w:tr w:rsidR="00157EA0" w:rsidTr="001542D9">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（1）计提或摊销</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1,306,181.83</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108,333.06</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1,414,514.89</w:t>
            </w:r>
          </w:p>
        </w:tc>
      </w:tr>
      <w:tr w:rsidR="00157EA0" w:rsidTr="001542D9">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rsidTr="001542D9">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4,387,902.43</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1,668,329.20</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6,056,231.63</w:t>
            </w:r>
          </w:p>
        </w:tc>
      </w:tr>
      <w:tr w:rsidR="00157EA0" w:rsidTr="001542D9">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rsidTr="001542D9">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rsidP="001542D9">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（2）</w:t>
            </w:r>
            <w:r w:rsidR="001542D9">
              <w:rPr>
                <w:rFonts w:ascii="宋体" w:eastAsia="宋体" w:hAnsi="宋体" w:cs="宋体" w:hint="eastAsia"/>
                <w:sz w:val="18"/>
                <w:szCs w:val="18"/>
              </w:rPr>
              <w:t>其他</w:t>
            </w:r>
            <w:r>
              <w:rPr>
                <w:rFonts w:ascii="宋体" w:eastAsia="宋体" w:hAnsi="宋体" w:cs="宋体"/>
                <w:sz w:val="18"/>
                <w:szCs w:val="18"/>
              </w:rPr>
              <w:t>转出</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42D9" w:rsidTr="001542D9">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rPr>
                <w:rFonts w:ascii="宋体" w:eastAsia="宋体" w:hAnsi="宋体" w:cs="宋体"/>
                <w:sz w:val="18"/>
                <w:szCs w:val="18"/>
              </w:rPr>
            </w:pPr>
            <w:r>
              <w:rPr>
                <w:rFonts w:ascii="宋体" w:eastAsia="宋体" w:hAnsi="宋体" w:cs="宋体"/>
                <w:sz w:val="18"/>
                <w:szCs w:val="18"/>
              </w:rPr>
              <w:t>处置子公司转出</w:t>
            </w:r>
          </w:p>
        </w:tc>
        <w:tc>
          <w:tcPr>
            <w:tcW w:w="1928"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r>
              <w:rPr>
                <w:rFonts w:ascii="宋体" w:eastAsia="宋体" w:hAnsi="宋体" w:cs="宋体"/>
                <w:sz w:val="18"/>
                <w:szCs w:val="18"/>
              </w:rPr>
              <w:t>4,387,902.43</w:t>
            </w:r>
          </w:p>
        </w:tc>
        <w:tc>
          <w:tcPr>
            <w:tcW w:w="1928"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r>
              <w:rPr>
                <w:rFonts w:ascii="宋体" w:eastAsia="宋体" w:hAnsi="宋体" w:cs="宋体"/>
                <w:sz w:val="18"/>
                <w:szCs w:val="18"/>
              </w:rPr>
              <w:t>1,668,329.20</w:t>
            </w:r>
          </w:p>
        </w:tc>
        <w:tc>
          <w:tcPr>
            <w:tcW w:w="1928"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r>
              <w:rPr>
                <w:rFonts w:ascii="宋体" w:eastAsia="宋体" w:hAnsi="宋体" w:cs="宋体"/>
                <w:sz w:val="18"/>
                <w:szCs w:val="18"/>
              </w:rPr>
              <w:t>6,056,231.63</w:t>
            </w:r>
          </w:p>
        </w:tc>
      </w:tr>
      <w:tr w:rsidR="001542D9" w:rsidTr="001542D9">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1542D9" w:rsidRDefault="001542D9" w:rsidP="001542D9">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928"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p>
        </w:tc>
      </w:tr>
      <w:tr w:rsidR="001542D9" w:rsidTr="001542D9">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1542D9" w:rsidRDefault="001542D9" w:rsidP="001542D9">
            <w:pPr>
              <w:spacing w:before="40" w:after="40" w:line="240" w:lineRule="exact"/>
              <w:rPr>
                <w:rFonts w:ascii="宋体" w:eastAsia="宋体" w:hAnsi="宋体" w:cs="宋体"/>
                <w:sz w:val="18"/>
                <w:szCs w:val="18"/>
              </w:rPr>
            </w:pPr>
            <w:r>
              <w:rPr>
                <w:rFonts w:ascii="宋体" w:eastAsia="宋体" w:hAnsi="宋体" w:cs="宋体"/>
                <w:sz w:val="18"/>
                <w:szCs w:val="18"/>
              </w:rPr>
              <w:t>三、减值准备</w:t>
            </w:r>
          </w:p>
        </w:tc>
        <w:tc>
          <w:tcPr>
            <w:tcW w:w="1928"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p>
        </w:tc>
      </w:tr>
      <w:tr w:rsidR="001542D9" w:rsidTr="001542D9">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1542D9" w:rsidRDefault="001542D9" w:rsidP="001542D9">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928"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p>
        </w:tc>
      </w:tr>
      <w:tr w:rsidR="001542D9" w:rsidTr="001542D9">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1542D9" w:rsidRDefault="001542D9" w:rsidP="001542D9">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928"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p>
        </w:tc>
      </w:tr>
      <w:tr w:rsidR="001542D9" w:rsidTr="001542D9">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1542D9" w:rsidRDefault="001542D9" w:rsidP="001542D9">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（1）计提</w:t>
            </w:r>
          </w:p>
        </w:tc>
        <w:tc>
          <w:tcPr>
            <w:tcW w:w="1928"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p>
        </w:tc>
      </w:tr>
      <w:tr w:rsidR="001542D9" w:rsidTr="001542D9">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p>
        </w:tc>
      </w:tr>
      <w:tr w:rsidR="001542D9" w:rsidTr="001542D9">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1542D9" w:rsidRDefault="001542D9" w:rsidP="001542D9">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928"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p>
        </w:tc>
      </w:tr>
      <w:tr w:rsidR="001542D9" w:rsidTr="001542D9">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1542D9" w:rsidRDefault="001542D9" w:rsidP="001542D9">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w:t>
            </w:r>
          </w:p>
        </w:tc>
        <w:tc>
          <w:tcPr>
            <w:tcW w:w="1928"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p>
        </w:tc>
      </w:tr>
      <w:tr w:rsidR="001542D9" w:rsidTr="001542D9">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1542D9" w:rsidRDefault="001542D9" w:rsidP="001542D9">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（2）其他转出</w:t>
            </w:r>
          </w:p>
        </w:tc>
        <w:tc>
          <w:tcPr>
            <w:tcW w:w="1928"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p>
        </w:tc>
      </w:tr>
      <w:tr w:rsidR="001542D9" w:rsidTr="001542D9">
        <w:trPr>
          <w:trHeight w:val="240"/>
        </w:trPr>
        <w:tc>
          <w:tcPr>
            <w:tcW w:w="1927"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p>
        </w:tc>
      </w:tr>
      <w:tr w:rsidR="001542D9" w:rsidTr="001542D9">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1542D9" w:rsidRDefault="001542D9" w:rsidP="001542D9">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928"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p>
        </w:tc>
      </w:tr>
      <w:tr w:rsidR="001542D9" w:rsidTr="001542D9">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1542D9" w:rsidRDefault="001542D9" w:rsidP="001542D9">
            <w:pPr>
              <w:spacing w:before="40" w:after="40" w:line="240" w:lineRule="exact"/>
              <w:rPr>
                <w:rFonts w:ascii="宋体" w:eastAsia="宋体" w:hAnsi="宋体" w:cs="宋体"/>
                <w:sz w:val="18"/>
                <w:szCs w:val="18"/>
              </w:rPr>
            </w:pPr>
            <w:r>
              <w:rPr>
                <w:rFonts w:ascii="宋体" w:eastAsia="宋体" w:hAnsi="宋体" w:cs="宋体"/>
                <w:sz w:val="18"/>
                <w:szCs w:val="18"/>
              </w:rPr>
              <w:t>四、账面价值</w:t>
            </w:r>
          </w:p>
        </w:tc>
        <w:tc>
          <w:tcPr>
            <w:tcW w:w="1928"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p>
        </w:tc>
      </w:tr>
      <w:tr w:rsidR="001542D9" w:rsidTr="001542D9">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1542D9" w:rsidRDefault="001542D9" w:rsidP="001542D9">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1.期末账面价值</w:t>
            </w:r>
          </w:p>
        </w:tc>
        <w:tc>
          <w:tcPr>
            <w:tcW w:w="1928"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542D9" w:rsidTr="001542D9">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rsidR="001542D9" w:rsidRDefault="001542D9" w:rsidP="001542D9">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2.期初账面价值</w:t>
            </w:r>
          </w:p>
        </w:tc>
        <w:tc>
          <w:tcPr>
            <w:tcW w:w="1928"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r>
              <w:rPr>
                <w:rFonts w:ascii="宋体" w:eastAsia="宋体" w:hAnsi="宋体" w:cs="宋体"/>
                <w:sz w:val="18"/>
                <w:szCs w:val="18"/>
              </w:rPr>
              <w:t>64,770,197.80</w:t>
            </w:r>
          </w:p>
        </w:tc>
        <w:tc>
          <w:tcPr>
            <w:tcW w:w="1928"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r>
              <w:rPr>
                <w:rFonts w:ascii="宋体" w:eastAsia="宋体" w:hAnsi="宋体" w:cs="宋体"/>
                <w:sz w:val="18"/>
                <w:szCs w:val="18"/>
              </w:rPr>
              <w:t>11,439,971.62</w:t>
            </w:r>
          </w:p>
        </w:tc>
        <w:tc>
          <w:tcPr>
            <w:tcW w:w="1928"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1542D9" w:rsidRDefault="001542D9" w:rsidP="001542D9">
            <w:pPr>
              <w:spacing w:line="240" w:lineRule="exact"/>
              <w:jc w:val="right"/>
              <w:rPr>
                <w:rFonts w:ascii="宋体" w:eastAsia="宋体" w:hAnsi="宋体" w:cs="宋体"/>
                <w:sz w:val="18"/>
                <w:szCs w:val="18"/>
              </w:rPr>
            </w:pPr>
            <w:r>
              <w:rPr>
                <w:rFonts w:ascii="宋体" w:eastAsia="宋体" w:hAnsi="宋体" w:cs="宋体"/>
                <w:sz w:val="18"/>
                <w:szCs w:val="18"/>
              </w:rPr>
              <w:t>76,210,169.42</w:t>
            </w:r>
          </w:p>
        </w:tc>
      </w:tr>
    </w:tbl>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可收回金额按公允价值减去处置费用后的净额确定</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可收回金额按预计未来现金流量的现值确定</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8D4B2E" w:rsidRPr="00F220E5" w:rsidRDefault="008D4B2E" w:rsidP="00F220E5">
      <w:pPr>
        <w:spacing w:before="100" w:after="100" w:line="240" w:lineRule="exact"/>
        <w:rPr>
          <w:rFonts w:ascii="宋体" w:eastAsia="宋体" w:hAnsi="宋体" w:cs="宋体"/>
          <w:sz w:val="18"/>
          <w:szCs w:val="18"/>
        </w:rPr>
      </w:pPr>
      <w:r>
        <w:rPr>
          <w:rFonts w:ascii="宋体" w:eastAsia="宋体" w:hAnsi="宋体" w:cs="宋体"/>
          <w:sz w:val="18"/>
          <w:szCs w:val="18"/>
        </w:rPr>
        <w:t>前述信息与以前年度减值测试采用的信息或外部信息明显不一致的差异原因</w:t>
      </w:r>
      <w:r w:rsidR="00F220E5">
        <w:rPr>
          <w:rFonts w:ascii="宋体" w:eastAsia="宋体" w:hAnsi="宋体" w:cs="宋体"/>
          <w:sz w:val="18"/>
          <w:szCs w:val="18"/>
        </w:rPr>
        <w:t>：无</w:t>
      </w:r>
    </w:p>
    <w:p w:rsidR="00BA0365" w:rsidRDefault="008D4B2E">
      <w:pPr>
        <w:keepNext/>
        <w:keepLines/>
        <w:spacing w:before="300" w:after="300" w:line="280" w:lineRule="exact"/>
        <w:outlineLvl w:val="3"/>
        <w:rPr>
          <w:rFonts w:ascii="宋体" w:eastAsia="宋体" w:hAnsi="宋体" w:cs="宋体"/>
          <w:b/>
          <w:bCs/>
          <w:sz w:val="18"/>
          <w:szCs w:val="18"/>
        </w:rPr>
      </w:pPr>
      <w:bookmarkStart w:id="266" w:name="_Toc989156"/>
      <w:r>
        <w:rPr>
          <w:rFonts w:ascii="宋体" w:eastAsia="宋体" w:hAnsi="宋体" w:cs="宋体"/>
          <w:b/>
          <w:bCs/>
          <w:sz w:val="18"/>
          <w:szCs w:val="18"/>
        </w:rPr>
        <w:t>（2） 采用公允价值计量模式的投资性房地产</w:t>
      </w:r>
      <w:bookmarkEnd w:id="266"/>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pStyle w:val="3"/>
        <w:spacing w:line="280" w:lineRule="exact"/>
        <w:jc w:val="left"/>
        <w:rPr>
          <w:rFonts w:ascii="宋体" w:hAnsi="宋体" w:cs="宋体"/>
          <w:b/>
          <w:bCs/>
        </w:rPr>
      </w:pPr>
      <w:bookmarkStart w:id="267" w:name="_Toc989157"/>
      <w:r>
        <w:rPr>
          <w:rFonts w:ascii="宋体" w:hAnsi="宋体" w:cs="宋体"/>
          <w:b/>
          <w:bCs/>
        </w:rPr>
        <w:t>13、固定资产</w:t>
      </w:r>
      <w:bookmarkEnd w:id="267"/>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3213"/>
        <w:gridCol w:w="3213"/>
        <w:gridCol w:w="3213"/>
      </w:tblGrid>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2,221,406,601.56</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2,205,451,294.22</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固定资产清理</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268,840.00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2,221,675,441.56</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2,205,451,294.22</w:t>
            </w:r>
          </w:p>
        </w:tc>
      </w:tr>
    </w:tbl>
    <w:p w:rsidR="00BA0365" w:rsidRDefault="008D4B2E">
      <w:pPr>
        <w:keepNext/>
        <w:keepLines/>
        <w:spacing w:before="300" w:after="300" w:line="280" w:lineRule="exact"/>
        <w:outlineLvl w:val="3"/>
        <w:rPr>
          <w:rFonts w:ascii="宋体" w:eastAsia="宋体" w:hAnsi="宋体" w:cs="宋体"/>
          <w:b/>
          <w:bCs/>
          <w:szCs w:val="21"/>
        </w:rPr>
      </w:pPr>
      <w:bookmarkStart w:id="268" w:name="_Toc989158"/>
      <w:r>
        <w:rPr>
          <w:rFonts w:ascii="宋体" w:eastAsia="宋体" w:hAnsi="宋体" w:cs="宋体"/>
          <w:b/>
          <w:bCs/>
          <w:szCs w:val="21"/>
        </w:rPr>
        <w:t>（1） 固定资产情况</w:t>
      </w:r>
      <w:bookmarkEnd w:id="268"/>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1204"/>
        <w:gridCol w:w="1205"/>
        <w:gridCol w:w="1205"/>
        <w:gridCol w:w="1205"/>
        <w:gridCol w:w="1205"/>
        <w:gridCol w:w="1205"/>
        <w:gridCol w:w="1205"/>
        <w:gridCol w:w="1205"/>
      </w:tblGrid>
      <w:tr w:rsidR="00157EA0">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项目</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center"/>
              <w:rPr>
                <w:rFonts w:ascii="宋体" w:eastAsia="宋体" w:hAnsi="宋体" w:cs="宋体"/>
                <w:sz w:val="18"/>
                <w:szCs w:val="18"/>
              </w:rPr>
            </w:pPr>
            <w:r>
              <w:rPr>
                <w:rFonts w:ascii="宋体" w:eastAsia="宋体" w:hAnsi="宋体" w:cs="宋体"/>
                <w:sz w:val="18"/>
                <w:szCs w:val="18"/>
              </w:rPr>
              <w:t>房屋及建筑物</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center"/>
              <w:rPr>
                <w:rFonts w:ascii="宋体" w:eastAsia="宋体" w:hAnsi="宋体" w:cs="宋体"/>
                <w:sz w:val="18"/>
                <w:szCs w:val="18"/>
              </w:rPr>
            </w:pPr>
            <w:r>
              <w:rPr>
                <w:rFonts w:ascii="宋体" w:eastAsia="宋体" w:hAnsi="宋体" w:cs="宋体"/>
                <w:sz w:val="18"/>
                <w:szCs w:val="18"/>
              </w:rPr>
              <w:t>机器设备</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center"/>
              <w:rPr>
                <w:rFonts w:ascii="宋体" w:eastAsia="宋体" w:hAnsi="宋体" w:cs="宋体"/>
                <w:sz w:val="18"/>
                <w:szCs w:val="18"/>
              </w:rPr>
            </w:pPr>
            <w:r>
              <w:rPr>
                <w:rFonts w:ascii="宋体" w:eastAsia="宋体" w:hAnsi="宋体" w:cs="宋体"/>
                <w:sz w:val="18"/>
                <w:szCs w:val="18"/>
              </w:rPr>
              <w:t>电子设备</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center"/>
              <w:rPr>
                <w:rFonts w:ascii="宋体" w:eastAsia="宋体" w:hAnsi="宋体" w:cs="宋体"/>
                <w:sz w:val="18"/>
                <w:szCs w:val="18"/>
              </w:rPr>
            </w:pPr>
            <w:r>
              <w:rPr>
                <w:rFonts w:ascii="宋体" w:eastAsia="宋体" w:hAnsi="宋体" w:cs="宋体"/>
                <w:sz w:val="18"/>
                <w:szCs w:val="18"/>
              </w:rPr>
              <w:t>办公设备</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center"/>
              <w:rPr>
                <w:rFonts w:ascii="宋体" w:eastAsia="宋体" w:hAnsi="宋体" w:cs="宋体"/>
                <w:sz w:val="18"/>
                <w:szCs w:val="18"/>
              </w:rPr>
            </w:pPr>
            <w:r>
              <w:rPr>
                <w:rFonts w:ascii="宋体" w:eastAsia="宋体" w:hAnsi="宋体" w:cs="宋体"/>
                <w:sz w:val="18"/>
                <w:szCs w:val="18"/>
              </w:rPr>
              <w:t>运输设备</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center"/>
              <w:rPr>
                <w:rFonts w:ascii="宋体" w:eastAsia="宋体" w:hAnsi="宋体" w:cs="宋体"/>
                <w:sz w:val="18"/>
                <w:szCs w:val="18"/>
              </w:rPr>
            </w:pPr>
            <w:r>
              <w:rPr>
                <w:rFonts w:ascii="宋体" w:eastAsia="宋体" w:hAnsi="宋体" w:cs="宋体"/>
                <w:sz w:val="18"/>
                <w:szCs w:val="18"/>
              </w:rPr>
              <w:t>其他</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157EA0">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一、账面原值：</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1,341,468,311.36</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1,735,830,655.08</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65,663,010.12</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59,039,972.38</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44,540,253.05</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3,178,343.32</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3,249,720,545.31</w:t>
            </w:r>
          </w:p>
        </w:tc>
      </w:tr>
      <w:tr w:rsidR="00157EA0">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72,034,216.57</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171,721,865.50</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2,970,632.29</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9,763,346.34</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5,115,821.49</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28,239.36</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261,634,121.55</w:t>
            </w:r>
          </w:p>
        </w:tc>
      </w:tr>
      <w:tr w:rsidR="00157EA0">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（1）购置</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65,305,305.74</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104,351,792.14</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2,687,711.93</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9,763,346.34</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5,115,821.49</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28,239.36</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187,252,217.00</w:t>
            </w:r>
          </w:p>
        </w:tc>
      </w:tr>
      <w:tr w:rsidR="00157EA0">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（2）在建工程转入</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6,728,910.83</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67,370,073.36</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282,920.36</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74,381,904.55</w:t>
            </w:r>
          </w:p>
        </w:tc>
      </w:tr>
      <w:tr w:rsidR="00157EA0">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（3）企业合并增加</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1,918,171.24</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48,510,611.94</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246,977.40</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1,231,662.99</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2,140,514.91</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54,047,938.48</w:t>
            </w:r>
          </w:p>
        </w:tc>
      </w:tr>
      <w:tr w:rsidR="00157EA0">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（1）处置或报废</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1,918,171.24</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48,510,611.94</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246,977.40</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1,231,662.99</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2,140,514.91</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54,047,938.48</w:t>
            </w:r>
          </w:p>
        </w:tc>
      </w:tr>
      <w:tr w:rsidR="00157EA0">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1,411,584,356.69</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1,859,041,908.64</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68,386,665.01</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67,571,655.73</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47,515,559.63</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3,206,582.68</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3,457,306,728.38</w:t>
            </w:r>
          </w:p>
        </w:tc>
      </w:tr>
      <w:tr w:rsidR="00157EA0">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二、累计折旧</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287,758,318.81</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660,648,414.73</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43,112,878.39</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23,429,953.84</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23,503,923.52</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2,860,187.97</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1,041,313,677.26</w:t>
            </w:r>
          </w:p>
        </w:tc>
      </w:tr>
      <w:tr w:rsidR="00157EA0">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60,153,840.74</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132,510,050.44</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4,961,959.97</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7,890,314.63</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5,409,408.39</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14,573.38</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210,940,147.55</w:t>
            </w:r>
          </w:p>
        </w:tc>
      </w:tr>
      <w:tr w:rsidR="00157EA0">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（1）计提</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60,153,840.74</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132,510,050.44</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4,961,959.97</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7,890,314.63</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5,409,408.39</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14,573.38</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210,940,147.55</w:t>
            </w:r>
          </w:p>
        </w:tc>
      </w:tr>
      <w:tr w:rsidR="00157EA0">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220,189.96</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16,475,431.82</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222,042.46</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1,105,923.56</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1,285,684.02</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19,309,271.82</w:t>
            </w:r>
          </w:p>
        </w:tc>
      </w:tr>
      <w:tr w:rsidR="00157EA0">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（1）处置或报废</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220,189.96</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16,475,431.82</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222,042.46</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1,105,923.56</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1,285,684.02</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19,309,271.82</w:t>
            </w:r>
          </w:p>
        </w:tc>
      </w:tr>
      <w:tr w:rsidR="00157EA0">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347,691,969.59</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776,683,033.35</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47,852,795.90</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30,214,344.91</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27,627,647.89</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2,874,761.35</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1,232,944,552.99</w:t>
            </w:r>
          </w:p>
        </w:tc>
      </w:tr>
      <w:tr w:rsidR="00157EA0">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三、减值准备</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2,955,573.83</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2,955,573.83</w:t>
            </w:r>
          </w:p>
        </w:tc>
      </w:tr>
      <w:tr w:rsidR="00157EA0">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17,777,387.43</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17,777,387.43</w:t>
            </w:r>
          </w:p>
        </w:tc>
      </w:tr>
      <w:tr w:rsidR="00157EA0">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（1）计提</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17,777,387.43</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17,777,387.43</w:t>
            </w:r>
          </w:p>
        </w:tc>
      </w:tr>
      <w:tr w:rsidR="00157EA0">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17,777,387.43</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17,777,387.43</w:t>
            </w:r>
          </w:p>
        </w:tc>
      </w:tr>
      <w:tr w:rsidR="00157EA0">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（1）处置或报废</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17,777,387.43</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17,777,387.43</w:t>
            </w:r>
          </w:p>
        </w:tc>
      </w:tr>
      <w:tr w:rsidR="00157EA0">
        <w:trPr>
          <w:trHeight w:val="240"/>
        </w:trPr>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2,955,573.83</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2,955,573.83</w:t>
            </w:r>
          </w:p>
        </w:tc>
      </w:tr>
      <w:tr w:rsidR="00157EA0">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四、账面价值</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1.期末账面价值</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1,063,892,387.10</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1,079,403,301.46</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20,533,869.11</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37,357,310.82</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19,887,911.74</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331,821.33</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2,221,406,601.56</w:t>
            </w:r>
          </w:p>
        </w:tc>
      </w:tr>
      <w:tr w:rsidR="00157EA0">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2.期初账面价值</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1,053,709,992.55</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1,072,226,666.52</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22,550,131.73</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35,610,018.54</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21,036,329.53</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318,155.35</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2,205,451,294.22</w:t>
            </w:r>
          </w:p>
        </w:tc>
      </w:tr>
    </w:tbl>
    <w:p w:rsidR="00BA0365" w:rsidRDefault="008D4B2E">
      <w:pPr>
        <w:keepNext/>
        <w:keepLines/>
        <w:spacing w:before="300" w:after="300" w:line="280" w:lineRule="exact"/>
        <w:outlineLvl w:val="3"/>
        <w:rPr>
          <w:rFonts w:ascii="宋体" w:eastAsia="宋体" w:hAnsi="宋体" w:cs="宋体"/>
          <w:b/>
          <w:bCs/>
          <w:szCs w:val="21"/>
        </w:rPr>
      </w:pPr>
      <w:bookmarkStart w:id="269" w:name="_Toc989159"/>
      <w:r>
        <w:rPr>
          <w:rFonts w:ascii="宋体" w:eastAsia="宋体" w:hAnsi="宋体" w:cs="宋体"/>
          <w:b/>
          <w:bCs/>
          <w:szCs w:val="21"/>
        </w:rPr>
        <w:t>（2） 未办妥产权证书的固定资产情况</w:t>
      </w:r>
      <w:bookmarkEnd w:id="269"/>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3213"/>
        <w:gridCol w:w="3213"/>
        <w:gridCol w:w="3213"/>
      </w:tblGrid>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未办妥产权证书的原因</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益</w:t>
            </w:r>
            <w:proofErr w:type="gramStart"/>
            <w:r>
              <w:rPr>
                <w:rFonts w:ascii="宋体" w:eastAsia="宋体" w:hAnsi="宋体" w:cs="宋体"/>
                <w:sz w:val="18"/>
                <w:szCs w:val="18"/>
              </w:rPr>
              <w:t>凯</w:t>
            </w:r>
            <w:proofErr w:type="gramEnd"/>
            <w:r>
              <w:rPr>
                <w:rFonts w:ascii="宋体" w:eastAsia="宋体" w:hAnsi="宋体" w:cs="宋体"/>
                <w:sz w:val="18"/>
                <w:szCs w:val="18"/>
              </w:rPr>
              <w:t>EVE厂房</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237,338,050.08</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rsidP="00F220E5">
            <w:pPr>
              <w:spacing w:line="240" w:lineRule="exact"/>
              <w:jc w:val="center"/>
              <w:rPr>
                <w:rFonts w:ascii="宋体" w:eastAsia="宋体" w:hAnsi="宋体" w:cs="宋体"/>
                <w:sz w:val="18"/>
                <w:szCs w:val="18"/>
              </w:rPr>
            </w:pPr>
            <w:r>
              <w:rPr>
                <w:rFonts w:ascii="宋体" w:eastAsia="宋体" w:hAnsi="宋体" w:cs="宋体"/>
                <w:sz w:val="18"/>
                <w:szCs w:val="18"/>
              </w:rPr>
              <w:t>正在办理中</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抚顺伊科思厂房及办公楼</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43,101,989.11</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rsidP="00F220E5">
            <w:pPr>
              <w:spacing w:line="240" w:lineRule="exact"/>
              <w:jc w:val="center"/>
              <w:rPr>
                <w:rFonts w:ascii="宋体" w:eastAsia="宋体" w:hAnsi="宋体" w:cs="宋体"/>
                <w:sz w:val="18"/>
                <w:szCs w:val="18"/>
              </w:rPr>
            </w:pPr>
            <w:r>
              <w:rPr>
                <w:rFonts w:ascii="宋体" w:eastAsia="宋体" w:hAnsi="宋体" w:cs="宋体"/>
                <w:sz w:val="18"/>
                <w:szCs w:val="18"/>
              </w:rPr>
              <w:t>正在办理中</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敬业机电办公楼</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27,081,601.40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rsidP="00F220E5">
            <w:pPr>
              <w:spacing w:line="240" w:lineRule="exact"/>
              <w:jc w:val="center"/>
              <w:rPr>
                <w:rFonts w:ascii="宋体" w:eastAsia="宋体" w:hAnsi="宋体" w:cs="宋体"/>
                <w:sz w:val="18"/>
                <w:szCs w:val="18"/>
              </w:rPr>
            </w:pPr>
            <w:r>
              <w:rPr>
                <w:rFonts w:ascii="宋体" w:eastAsia="宋体" w:hAnsi="宋体" w:cs="宋体"/>
                <w:sz w:val="18"/>
                <w:szCs w:val="18"/>
              </w:rPr>
              <w:t>正在办理中</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敬业机械厂房</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4,969,769.22</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rsidP="00F220E5">
            <w:pPr>
              <w:spacing w:line="240" w:lineRule="exact"/>
              <w:jc w:val="center"/>
              <w:rPr>
                <w:rFonts w:ascii="宋体" w:eastAsia="宋体" w:hAnsi="宋体" w:cs="宋体"/>
                <w:sz w:val="18"/>
                <w:szCs w:val="18"/>
              </w:rPr>
            </w:pPr>
            <w:r>
              <w:rPr>
                <w:rFonts w:ascii="宋体" w:eastAsia="宋体" w:hAnsi="宋体" w:cs="宋体"/>
                <w:sz w:val="18"/>
                <w:szCs w:val="18"/>
              </w:rPr>
              <w:t>正在办理中</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荣成房产</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5,287,905.25</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rsidP="00F220E5">
            <w:pPr>
              <w:spacing w:line="240" w:lineRule="exact"/>
              <w:jc w:val="center"/>
              <w:rPr>
                <w:rFonts w:ascii="宋体" w:eastAsia="宋体" w:hAnsi="宋体" w:cs="宋体"/>
                <w:sz w:val="18"/>
                <w:szCs w:val="18"/>
              </w:rPr>
            </w:pPr>
            <w:r>
              <w:rPr>
                <w:rFonts w:ascii="宋体" w:eastAsia="宋体" w:hAnsi="宋体" w:cs="宋体"/>
                <w:sz w:val="18"/>
                <w:szCs w:val="18"/>
              </w:rPr>
              <w:t>正在办理中</w:t>
            </w:r>
          </w:p>
        </w:tc>
      </w:tr>
    </w:tbl>
    <w:p w:rsidR="00BA0365" w:rsidRDefault="008D4B2E">
      <w:pPr>
        <w:keepNext/>
        <w:keepLines/>
        <w:spacing w:before="300" w:after="300" w:line="280" w:lineRule="exact"/>
        <w:outlineLvl w:val="3"/>
        <w:rPr>
          <w:rFonts w:ascii="宋体" w:eastAsia="宋体" w:hAnsi="宋体" w:cs="宋体"/>
          <w:b/>
          <w:bCs/>
          <w:szCs w:val="21"/>
        </w:rPr>
      </w:pPr>
      <w:bookmarkStart w:id="270" w:name="_Toc989160"/>
      <w:r>
        <w:rPr>
          <w:rFonts w:ascii="宋体" w:eastAsia="宋体" w:hAnsi="宋体" w:cs="宋体"/>
          <w:b/>
          <w:bCs/>
          <w:szCs w:val="21"/>
        </w:rPr>
        <w:t>（3） 固定资产的减值测试情况</w:t>
      </w:r>
      <w:bookmarkEnd w:id="270"/>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可收回金额按公允价值减去处置费用后的净额确定</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1242"/>
        <w:gridCol w:w="1512"/>
        <w:gridCol w:w="1323"/>
        <w:gridCol w:w="1431"/>
        <w:gridCol w:w="1688"/>
        <w:gridCol w:w="1276"/>
        <w:gridCol w:w="1167"/>
      </w:tblGrid>
      <w:tr w:rsidR="00157EA0" w:rsidTr="001112C2">
        <w:trPr>
          <w:trHeight w:val="240"/>
        </w:trPr>
        <w:tc>
          <w:tcPr>
            <w:tcW w:w="124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51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32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可收回金额</w:t>
            </w:r>
          </w:p>
        </w:tc>
        <w:tc>
          <w:tcPr>
            <w:tcW w:w="143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减值金额</w:t>
            </w:r>
          </w:p>
        </w:tc>
        <w:tc>
          <w:tcPr>
            <w:tcW w:w="168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公允价值和处置费用的确定方式</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关键参数</w:t>
            </w:r>
          </w:p>
        </w:tc>
        <w:tc>
          <w:tcPr>
            <w:tcW w:w="116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关键参数的确定依据</w:t>
            </w:r>
          </w:p>
        </w:tc>
      </w:tr>
      <w:tr w:rsidR="00157EA0" w:rsidTr="001112C2">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NRM</w:t>
            </w:r>
            <w:proofErr w:type="gramStart"/>
            <w:r>
              <w:rPr>
                <w:rFonts w:ascii="宋体" w:eastAsia="宋体" w:hAnsi="宋体" w:cs="宋体"/>
                <w:sz w:val="18"/>
                <w:szCs w:val="18"/>
              </w:rPr>
              <w:t>产线</w:t>
            </w:r>
            <w:proofErr w:type="gramEnd"/>
          </w:p>
        </w:tc>
        <w:tc>
          <w:tcPr>
            <w:tcW w:w="151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18,046,227.43</w:t>
            </w:r>
          </w:p>
        </w:tc>
        <w:tc>
          <w:tcPr>
            <w:tcW w:w="132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268,840.00</w:t>
            </w:r>
          </w:p>
        </w:tc>
        <w:tc>
          <w:tcPr>
            <w:tcW w:w="143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17,777,387.43</w:t>
            </w:r>
          </w:p>
        </w:tc>
        <w:tc>
          <w:tcPr>
            <w:tcW w:w="168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根据外部报价确定可回收金额</w:t>
            </w:r>
          </w:p>
        </w:tc>
        <w:tc>
          <w:tcPr>
            <w:tcW w:w="12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1167"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r>
      <w:tr w:rsidR="00157EA0" w:rsidTr="001112C2">
        <w:trPr>
          <w:trHeight w:val="240"/>
        </w:trPr>
        <w:tc>
          <w:tcPr>
            <w:tcW w:w="124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151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18,046,227.43</w:t>
            </w:r>
          </w:p>
        </w:tc>
        <w:tc>
          <w:tcPr>
            <w:tcW w:w="132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268,840.00</w:t>
            </w:r>
          </w:p>
        </w:tc>
        <w:tc>
          <w:tcPr>
            <w:tcW w:w="143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17,777,387.43</w:t>
            </w:r>
          </w:p>
        </w:tc>
        <w:tc>
          <w:tcPr>
            <w:tcW w:w="168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16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bl>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可收回金额按预计未来现金流量的现值确定</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keepNext/>
        <w:keepLines/>
        <w:spacing w:before="300" w:after="300" w:line="280" w:lineRule="exact"/>
        <w:outlineLvl w:val="3"/>
        <w:rPr>
          <w:rFonts w:ascii="宋体" w:eastAsia="宋体" w:hAnsi="宋体" w:cs="宋体"/>
          <w:b/>
          <w:bCs/>
          <w:szCs w:val="21"/>
        </w:rPr>
      </w:pPr>
      <w:bookmarkStart w:id="271" w:name="_Toc989161"/>
      <w:r>
        <w:rPr>
          <w:rFonts w:ascii="宋体" w:eastAsia="宋体" w:hAnsi="宋体" w:cs="宋体"/>
          <w:b/>
          <w:bCs/>
          <w:szCs w:val="21"/>
        </w:rPr>
        <w:t>（4） 固定资产清理</w:t>
      </w:r>
      <w:bookmarkEnd w:id="271"/>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3213"/>
        <w:gridCol w:w="3213"/>
        <w:gridCol w:w="3213"/>
      </w:tblGrid>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固定资产清理</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268,840.00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268,840.00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r>
    </w:tbl>
    <w:p w:rsidR="00BA0365" w:rsidRDefault="008D4B2E">
      <w:pPr>
        <w:pStyle w:val="3"/>
        <w:spacing w:line="280" w:lineRule="exact"/>
        <w:jc w:val="left"/>
        <w:rPr>
          <w:rFonts w:ascii="宋体" w:hAnsi="宋体" w:cs="宋体"/>
          <w:b/>
          <w:bCs/>
        </w:rPr>
      </w:pPr>
      <w:bookmarkStart w:id="272" w:name="_Toc989162"/>
      <w:r>
        <w:rPr>
          <w:rFonts w:ascii="宋体" w:hAnsi="宋体" w:cs="宋体"/>
          <w:b/>
          <w:bCs/>
        </w:rPr>
        <w:lastRenderedPageBreak/>
        <w:t>14、在建工程</w:t>
      </w:r>
      <w:bookmarkEnd w:id="272"/>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3213"/>
        <w:gridCol w:w="3213"/>
        <w:gridCol w:w="3213"/>
      </w:tblGrid>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580,504,540.03</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91,254,554.21</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工程物资</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580,504,540.03</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91,254,554.21</w:t>
            </w:r>
          </w:p>
        </w:tc>
      </w:tr>
    </w:tbl>
    <w:p w:rsidR="00BA0365" w:rsidRDefault="008D4B2E">
      <w:pPr>
        <w:keepNext/>
        <w:keepLines/>
        <w:spacing w:before="300" w:after="300" w:line="280" w:lineRule="exact"/>
        <w:outlineLvl w:val="3"/>
        <w:rPr>
          <w:rFonts w:ascii="宋体" w:eastAsia="宋体" w:hAnsi="宋体" w:cs="宋体"/>
          <w:b/>
          <w:bCs/>
          <w:szCs w:val="21"/>
        </w:rPr>
      </w:pPr>
      <w:bookmarkStart w:id="273" w:name="_Toc989163"/>
      <w:r>
        <w:rPr>
          <w:rFonts w:ascii="宋体" w:eastAsia="宋体" w:hAnsi="宋体" w:cs="宋体"/>
          <w:b/>
          <w:bCs/>
          <w:szCs w:val="21"/>
        </w:rPr>
        <w:t>（1） 在建工程情况</w:t>
      </w:r>
      <w:bookmarkEnd w:id="273"/>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1526"/>
        <w:gridCol w:w="1559"/>
        <w:gridCol w:w="992"/>
        <w:gridCol w:w="1560"/>
        <w:gridCol w:w="1417"/>
        <w:gridCol w:w="992"/>
        <w:gridCol w:w="1593"/>
      </w:tblGrid>
      <w:tr w:rsidR="00157EA0" w:rsidTr="001112C2">
        <w:trPr>
          <w:trHeight w:val="240"/>
        </w:trPr>
        <w:tc>
          <w:tcPr>
            <w:tcW w:w="152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11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002"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57EA0" w:rsidTr="001112C2">
        <w:trPr>
          <w:trHeight w:val="240"/>
        </w:trPr>
        <w:tc>
          <w:tcPr>
            <w:tcW w:w="152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59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157EA0" w:rsidTr="001112C2">
        <w:trPr>
          <w:trHeight w:val="240"/>
        </w:trPr>
        <w:tc>
          <w:tcPr>
            <w:tcW w:w="152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碳五低碳综合利用绿色新材料项目</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412,614,140.90</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412,614,140.90</w:t>
            </w:r>
          </w:p>
        </w:tc>
        <w:tc>
          <w:tcPr>
            <w:tcW w:w="141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3,320,754.59</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3,320,754.59</w:t>
            </w:r>
          </w:p>
        </w:tc>
      </w:tr>
      <w:tr w:rsidR="00157EA0" w:rsidTr="001112C2">
        <w:trPr>
          <w:trHeight w:val="240"/>
        </w:trPr>
        <w:tc>
          <w:tcPr>
            <w:tcW w:w="152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EVE</w:t>
            </w:r>
            <w:proofErr w:type="gramStart"/>
            <w:r>
              <w:rPr>
                <w:rFonts w:ascii="宋体" w:eastAsia="宋体" w:hAnsi="宋体" w:cs="宋体"/>
                <w:sz w:val="18"/>
                <w:szCs w:val="18"/>
              </w:rPr>
              <w:t>胶项目</w:t>
            </w:r>
            <w:proofErr w:type="gramEnd"/>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89,359,525.47</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89,359,525.47</w:t>
            </w:r>
          </w:p>
        </w:tc>
        <w:tc>
          <w:tcPr>
            <w:tcW w:w="141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32,219,784.58</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32,219,784.58</w:t>
            </w:r>
          </w:p>
        </w:tc>
      </w:tr>
      <w:tr w:rsidR="00157EA0" w:rsidTr="001112C2">
        <w:trPr>
          <w:trHeight w:val="240"/>
        </w:trPr>
        <w:tc>
          <w:tcPr>
            <w:tcW w:w="152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EB自动化设备</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51,876,106.19</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51,876,106.19</w:t>
            </w:r>
          </w:p>
        </w:tc>
        <w:tc>
          <w:tcPr>
            <w:tcW w:w="1417"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rsidTr="001112C2">
        <w:trPr>
          <w:trHeight w:val="240"/>
        </w:trPr>
        <w:tc>
          <w:tcPr>
            <w:tcW w:w="1526" w:type="dxa"/>
            <w:tcBorders>
              <w:top w:val="single" w:sz="2" w:space="0" w:color="auto"/>
              <w:left w:val="single" w:sz="2" w:space="0" w:color="auto"/>
              <w:bottom w:val="single" w:sz="2" w:space="0" w:color="auto"/>
              <w:right w:val="single" w:sz="2" w:space="0" w:color="auto"/>
            </w:tcBorders>
            <w:vAlign w:val="center"/>
          </w:tcPr>
          <w:p w:rsidR="00BA0365" w:rsidRDefault="008D4B2E" w:rsidP="001542D9">
            <w:pPr>
              <w:spacing w:line="240" w:lineRule="exact"/>
              <w:rPr>
                <w:rFonts w:ascii="宋体" w:eastAsia="宋体" w:hAnsi="宋体" w:cs="宋体"/>
                <w:sz w:val="18"/>
                <w:szCs w:val="18"/>
              </w:rPr>
            </w:pPr>
            <w:r>
              <w:rPr>
                <w:rFonts w:ascii="宋体" w:eastAsia="宋体" w:hAnsi="宋体" w:cs="宋体"/>
                <w:sz w:val="18"/>
                <w:szCs w:val="18"/>
              </w:rPr>
              <w:t>天然气蒸汽锅炉节能提效改造项目</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9,628,371.00</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9,628,371.00</w:t>
            </w:r>
          </w:p>
        </w:tc>
        <w:tc>
          <w:tcPr>
            <w:tcW w:w="1417"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rsidTr="001112C2">
        <w:trPr>
          <w:trHeight w:val="240"/>
        </w:trPr>
        <w:tc>
          <w:tcPr>
            <w:tcW w:w="152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柬埔寨低碳能源工厂供热项目</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8,833,810.60</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8,833,810.60</w:t>
            </w:r>
          </w:p>
        </w:tc>
        <w:tc>
          <w:tcPr>
            <w:tcW w:w="1417"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rsidTr="001112C2">
        <w:trPr>
          <w:trHeight w:val="240"/>
        </w:trPr>
        <w:tc>
          <w:tcPr>
            <w:tcW w:w="152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后处理单元VOCS深度治理项目</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7,137,353.13</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7,137,353.13</w:t>
            </w:r>
          </w:p>
        </w:tc>
        <w:tc>
          <w:tcPr>
            <w:tcW w:w="141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895,014.42</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895,014.42</w:t>
            </w:r>
          </w:p>
        </w:tc>
      </w:tr>
      <w:tr w:rsidR="00157EA0" w:rsidTr="001112C2">
        <w:trPr>
          <w:trHeight w:val="240"/>
        </w:trPr>
        <w:tc>
          <w:tcPr>
            <w:tcW w:w="152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其他</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1,055,232.74</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1,055,232.74</w:t>
            </w:r>
          </w:p>
        </w:tc>
        <w:tc>
          <w:tcPr>
            <w:tcW w:w="141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4,099,882.41</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4,099,882.41</w:t>
            </w:r>
          </w:p>
        </w:tc>
      </w:tr>
      <w:tr w:rsidR="00157EA0" w:rsidTr="001112C2">
        <w:trPr>
          <w:trHeight w:val="240"/>
        </w:trPr>
        <w:tc>
          <w:tcPr>
            <w:tcW w:w="152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H客户光</w:t>
            </w:r>
            <w:proofErr w:type="gramStart"/>
            <w:r>
              <w:rPr>
                <w:rFonts w:ascii="宋体" w:eastAsia="宋体" w:hAnsi="宋体" w:cs="宋体"/>
                <w:sz w:val="18"/>
                <w:szCs w:val="18"/>
              </w:rPr>
              <w:t>伏项目</w:t>
            </w:r>
            <w:proofErr w:type="gramEnd"/>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18,763,956.39</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18,763,956.39</w:t>
            </w:r>
          </w:p>
        </w:tc>
      </w:tr>
      <w:tr w:rsidR="00157EA0" w:rsidTr="001112C2">
        <w:trPr>
          <w:trHeight w:val="240"/>
        </w:trPr>
        <w:tc>
          <w:tcPr>
            <w:tcW w:w="152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S客户光</w:t>
            </w:r>
            <w:proofErr w:type="gramStart"/>
            <w:r>
              <w:rPr>
                <w:rFonts w:ascii="宋体" w:eastAsia="宋体" w:hAnsi="宋体" w:cs="宋体"/>
                <w:sz w:val="18"/>
                <w:szCs w:val="18"/>
              </w:rPr>
              <w:t>伏项目</w:t>
            </w:r>
            <w:proofErr w:type="gramEnd"/>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11,629,456.86</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11,629,456.86</w:t>
            </w:r>
          </w:p>
        </w:tc>
      </w:tr>
      <w:tr w:rsidR="00157EA0" w:rsidTr="001112C2">
        <w:trPr>
          <w:trHeight w:val="240"/>
        </w:trPr>
        <w:tc>
          <w:tcPr>
            <w:tcW w:w="152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橡胶节能改造及产品优化项目</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7,852,275.02</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7,852,275.02</w:t>
            </w:r>
          </w:p>
        </w:tc>
      </w:tr>
      <w:tr w:rsidR="00157EA0" w:rsidTr="001112C2">
        <w:trPr>
          <w:trHeight w:val="240"/>
        </w:trPr>
        <w:tc>
          <w:tcPr>
            <w:tcW w:w="152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喷漆车间扩建项目</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5,226,660.97</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5,226,660.97</w:t>
            </w:r>
          </w:p>
        </w:tc>
      </w:tr>
      <w:tr w:rsidR="00157EA0" w:rsidTr="001112C2">
        <w:trPr>
          <w:trHeight w:val="240"/>
        </w:trPr>
        <w:tc>
          <w:tcPr>
            <w:tcW w:w="152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产业园宿舍楼改造项目</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4,475,173.40</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4,475,173.40</w:t>
            </w:r>
          </w:p>
        </w:tc>
      </w:tr>
      <w:tr w:rsidR="00157EA0" w:rsidTr="001112C2">
        <w:trPr>
          <w:trHeight w:val="240"/>
        </w:trPr>
        <w:tc>
          <w:tcPr>
            <w:tcW w:w="152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尾气回收利用系统项目</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2,771,595.57</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2,771,595.57</w:t>
            </w:r>
          </w:p>
        </w:tc>
      </w:tr>
      <w:tr w:rsidR="00157EA0" w:rsidTr="001112C2">
        <w:trPr>
          <w:trHeight w:val="240"/>
        </w:trPr>
        <w:tc>
          <w:tcPr>
            <w:tcW w:w="152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580,504,540.03</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580,504,540.03</w:t>
            </w:r>
          </w:p>
        </w:tc>
        <w:tc>
          <w:tcPr>
            <w:tcW w:w="141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91,254,554.21</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91,254,554.21</w:t>
            </w:r>
          </w:p>
        </w:tc>
      </w:tr>
    </w:tbl>
    <w:p w:rsidR="00BA0365" w:rsidRDefault="008D4B2E">
      <w:pPr>
        <w:keepNext/>
        <w:keepLines/>
        <w:spacing w:before="300" w:after="300" w:line="280" w:lineRule="exact"/>
        <w:outlineLvl w:val="3"/>
        <w:rPr>
          <w:rFonts w:ascii="宋体" w:eastAsia="宋体" w:hAnsi="宋体" w:cs="宋体"/>
          <w:b/>
          <w:bCs/>
          <w:szCs w:val="21"/>
        </w:rPr>
      </w:pPr>
      <w:bookmarkStart w:id="274" w:name="_Toc989164"/>
      <w:r>
        <w:rPr>
          <w:rFonts w:ascii="宋体" w:eastAsia="宋体" w:hAnsi="宋体" w:cs="宋体"/>
          <w:b/>
          <w:bCs/>
          <w:szCs w:val="21"/>
        </w:rPr>
        <w:t>（2） 重要在建工程项目本期变动情况</w:t>
      </w:r>
      <w:bookmarkEnd w:id="274"/>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742"/>
        <w:gridCol w:w="742"/>
        <w:gridCol w:w="742"/>
        <w:gridCol w:w="742"/>
        <w:gridCol w:w="742"/>
        <w:gridCol w:w="742"/>
        <w:gridCol w:w="741"/>
        <w:gridCol w:w="741"/>
        <w:gridCol w:w="741"/>
        <w:gridCol w:w="741"/>
        <w:gridCol w:w="741"/>
        <w:gridCol w:w="741"/>
        <w:gridCol w:w="741"/>
      </w:tblGrid>
      <w:tr w:rsidR="00157EA0">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项目名称</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预算数</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本期增加金额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本期转入固定资产金额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本期其他减少金额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工程累计投入占预算比例</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工程进度</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利息资本化累计金额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其中：本期利息资本</w:t>
            </w:r>
            <w:proofErr w:type="gramStart"/>
            <w:r>
              <w:rPr>
                <w:rFonts w:ascii="宋体" w:eastAsia="宋体" w:hAnsi="宋体" w:cs="宋体"/>
                <w:sz w:val="18"/>
                <w:szCs w:val="18"/>
              </w:rPr>
              <w:t>化金额</w:t>
            </w:r>
            <w:proofErr w:type="gramEnd"/>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本期利息资本化率</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资金来源</w:t>
            </w: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EVE</w:t>
            </w:r>
            <w:proofErr w:type="gramStart"/>
            <w:r>
              <w:rPr>
                <w:rFonts w:ascii="宋体" w:eastAsia="宋体" w:hAnsi="宋体" w:cs="宋体"/>
                <w:sz w:val="18"/>
                <w:szCs w:val="18"/>
              </w:rPr>
              <w:t>胶项目</w:t>
            </w:r>
            <w:proofErr w:type="gramEnd"/>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2,383,400,000.00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32,219,784.58</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71,036,266.00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7,404,956.28</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6,491,568.83</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89,359,525.47</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64.78%</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65%</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其他</w:t>
            </w: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lastRenderedPageBreak/>
              <w:t>碳五低碳综合利用绿色新材料项目</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877,711,200.00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3,320,754.59</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409,293,386.31</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412,614,140.90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47.00%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80%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其他</w:t>
            </w: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3,261,111,200.00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35,540,539.17</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480,329,652.31</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7,404,956.28</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6,491,568.83</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501,973,666.37</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bl>
    <w:p w:rsidR="00BA0365" w:rsidRDefault="008D4B2E">
      <w:pPr>
        <w:keepNext/>
        <w:keepLines/>
        <w:spacing w:before="300" w:after="300" w:line="280" w:lineRule="exact"/>
        <w:outlineLvl w:val="3"/>
        <w:rPr>
          <w:rFonts w:ascii="宋体" w:eastAsia="宋体" w:hAnsi="宋体" w:cs="宋体"/>
          <w:b/>
          <w:bCs/>
          <w:szCs w:val="21"/>
        </w:rPr>
      </w:pPr>
      <w:bookmarkStart w:id="275" w:name="_Toc989165"/>
      <w:r>
        <w:rPr>
          <w:rFonts w:ascii="宋体" w:eastAsia="宋体" w:hAnsi="宋体" w:cs="宋体"/>
          <w:b/>
          <w:bCs/>
          <w:szCs w:val="21"/>
        </w:rPr>
        <w:t>（3） 在建工程的减值测试情况</w:t>
      </w:r>
      <w:bookmarkEnd w:id="275"/>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pStyle w:val="3"/>
        <w:spacing w:line="280" w:lineRule="exact"/>
        <w:jc w:val="left"/>
        <w:rPr>
          <w:rFonts w:ascii="宋体" w:hAnsi="宋体" w:cs="宋体"/>
          <w:b/>
          <w:bCs/>
        </w:rPr>
      </w:pPr>
      <w:bookmarkStart w:id="276" w:name="_Toc989166"/>
      <w:r>
        <w:rPr>
          <w:rFonts w:ascii="宋体" w:hAnsi="宋体" w:cs="宋体"/>
          <w:b/>
          <w:bCs/>
        </w:rPr>
        <w:t>15、使用权资产</w:t>
      </w:r>
      <w:bookmarkEnd w:id="276"/>
    </w:p>
    <w:p w:rsidR="00BA0365" w:rsidRDefault="008D4B2E">
      <w:pPr>
        <w:keepNext/>
        <w:keepLines/>
        <w:spacing w:before="300" w:after="300" w:line="280" w:lineRule="exact"/>
        <w:outlineLvl w:val="3"/>
        <w:rPr>
          <w:rFonts w:ascii="宋体" w:eastAsia="宋体" w:hAnsi="宋体" w:cs="宋体"/>
          <w:b/>
          <w:bCs/>
          <w:szCs w:val="21"/>
        </w:rPr>
      </w:pPr>
      <w:bookmarkStart w:id="277" w:name="_Toc989167"/>
      <w:r>
        <w:rPr>
          <w:rFonts w:ascii="宋体" w:eastAsia="宋体" w:hAnsi="宋体" w:cs="宋体"/>
          <w:b/>
          <w:bCs/>
          <w:szCs w:val="21"/>
        </w:rPr>
        <w:t>（1） 使用权资产情况</w:t>
      </w:r>
      <w:bookmarkEnd w:id="277"/>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3213"/>
        <w:gridCol w:w="3213"/>
        <w:gridCol w:w="3213"/>
      </w:tblGrid>
      <w:tr w:rsidR="00157EA0" w:rsidTr="00152E2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jc w:val="center"/>
              <w:rPr>
                <w:rFonts w:ascii="宋体" w:eastAsia="宋体" w:hAnsi="宋体" w:cs="宋体"/>
                <w:sz w:val="18"/>
                <w:szCs w:val="18"/>
              </w:rPr>
            </w:pPr>
            <w:r>
              <w:rPr>
                <w:rFonts w:ascii="宋体" w:eastAsia="宋体" w:hAnsi="宋体" w:cs="宋体"/>
                <w:sz w:val="18"/>
                <w:szCs w:val="18"/>
              </w:rPr>
              <w:t>房屋及建筑物</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一、账面原值</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70,410,414.86</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70,410,414.86</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5,689,667.63</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5,689,667.63</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（1）新增及续租</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5,689,667.63</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5,689,667.63</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8,998,101.15</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8,998,101.15</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67,101,981.34</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67,101,981.34</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二、累计折旧</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10,720,208.57</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10,720,208.57</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12,890,696.60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12,890,696.60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（1）计提</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12,890,696.60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12,890,696.60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2,745,183.41</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2,745,183.41</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2,745,183.41</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2,745,183.41</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20,865,721.76</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20,865,721.76</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三、减值准备</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（1）计提</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四、账面价值</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1.期末账面价值</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46,236,259.58</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46,236,259.58</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2.期初账面价值</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59,690,206.29</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59,690,206.29</w:t>
            </w:r>
          </w:p>
        </w:tc>
      </w:tr>
    </w:tbl>
    <w:p w:rsidR="00BA0365" w:rsidRDefault="008D4B2E">
      <w:pPr>
        <w:keepNext/>
        <w:keepLines/>
        <w:spacing w:before="300" w:after="300" w:line="280" w:lineRule="exact"/>
        <w:outlineLvl w:val="3"/>
        <w:rPr>
          <w:rFonts w:ascii="宋体" w:eastAsia="宋体" w:hAnsi="宋体" w:cs="宋体"/>
          <w:b/>
          <w:bCs/>
          <w:szCs w:val="21"/>
        </w:rPr>
      </w:pPr>
      <w:bookmarkStart w:id="278" w:name="_Toc989168"/>
      <w:r>
        <w:rPr>
          <w:rFonts w:ascii="宋体" w:eastAsia="宋体" w:hAnsi="宋体" w:cs="宋体"/>
          <w:b/>
          <w:bCs/>
          <w:szCs w:val="21"/>
        </w:rPr>
        <w:t>（2） 使用权资产的减值测试情况</w:t>
      </w:r>
      <w:bookmarkEnd w:id="278"/>
    </w:p>
    <w:p w:rsidR="00BA0365" w:rsidRPr="001112C2" w:rsidRDefault="008D4B2E" w:rsidP="001112C2">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w:t>
      </w:r>
      <w:r w:rsidR="001112C2">
        <w:rPr>
          <w:rFonts w:ascii="宋体" w:eastAsia="宋体" w:hAnsi="宋体" w:cs="宋体"/>
          <w:sz w:val="18"/>
          <w:szCs w:val="18"/>
        </w:rPr>
        <w:t>适用</w:t>
      </w:r>
    </w:p>
    <w:p w:rsidR="00BA0365" w:rsidRDefault="008D4B2E">
      <w:pPr>
        <w:pStyle w:val="3"/>
        <w:spacing w:line="280" w:lineRule="exact"/>
        <w:jc w:val="left"/>
        <w:rPr>
          <w:rFonts w:ascii="宋体" w:hAnsi="宋体" w:cs="宋体"/>
          <w:b/>
          <w:bCs/>
        </w:rPr>
      </w:pPr>
      <w:bookmarkStart w:id="279" w:name="_Toc989169"/>
      <w:r>
        <w:rPr>
          <w:rFonts w:ascii="宋体" w:hAnsi="宋体" w:cs="宋体"/>
          <w:b/>
          <w:bCs/>
        </w:rPr>
        <w:t>16、无形资产</w:t>
      </w:r>
      <w:bookmarkEnd w:id="279"/>
    </w:p>
    <w:p w:rsidR="00BA0365" w:rsidRDefault="008D4B2E">
      <w:pPr>
        <w:keepNext/>
        <w:keepLines/>
        <w:spacing w:before="300" w:after="300" w:line="280" w:lineRule="exact"/>
        <w:outlineLvl w:val="3"/>
        <w:rPr>
          <w:rFonts w:ascii="宋体" w:eastAsia="宋体" w:hAnsi="宋体" w:cs="宋体"/>
          <w:b/>
          <w:bCs/>
          <w:szCs w:val="21"/>
        </w:rPr>
      </w:pPr>
      <w:bookmarkStart w:id="280" w:name="_Toc989170"/>
      <w:r>
        <w:rPr>
          <w:rFonts w:ascii="宋体" w:eastAsia="宋体" w:hAnsi="宋体" w:cs="宋体"/>
          <w:b/>
          <w:bCs/>
          <w:szCs w:val="21"/>
        </w:rPr>
        <w:t>（1） 无形资产情况</w:t>
      </w:r>
      <w:bookmarkEnd w:id="280"/>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1606"/>
        <w:gridCol w:w="1606"/>
        <w:gridCol w:w="1606"/>
        <w:gridCol w:w="1607"/>
        <w:gridCol w:w="1621"/>
        <w:gridCol w:w="1593"/>
      </w:tblGrid>
      <w:tr w:rsidR="00157EA0" w:rsidTr="00152E2B">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土地使用权</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专利权</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非专利技术</w:t>
            </w:r>
          </w:p>
        </w:tc>
        <w:tc>
          <w:tcPr>
            <w:tcW w:w="162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jc w:val="center"/>
              <w:rPr>
                <w:rFonts w:ascii="宋体" w:eastAsia="宋体" w:hAnsi="宋体" w:cs="宋体"/>
                <w:sz w:val="18"/>
                <w:szCs w:val="18"/>
              </w:rPr>
            </w:pPr>
            <w:r>
              <w:rPr>
                <w:rFonts w:ascii="宋体" w:eastAsia="宋体" w:hAnsi="宋体" w:cs="宋体"/>
                <w:sz w:val="18"/>
                <w:szCs w:val="18"/>
              </w:rPr>
              <w:t>软件及其他</w:t>
            </w:r>
          </w:p>
        </w:tc>
        <w:tc>
          <w:tcPr>
            <w:tcW w:w="159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157EA0" w:rsidTr="001112C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一、账面原值</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62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rsidTr="001112C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354,467,995.84</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153,941,654.95</w:t>
            </w:r>
          </w:p>
        </w:tc>
        <w:tc>
          <w:tcPr>
            <w:tcW w:w="160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43,158,409.98</w:t>
            </w:r>
          </w:p>
        </w:tc>
        <w:tc>
          <w:tcPr>
            <w:tcW w:w="162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64,272,738.61</w:t>
            </w:r>
          </w:p>
        </w:tc>
        <w:tc>
          <w:tcPr>
            <w:tcW w:w="159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615,840,799.38</w:t>
            </w:r>
          </w:p>
        </w:tc>
      </w:tr>
      <w:tr w:rsidR="00157EA0" w:rsidTr="001112C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54,843,732.45</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62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6,056,528.97</w:t>
            </w:r>
          </w:p>
        </w:tc>
        <w:tc>
          <w:tcPr>
            <w:tcW w:w="159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60,900,261.42</w:t>
            </w:r>
          </w:p>
        </w:tc>
      </w:tr>
      <w:tr w:rsidR="00157EA0" w:rsidTr="001112C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（1）购置</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54,843,732.45</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62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6,056,528.97</w:t>
            </w:r>
          </w:p>
        </w:tc>
        <w:tc>
          <w:tcPr>
            <w:tcW w:w="159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60,900,261.42</w:t>
            </w:r>
          </w:p>
        </w:tc>
      </w:tr>
      <w:tr w:rsidR="00157EA0" w:rsidTr="001112C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（2）内部研发</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62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rsidTr="001112C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（3）企业合并增加</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62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rsidTr="001112C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12,999,967.76</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62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133,009.10</w:t>
            </w:r>
          </w:p>
        </w:tc>
        <w:tc>
          <w:tcPr>
            <w:tcW w:w="159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13,132,976.86</w:t>
            </w:r>
          </w:p>
        </w:tc>
      </w:tr>
      <w:tr w:rsidR="00157EA0" w:rsidTr="001112C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62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133,009.10</w:t>
            </w:r>
          </w:p>
        </w:tc>
        <w:tc>
          <w:tcPr>
            <w:tcW w:w="159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133,009.10</w:t>
            </w:r>
          </w:p>
        </w:tc>
      </w:tr>
      <w:tr w:rsidR="00157EA0" w:rsidTr="00152E2B">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（2）处置子公司减少</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12,999,967.76</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62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12,999,967.76</w:t>
            </w:r>
          </w:p>
        </w:tc>
      </w:tr>
      <w:tr w:rsidR="00157EA0" w:rsidTr="001112C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396,311,760.53</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153,941,654.95</w:t>
            </w:r>
          </w:p>
        </w:tc>
        <w:tc>
          <w:tcPr>
            <w:tcW w:w="160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43,158,409.98</w:t>
            </w:r>
          </w:p>
        </w:tc>
        <w:tc>
          <w:tcPr>
            <w:tcW w:w="162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70,196,258.48</w:t>
            </w:r>
          </w:p>
        </w:tc>
        <w:tc>
          <w:tcPr>
            <w:tcW w:w="159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663,608,083.94</w:t>
            </w:r>
          </w:p>
        </w:tc>
      </w:tr>
      <w:tr w:rsidR="00157EA0" w:rsidTr="001112C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二、累计摊销</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62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rsidTr="001112C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51,000,962.64</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71,421,903.71</w:t>
            </w:r>
          </w:p>
        </w:tc>
        <w:tc>
          <w:tcPr>
            <w:tcW w:w="160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18,875,300.68</w:t>
            </w:r>
          </w:p>
        </w:tc>
        <w:tc>
          <w:tcPr>
            <w:tcW w:w="162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36,616,657.02</w:t>
            </w:r>
          </w:p>
        </w:tc>
        <w:tc>
          <w:tcPr>
            <w:tcW w:w="159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177,914,824.05</w:t>
            </w:r>
          </w:p>
        </w:tc>
      </w:tr>
      <w:tr w:rsidR="00157EA0" w:rsidTr="001112C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8,141,217.98</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2,201,381.83</w:t>
            </w:r>
          </w:p>
        </w:tc>
        <w:tc>
          <w:tcPr>
            <w:tcW w:w="160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2,577,227.36</w:t>
            </w:r>
          </w:p>
        </w:tc>
        <w:tc>
          <w:tcPr>
            <w:tcW w:w="162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4,908,958.75</w:t>
            </w:r>
          </w:p>
        </w:tc>
        <w:tc>
          <w:tcPr>
            <w:tcW w:w="159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17,828,785.92</w:t>
            </w:r>
          </w:p>
        </w:tc>
      </w:tr>
      <w:tr w:rsidR="00157EA0" w:rsidTr="001112C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（1）计提</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8,141,217.98</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2,201,381.83</w:t>
            </w:r>
          </w:p>
        </w:tc>
        <w:tc>
          <w:tcPr>
            <w:tcW w:w="160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2,577,227.36</w:t>
            </w:r>
          </w:p>
        </w:tc>
        <w:tc>
          <w:tcPr>
            <w:tcW w:w="162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4,908,958.75</w:t>
            </w:r>
          </w:p>
        </w:tc>
        <w:tc>
          <w:tcPr>
            <w:tcW w:w="159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17,828,785.92</w:t>
            </w:r>
          </w:p>
        </w:tc>
      </w:tr>
      <w:tr w:rsidR="00157EA0" w:rsidTr="001112C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368,332.41</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62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368,332.41</w:t>
            </w:r>
          </w:p>
        </w:tc>
      </w:tr>
      <w:tr w:rsidR="00157EA0" w:rsidTr="001112C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62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rsidTr="00152E2B">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（2）处置子公司减少</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368,332.41</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62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368,332.41</w:t>
            </w:r>
          </w:p>
        </w:tc>
      </w:tr>
      <w:tr w:rsidR="00157EA0" w:rsidTr="001112C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58,773,848.21</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73,623,285.54</w:t>
            </w:r>
          </w:p>
        </w:tc>
        <w:tc>
          <w:tcPr>
            <w:tcW w:w="160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21,452,528.04</w:t>
            </w:r>
          </w:p>
        </w:tc>
        <w:tc>
          <w:tcPr>
            <w:tcW w:w="162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41,525,615.77</w:t>
            </w:r>
          </w:p>
        </w:tc>
        <w:tc>
          <w:tcPr>
            <w:tcW w:w="159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195,375,277.56</w:t>
            </w:r>
          </w:p>
        </w:tc>
      </w:tr>
      <w:tr w:rsidR="00157EA0" w:rsidTr="001112C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三、减值准备</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62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rsidTr="001112C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1.期初余额</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65,410,480.88</w:t>
            </w:r>
          </w:p>
        </w:tc>
        <w:tc>
          <w:tcPr>
            <w:tcW w:w="1607"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62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65,410,480.88</w:t>
            </w:r>
          </w:p>
        </w:tc>
      </w:tr>
      <w:tr w:rsidR="00157EA0" w:rsidTr="001112C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2.本期增加金额</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62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rsidTr="001112C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lastRenderedPageBreak/>
              <w:t>（1）计提</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62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rsidTr="001112C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3.本期减少金额</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62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rsidTr="001112C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400" w:firstLine="720"/>
              <w:rPr>
                <w:rFonts w:ascii="宋体" w:eastAsia="宋体" w:hAnsi="宋体" w:cs="宋体"/>
                <w:sz w:val="18"/>
                <w:szCs w:val="18"/>
              </w:rPr>
            </w:pPr>
            <w:r>
              <w:rPr>
                <w:rFonts w:ascii="宋体" w:eastAsia="宋体" w:hAnsi="宋体" w:cs="宋体"/>
                <w:sz w:val="18"/>
                <w:szCs w:val="18"/>
              </w:rPr>
              <w:t>（1）处置</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62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rsidTr="001112C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4.期末余额</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65,410,480.88</w:t>
            </w:r>
          </w:p>
        </w:tc>
        <w:tc>
          <w:tcPr>
            <w:tcW w:w="1607"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62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65,410,480.88</w:t>
            </w:r>
          </w:p>
        </w:tc>
      </w:tr>
      <w:tr w:rsidR="00157EA0" w:rsidTr="001112C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四、账面价值</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62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rsidTr="001112C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1.期末账面价值</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337,537,912.32</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14,907,888.53</w:t>
            </w:r>
          </w:p>
        </w:tc>
        <w:tc>
          <w:tcPr>
            <w:tcW w:w="160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21,705,881.94</w:t>
            </w:r>
          </w:p>
        </w:tc>
        <w:tc>
          <w:tcPr>
            <w:tcW w:w="162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28,670,642.71</w:t>
            </w:r>
          </w:p>
        </w:tc>
        <w:tc>
          <w:tcPr>
            <w:tcW w:w="159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402,822,325.50</w:t>
            </w:r>
          </w:p>
        </w:tc>
      </w:tr>
      <w:tr w:rsidR="00157EA0" w:rsidTr="001112C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2.期初账面价值</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303,467,033.20</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17,109,270.36</w:t>
            </w:r>
          </w:p>
        </w:tc>
        <w:tc>
          <w:tcPr>
            <w:tcW w:w="160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24,283,109.30</w:t>
            </w:r>
          </w:p>
        </w:tc>
        <w:tc>
          <w:tcPr>
            <w:tcW w:w="162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27,656,081.59</w:t>
            </w:r>
          </w:p>
        </w:tc>
        <w:tc>
          <w:tcPr>
            <w:tcW w:w="159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372,515,494.45</w:t>
            </w:r>
          </w:p>
        </w:tc>
      </w:tr>
    </w:tbl>
    <w:p w:rsidR="00BA0365" w:rsidRDefault="008D4B2E">
      <w:pPr>
        <w:keepNext/>
        <w:keepLines/>
        <w:spacing w:before="300" w:after="300" w:line="280" w:lineRule="exact"/>
        <w:outlineLvl w:val="3"/>
        <w:rPr>
          <w:rFonts w:ascii="宋体" w:eastAsia="宋体" w:hAnsi="宋体" w:cs="宋体"/>
          <w:b/>
          <w:bCs/>
          <w:szCs w:val="21"/>
        </w:rPr>
      </w:pPr>
      <w:bookmarkStart w:id="281" w:name="_Toc989171"/>
      <w:r>
        <w:rPr>
          <w:rFonts w:ascii="宋体" w:eastAsia="宋体" w:hAnsi="宋体" w:cs="宋体"/>
          <w:b/>
          <w:bCs/>
          <w:szCs w:val="21"/>
        </w:rPr>
        <w:t>（2） 无形资产的减值测试情况</w:t>
      </w:r>
      <w:bookmarkEnd w:id="281"/>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pStyle w:val="3"/>
        <w:spacing w:line="280" w:lineRule="exact"/>
        <w:jc w:val="left"/>
        <w:rPr>
          <w:rFonts w:ascii="宋体" w:hAnsi="宋体" w:cs="宋体"/>
          <w:b/>
          <w:bCs/>
        </w:rPr>
      </w:pPr>
      <w:bookmarkStart w:id="282" w:name="_Toc989172"/>
      <w:r>
        <w:rPr>
          <w:rFonts w:ascii="宋体" w:hAnsi="宋体" w:cs="宋体"/>
          <w:b/>
          <w:bCs/>
        </w:rPr>
        <w:t>17、商誉</w:t>
      </w:r>
      <w:bookmarkEnd w:id="282"/>
    </w:p>
    <w:p w:rsidR="00BA0365" w:rsidRDefault="008D4B2E">
      <w:pPr>
        <w:keepNext/>
        <w:keepLines/>
        <w:spacing w:before="300" w:after="300" w:line="280" w:lineRule="exact"/>
        <w:outlineLvl w:val="3"/>
        <w:rPr>
          <w:rFonts w:ascii="宋体" w:eastAsia="宋体" w:hAnsi="宋体" w:cs="宋体"/>
          <w:b/>
          <w:bCs/>
          <w:szCs w:val="21"/>
        </w:rPr>
      </w:pPr>
      <w:bookmarkStart w:id="283" w:name="_Toc989173"/>
      <w:r>
        <w:rPr>
          <w:rFonts w:ascii="宋体" w:eastAsia="宋体" w:hAnsi="宋体" w:cs="宋体"/>
          <w:b/>
          <w:bCs/>
          <w:szCs w:val="21"/>
        </w:rPr>
        <w:t>（1） 商誉账面原值</w:t>
      </w:r>
      <w:bookmarkEnd w:id="283"/>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2802"/>
        <w:gridCol w:w="1701"/>
        <w:gridCol w:w="992"/>
        <w:gridCol w:w="850"/>
        <w:gridCol w:w="851"/>
        <w:gridCol w:w="850"/>
        <w:gridCol w:w="1593"/>
      </w:tblGrid>
      <w:tr w:rsidR="00157EA0" w:rsidTr="001112C2">
        <w:trPr>
          <w:trHeight w:val="240"/>
        </w:trPr>
        <w:tc>
          <w:tcPr>
            <w:tcW w:w="28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被投资单位名称或形成商誉的事项</w:t>
            </w:r>
          </w:p>
        </w:tc>
        <w:tc>
          <w:tcPr>
            <w:tcW w:w="170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8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701"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59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157EA0" w:rsidTr="00152E2B">
        <w:trPr>
          <w:trHeight w:val="240"/>
        </w:trPr>
        <w:tc>
          <w:tcPr>
            <w:tcW w:w="28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70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企业合并形成的</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jc w:val="center"/>
              <w:rPr>
                <w:rFonts w:ascii="宋体" w:eastAsia="宋体" w:hAnsi="宋体" w:cs="宋体"/>
                <w:sz w:val="18"/>
                <w:szCs w:val="18"/>
              </w:rPr>
            </w:pPr>
            <w:r>
              <w:rPr>
                <w:rFonts w:ascii="宋体" w:eastAsia="宋体" w:hAnsi="宋体" w:cs="宋体"/>
                <w:sz w:val="18"/>
                <w:szCs w:val="18"/>
              </w:rPr>
              <w:t>其他方式形成</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处置</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jc w:val="center"/>
              <w:rPr>
                <w:rFonts w:ascii="宋体" w:eastAsia="宋体" w:hAnsi="宋体" w:cs="宋体"/>
                <w:sz w:val="18"/>
                <w:szCs w:val="18"/>
              </w:rPr>
            </w:pPr>
            <w:r>
              <w:rPr>
                <w:rFonts w:ascii="宋体" w:eastAsia="宋体" w:hAnsi="宋体" w:cs="宋体"/>
                <w:sz w:val="18"/>
                <w:szCs w:val="18"/>
              </w:rPr>
              <w:t>其他方式减少</w:t>
            </w:r>
          </w:p>
        </w:tc>
        <w:tc>
          <w:tcPr>
            <w:tcW w:w="159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r w:rsidR="00157EA0" w:rsidTr="001112C2">
        <w:trPr>
          <w:trHeight w:val="240"/>
        </w:trPr>
        <w:tc>
          <w:tcPr>
            <w:tcW w:w="28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DavianEnterprisesLLC</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7,362,583.28</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7,362,583.28</w:t>
            </w:r>
          </w:p>
        </w:tc>
      </w:tr>
      <w:tr w:rsidR="00157EA0" w:rsidTr="001112C2">
        <w:trPr>
          <w:trHeight w:val="240"/>
        </w:trPr>
        <w:tc>
          <w:tcPr>
            <w:tcW w:w="28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青岛科捷自动化设备有限公司</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1,178,542.58</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1,178,542.58</w:t>
            </w:r>
          </w:p>
        </w:tc>
      </w:tr>
      <w:tr w:rsidR="00157EA0" w:rsidTr="001112C2">
        <w:trPr>
          <w:trHeight w:val="240"/>
        </w:trPr>
        <w:tc>
          <w:tcPr>
            <w:tcW w:w="28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北京敬业机械设备有限公司</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62,895,120.19</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62,895,120.19</w:t>
            </w:r>
          </w:p>
        </w:tc>
      </w:tr>
      <w:tr w:rsidR="00157EA0" w:rsidTr="001112C2">
        <w:trPr>
          <w:trHeight w:val="240"/>
        </w:trPr>
        <w:tc>
          <w:tcPr>
            <w:tcW w:w="28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抚顺伊科思新材料有限公司</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169,607,663.03</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169,607,663.03</w:t>
            </w:r>
          </w:p>
        </w:tc>
      </w:tr>
      <w:tr w:rsidR="00157EA0" w:rsidTr="001112C2">
        <w:trPr>
          <w:trHeight w:val="240"/>
        </w:trPr>
        <w:tc>
          <w:tcPr>
            <w:tcW w:w="28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青岛睿诚新能源有限公司</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529,195.47</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529,195.47</w:t>
            </w:r>
          </w:p>
        </w:tc>
      </w:tr>
      <w:tr w:rsidR="00157EA0" w:rsidTr="001112C2">
        <w:trPr>
          <w:trHeight w:val="240"/>
        </w:trPr>
        <w:tc>
          <w:tcPr>
            <w:tcW w:w="28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241,573,104.55</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241,573,104.55</w:t>
            </w:r>
          </w:p>
        </w:tc>
      </w:tr>
    </w:tbl>
    <w:p w:rsidR="00BA0365" w:rsidRDefault="008D4B2E">
      <w:pPr>
        <w:keepNext/>
        <w:keepLines/>
        <w:spacing w:before="300" w:after="300" w:line="280" w:lineRule="exact"/>
        <w:outlineLvl w:val="3"/>
        <w:rPr>
          <w:rFonts w:ascii="宋体" w:eastAsia="宋体" w:hAnsi="宋体" w:cs="宋体"/>
          <w:b/>
          <w:bCs/>
          <w:szCs w:val="21"/>
        </w:rPr>
      </w:pPr>
      <w:bookmarkStart w:id="284" w:name="_Toc989174"/>
      <w:r>
        <w:rPr>
          <w:rFonts w:ascii="宋体" w:eastAsia="宋体" w:hAnsi="宋体" w:cs="宋体"/>
          <w:b/>
          <w:bCs/>
          <w:szCs w:val="21"/>
        </w:rPr>
        <w:t>（2） 商誉减值准备</w:t>
      </w:r>
      <w:bookmarkEnd w:id="284"/>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2802"/>
        <w:gridCol w:w="1701"/>
        <w:gridCol w:w="992"/>
        <w:gridCol w:w="850"/>
        <w:gridCol w:w="851"/>
        <w:gridCol w:w="850"/>
        <w:gridCol w:w="1593"/>
      </w:tblGrid>
      <w:tr w:rsidR="00157EA0" w:rsidTr="001112C2">
        <w:trPr>
          <w:trHeight w:val="240"/>
        </w:trPr>
        <w:tc>
          <w:tcPr>
            <w:tcW w:w="280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被投资单位名称或形成商誉的事项</w:t>
            </w:r>
          </w:p>
        </w:tc>
        <w:tc>
          <w:tcPr>
            <w:tcW w:w="170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8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701"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59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157EA0" w:rsidTr="001112C2">
        <w:trPr>
          <w:trHeight w:val="240"/>
        </w:trPr>
        <w:tc>
          <w:tcPr>
            <w:tcW w:w="280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70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center"/>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处置</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center"/>
              <w:rPr>
                <w:rFonts w:ascii="宋体" w:eastAsia="宋体" w:hAnsi="宋体" w:cs="宋体"/>
                <w:sz w:val="18"/>
                <w:szCs w:val="18"/>
              </w:rPr>
            </w:pPr>
          </w:p>
        </w:tc>
        <w:tc>
          <w:tcPr>
            <w:tcW w:w="159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r w:rsidR="00157EA0" w:rsidTr="001112C2">
        <w:trPr>
          <w:trHeight w:val="240"/>
        </w:trPr>
        <w:tc>
          <w:tcPr>
            <w:tcW w:w="28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DavianEnterprisesLLC</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7,362,583.28</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7,362,583.28</w:t>
            </w:r>
          </w:p>
        </w:tc>
      </w:tr>
      <w:tr w:rsidR="00157EA0" w:rsidTr="001112C2">
        <w:trPr>
          <w:trHeight w:val="240"/>
        </w:trPr>
        <w:tc>
          <w:tcPr>
            <w:tcW w:w="28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青岛科捷自动化设备有限公司</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1,178,542.58</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1,178,542.58</w:t>
            </w:r>
          </w:p>
        </w:tc>
      </w:tr>
      <w:tr w:rsidR="00157EA0" w:rsidTr="001112C2">
        <w:trPr>
          <w:trHeight w:val="240"/>
        </w:trPr>
        <w:tc>
          <w:tcPr>
            <w:tcW w:w="28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北京敬业机械设备有限公司</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62,895,120.19</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62,895,120.19</w:t>
            </w:r>
          </w:p>
        </w:tc>
      </w:tr>
      <w:tr w:rsidR="00157EA0" w:rsidTr="001112C2">
        <w:trPr>
          <w:trHeight w:val="240"/>
        </w:trPr>
        <w:tc>
          <w:tcPr>
            <w:tcW w:w="28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抚顺伊科思新材料有限公司</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169,607,663.03</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169,607,663.03</w:t>
            </w:r>
          </w:p>
        </w:tc>
      </w:tr>
      <w:tr w:rsidR="00157EA0" w:rsidTr="001112C2">
        <w:trPr>
          <w:trHeight w:val="240"/>
        </w:trPr>
        <w:tc>
          <w:tcPr>
            <w:tcW w:w="28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青岛睿诚新能源有限公司</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529,195.47</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529,195.47</w:t>
            </w:r>
          </w:p>
        </w:tc>
      </w:tr>
      <w:tr w:rsidR="00157EA0" w:rsidTr="001112C2">
        <w:trPr>
          <w:trHeight w:val="240"/>
        </w:trPr>
        <w:tc>
          <w:tcPr>
            <w:tcW w:w="28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241,573,104.55</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241,573,104.55</w:t>
            </w:r>
          </w:p>
        </w:tc>
      </w:tr>
    </w:tbl>
    <w:p w:rsidR="00BA0365" w:rsidRDefault="008D4B2E">
      <w:pPr>
        <w:keepNext/>
        <w:keepLines/>
        <w:spacing w:before="300" w:after="300" w:line="280" w:lineRule="exact"/>
        <w:outlineLvl w:val="3"/>
        <w:rPr>
          <w:rFonts w:ascii="宋体" w:eastAsia="宋体" w:hAnsi="宋体" w:cs="宋体"/>
          <w:b/>
          <w:bCs/>
          <w:szCs w:val="21"/>
        </w:rPr>
      </w:pPr>
      <w:bookmarkStart w:id="285" w:name="_Toc989175"/>
      <w:r>
        <w:rPr>
          <w:rFonts w:ascii="宋体" w:eastAsia="宋体" w:hAnsi="宋体" w:cs="宋体"/>
          <w:b/>
          <w:bCs/>
          <w:szCs w:val="21"/>
        </w:rPr>
        <w:t>（3） 商誉所在资产组或资产组组合的相关信息</w:t>
      </w:r>
      <w:bookmarkEnd w:id="285"/>
    </w:p>
    <w:p w:rsidR="00BA0365" w:rsidRDefault="008D4B2E" w:rsidP="00B818D2">
      <w:pPr>
        <w:rPr>
          <w:rFonts w:ascii="宋体" w:eastAsia="宋体" w:hAnsi="宋体" w:cs="宋体"/>
          <w:sz w:val="18"/>
          <w:szCs w:val="18"/>
        </w:rPr>
      </w:pPr>
      <w:r>
        <w:rPr>
          <w:rFonts w:ascii="宋体" w:eastAsia="宋体" w:hAnsi="宋体" w:cs="宋体"/>
          <w:sz w:val="18"/>
          <w:szCs w:val="18"/>
        </w:rPr>
        <w:t>其他说明</w:t>
      </w:r>
    </w:p>
    <w:p w:rsidR="008D4B2E" w:rsidRPr="00FC6EB6" w:rsidRDefault="008D4B2E" w:rsidP="00B818D2">
      <w:pPr>
        <w:divId w:val="1243877330"/>
        <w:rPr>
          <w:rFonts w:ascii="宋体" w:eastAsia="宋体" w:hAnsi="宋体" w:cs="宋体"/>
          <w:sz w:val="18"/>
          <w:szCs w:val="18"/>
        </w:rPr>
      </w:pPr>
      <w:r w:rsidRPr="00FC6EB6">
        <w:rPr>
          <w:rFonts w:ascii="宋体" w:eastAsia="宋体" w:hAnsi="宋体" w:cs="宋体" w:hint="eastAsia"/>
          <w:sz w:val="18"/>
          <w:szCs w:val="18"/>
        </w:rPr>
        <w:t>上述公司商誉减值测试的资产组或资产组组合的构成情况如下：</w:t>
      </w:r>
    </w:p>
    <w:p w:rsidR="008D4B2E" w:rsidRPr="00FC6EB6" w:rsidRDefault="008D4B2E" w:rsidP="00BB1593">
      <w:pPr>
        <w:ind w:firstLineChars="200" w:firstLine="360"/>
        <w:divId w:val="1243877330"/>
        <w:rPr>
          <w:rFonts w:ascii="宋体" w:eastAsia="宋体" w:hAnsi="宋体" w:cs="宋体"/>
          <w:sz w:val="18"/>
          <w:szCs w:val="18"/>
        </w:rPr>
      </w:pPr>
      <w:r w:rsidRPr="00FC6EB6">
        <w:rPr>
          <w:rFonts w:ascii="宋体" w:eastAsia="宋体" w:hAnsi="宋体" w:cs="宋体" w:hint="eastAsia"/>
          <w:sz w:val="18"/>
          <w:szCs w:val="18"/>
        </w:rPr>
        <w:t>①抚顺伊科思本期期末资产组的认定范围，是其形成商誉的资产</w:t>
      </w:r>
      <w:proofErr w:type="gramStart"/>
      <w:r w:rsidRPr="00FC6EB6">
        <w:rPr>
          <w:rFonts w:ascii="宋体" w:eastAsia="宋体" w:hAnsi="宋体" w:cs="宋体" w:hint="eastAsia"/>
          <w:sz w:val="18"/>
          <w:szCs w:val="18"/>
        </w:rPr>
        <w:t>组涉及</w:t>
      </w:r>
      <w:proofErr w:type="gramEnd"/>
      <w:r w:rsidRPr="00FC6EB6">
        <w:rPr>
          <w:rFonts w:ascii="宋体" w:eastAsia="宋体" w:hAnsi="宋体" w:cs="宋体" w:hint="eastAsia"/>
          <w:sz w:val="18"/>
          <w:szCs w:val="18"/>
        </w:rPr>
        <w:t>的资产，该资产组与购买日及以前年度商誉减</w:t>
      </w:r>
      <w:r w:rsidRPr="00FC6EB6">
        <w:rPr>
          <w:rFonts w:ascii="宋体" w:eastAsia="宋体" w:hAnsi="宋体" w:cs="宋体" w:hint="eastAsia"/>
          <w:sz w:val="18"/>
          <w:szCs w:val="18"/>
        </w:rPr>
        <w:lastRenderedPageBreak/>
        <w:t>值测试时所测试的资产组一致。评估范围包括无形资产、固定资产等。</w:t>
      </w:r>
    </w:p>
    <w:p w:rsidR="008D4B2E" w:rsidRPr="00FC6EB6" w:rsidRDefault="008D4B2E" w:rsidP="00BB1593">
      <w:pPr>
        <w:ind w:firstLineChars="200" w:firstLine="360"/>
        <w:divId w:val="1243877330"/>
        <w:rPr>
          <w:rFonts w:ascii="宋体" w:eastAsia="宋体" w:hAnsi="宋体" w:cs="宋体"/>
          <w:sz w:val="18"/>
          <w:szCs w:val="18"/>
        </w:rPr>
      </w:pPr>
      <w:r w:rsidRPr="00FC6EB6">
        <w:rPr>
          <w:rFonts w:ascii="宋体" w:eastAsia="宋体" w:hAnsi="宋体" w:cs="宋体" w:hint="eastAsia"/>
          <w:sz w:val="18"/>
          <w:szCs w:val="18"/>
        </w:rPr>
        <w:t>②敬业机械本期期末资产组的认定范围，是其形成商誉的资产</w:t>
      </w:r>
      <w:proofErr w:type="gramStart"/>
      <w:r w:rsidRPr="00FC6EB6">
        <w:rPr>
          <w:rFonts w:ascii="宋体" w:eastAsia="宋体" w:hAnsi="宋体" w:cs="宋体" w:hint="eastAsia"/>
          <w:sz w:val="18"/>
          <w:szCs w:val="18"/>
        </w:rPr>
        <w:t>组涉及</w:t>
      </w:r>
      <w:proofErr w:type="gramEnd"/>
      <w:r w:rsidRPr="00FC6EB6">
        <w:rPr>
          <w:rFonts w:ascii="宋体" w:eastAsia="宋体" w:hAnsi="宋体" w:cs="宋体" w:hint="eastAsia"/>
          <w:sz w:val="18"/>
          <w:szCs w:val="18"/>
        </w:rPr>
        <w:t>的资产，该资产组与购买日及以前年度商誉减值测试时所测试的资产组一致。评估范围包括无形资产、固定资产等。</w:t>
      </w:r>
    </w:p>
    <w:p w:rsidR="008D4B2E" w:rsidRPr="00FC6EB6" w:rsidRDefault="008D4B2E" w:rsidP="00BB1593">
      <w:pPr>
        <w:ind w:firstLineChars="200" w:firstLine="360"/>
        <w:divId w:val="1243877330"/>
        <w:rPr>
          <w:rFonts w:ascii="宋体" w:eastAsia="宋体" w:hAnsi="宋体" w:cs="宋体"/>
          <w:sz w:val="18"/>
          <w:szCs w:val="18"/>
        </w:rPr>
      </w:pPr>
      <w:r w:rsidRPr="00FC6EB6">
        <w:rPr>
          <w:rFonts w:ascii="宋体" w:eastAsia="宋体" w:hAnsi="宋体" w:cs="宋体" w:hint="eastAsia"/>
          <w:sz w:val="18"/>
          <w:szCs w:val="18"/>
        </w:rPr>
        <w:t>③科捷自动化本期期末资产组的认定范围，是其形成商誉的资产</w:t>
      </w:r>
      <w:proofErr w:type="gramStart"/>
      <w:r w:rsidRPr="00FC6EB6">
        <w:rPr>
          <w:rFonts w:ascii="宋体" w:eastAsia="宋体" w:hAnsi="宋体" w:cs="宋体" w:hint="eastAsia"/>
          <w:sz w:val="18"/>
          <w:szCs w:val="18"/>
        </w:rPr>
        <w:t>组涉及</w:t>
      </w:r>
      <w:proofErr w:type="gramEnd"/>
      <w:r w:rsidRPr="00FC6EB6">
        <w:rPr>
          <w:rFonts w:ascii="宋体" w:eastAsia="宋体" w:hAnsi="宋体" w:cs="宋体" w:hint="eastAsia"/>
          <w:sz w:val="18"/>
          <w:szCs w:val="18"/>
        </w:rPr>
        <w:t>的资产，该资产组与购买日及以前年度商誉减值测试时所测试的资产组一致。</w:t>
      </w:r>
    </w:p>
    <w:p w:rsidR="008D4B2E" w:rsidRPr="00FC6EB6" w:rsidRDefault="008D4B2E" w:rsidP="00BB1593">
      <w:pPr>
        <w:ind w:firstLineChars="200" w:firstLine="360"/>
        <w:divId w:val="1243877330"/>
        <w:rPr>
          <w:rFonts w:ascii="宋体" w:eastAsia="宋体" w:hAnsi="宋体" w:cs="宋体"/>
          <w:sz w:val="18"/>
          <w:szCs w:val="18"/>
        </w:rPr>
      </w:pPr>
      <w:r w:rsidRPr="00FC6EB6">
        <w:rPr>
          <w:rFonts w:ascii="宋体" w:eastAsia="宋体" w:hAnsi="宋体" w:cs="宋体" w:hint="eastAsia"/>
          <w:sz w:val="18"/>
          <w:szCs w:val="18"/>
        </w:rPr>
        <w:t>④</w:t>
      </w:r>
      <w:r w:rsidRPr="00FC6EB6">
        <w:rPr>
          <w:rFonts w:ascii="宋体" w:eastAsia="宋体" w:hAnsi="宋体" w:cs="宋体"/>
          <w:sz w:val="18"/>
          <w:szCs w:val="18"/>
        </w:rPr>
        <w:t>DavianEnterprisesLLC</w:t>
      </w:r>
      <w:r w:rsidRPr="00FC6EB6">
        <w:rPr>
          <w:rFonts w:ascii="宋体" w:eastAsia="宋体" w:hAnsi="宋体" w:cs="宋体" w:hint="eastAsia"/>
          <w:sz w:val="18"/>
          <w:szCs w:val="18"/>
        </w:rPr>
        <w:t>本期期末资产组的认定范围，是其形成商誉的资产</w:t>
      </w:r>
      <w:proofErr w:type="gramStart"/>
      <w:r w:rsidRPr="00FC6EB6">
        <w:rPr>
          <w:rFonts w:ascii="宋体" w:eastAsia="宋体" w:hAnsi="宋体" w:cs="宋体" w:hint="eastAsia"/>
          <w:sz w:val="18"/>
          <w:szCs w:val="18"/>
        </w:rPr>
        <w:t>组涉及</w:t>
      </w:r>
      <w:proofErr w:type="gramEnd"/>
      <w:r w:rsidRPr="00FC6EB6">
        <w:rPr>
          <w:rFonts w:ascii="宋体" w:eastAsia="宋体" w:hAnsi="宋体" w:cs="宋体" w:hint="eastAsia"/>
          <w:sz w:val="18"/>
          <w:szCs w:val="18"/>
        </w:rPr>
        <w:t>的资产，该资产组与购买日及以前年度商誉减值测试时所测试的资产组一致。</w:t>
      </w:r>
    </w:p>
    <w:p w:rsidR="008D4B2E" w:rsidRPr="00FC6EB6" w:rsidRDefault="008D4B2E" w:rsidP="00BB1593">
      <w:pPr>
        <w:ind w:firstLineChars="200" w:firstLine="360"/>
        <w:divId w:val="1243877330"/>
        <w:rPr>
          <w:rFonts w:ascii="宋体" w:eastAsia="宋体" w:hAnsi="宋体" w:cs="宋体"/>
          <w:sz w:val="18"/>
          <w:szCs w:val="18"/>
        </w:rPr>
      </w:pPr>
      <w:r w:rsidRPr="00FC6EB6">
        <w:rPr>
          <w:rFonts w:ascii="宋体" w:eastAsia="宋体" w:hAnsi="宋体" w:cs="宋体" w:hint="eastAsia"/>
          <w:sz w:val="18"/>
          <w:szCs w:val="18"/>
        </w:rPr>
        <w:t>上述</w:t>
      </w:r>
      <w:r w:rsidRPr="00FC6EB6">
        <w:rPr>
          <w:rFonts w:ascii="宋体" w:eastAsia="宋体" w:hAnsi="宋体" w:cs="宋体"/>
          <w:sz w:val="18"/>
          <w:szCs w:val="18"/>
        </w:rPr>
        <w:t>4</w:t>
      </w:r>
      <w:r w:rsidRPr="00FC6EB6">
        <w:rPr>
          <w:rFonts w:ascii="宋体" w:eastAsia="宋体" w:hAnsi="宋体" w:cs="宋体" w:hint="eastAsia"/>
          <w:sz w:val="18"/>
          <w:szCs w:val="18"/>
        </w:rPr>
        <w:t>个资产组的可回收金额中，抚顺伊科思资产组及敬业机械资产组的可回收金额分别利用了评估报告的评估结果。</w:t>
      </w:r>
    </w:p>
    <w:p w:rsidR="00BA0365" w:rsidRDefault="008D4B2E">
      <w:pPr>
        <w:pStyle w:val="3"/>
        <w:spacing w:line="280" w:lineRule="exact"/>
        <w:jc w:val="left"/>
        <w:rPr>
          <w:rFonts w:ascii="宋体" w:hAnsi="宋体" w:cs="宋体"/>
          <w:b/>
          <w:bCs/>
        </w:rPr>
      </w:pPr>
      <w:bookmarkStart w:id="286" w:name="_Toc989176"/>
      <w:r>
        <w:rPr>
          <w:rFonts w:ascii="宋体" w:hAnsi="宋体" w:cs="宋体"/>
          <w:b/>
          <w:bCs/>
        </w:rPr>
        <w:t>18、长期待摊费用</w:t>
      </w:r>
      <w:bookmarkEnd w:id="286"/>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1606"/>
        <w:gridCol w:w="1606"/>
        <w:gridCol w:w="1606"/>
        <w:gridCol w:w="1607"/>
        <w:gridCol w:w="1607"/>
        <w:gridCol w:w="1607"/>
      </w:tblGrid>
      <w:tr w:rsidR="00157EA0">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本期摊销金额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其他减少金额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157EA0">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装修费</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2,587,389.10</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634,210.00</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611,521.93</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2,610,077.17</w:t>
            </w:r>
          </w:p>
        </w:tc>
      </w:tr>
      <w:tr w:rsidR="00157EA0">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2,587,389.10</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634,210.00</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611,521.93</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2,610,077.17</w:t>
            </w:r>
          </w:p>
        </w:tc>
      </w:tr>
    </w:tbl>
    <w:p w:rsidR="00BA0365" w:rsidRDefault="008D4B2E">
      <w:pPr>
        <w:pStyle w:val="3"/>
        <w:spacing w:line="280" w:lineRule="exact"/>
        <w:jc w:val="left"/>
        <w:rPr>
          <w:rFonts w:ascii="宋体" w:hAnsi="宋体" w:cs="宋体"/>
          <w:b/>
          <w:bCs/>
        </w:rPr>
      </w:pPr>
      <w:bookmarkStart w:id="287" w:name="_Toc989177"/>
      <w:r>
        <w:rPr>
          <w:rFonts w:ascii="宋体" w:hAnsi="宋体" w:cs="宋体"/>
          <w:b/>
          <w:bCs/>
        </w:rPr>
        <w:t>19、递延所得税资产/递延所得税负债</w:t>
      </w:r>
      <w:bookmarkEnd w:id="287"/>
    </w:p>
    <w:p w:rsidR="00BA0365" w:rsidRDefault="008D4B2E">
      <w:pPr>
        <w:keepNext/>
        <w:keepLines/>
        <w:spacing w:before="300" w:after="300" w:line="280" w:lineRule="exact"/>
        <w:outlineLvl w:val="3"/>
        <w:rPr>
          <w:rFonts w:ascii="宋体" w:eastAsia="宋体" w:hAnsi="宋体" w:cs="宋体"/>
          <w:b/>
          <w:bCs/>
          <w:szCs w:val="21"/>
        </w:rPr>
      </w:pPr>
      <w:bookmarkStart w:id="288" w:name="_Toc989178"/>
      <w:r>
        <w:rPr>
          <w:rFonts w:ascii="宋体" w:eastAsia="宋体" w:hAnsi="宋体" w:cs="宋体"/>
          <w:b/>
          <w:bCs/>
          <w:szCs w:val="21"/>
        </w:rPr>
        <w:t>（1） 未经</w:t>
      </w:r>
      <w:proofErr w:type="gramStart"/>
      <w:r>
        <w:rPr>
          <w:rFonts w:ascii="宋体" w:eastAsia="宋体" w:hAnsi="宋体" w:cs="宋体"/>
          <w:b/>
          <w:bCs/>
          <w:szCs w:val="21"/>
        </w:rPr>
        <w:t>抵销</w:t>
      </w:r>
      <w:proofErr w:type="gramEnd"/>
      <w:r>
        <w:rPr>
          <w:rFonts w:ascii="宋体" w:eastAsia="宋体" w:hAnsi="宋体" w:cs="宋体"/>
          <w:b/>
          <w:bCs/>
          <w:szCs w:val="21"/>
        </w:rPr>
        <w:t>的递延所得税资产</w:t>
      </w:r>
      <w:bookmarkEnd w:id="288"/>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1927"/>
        <w:gridCol w:w="1928"/>
        <w:gridCol w:w="1928"/>
        <w:gridCol w:w="1928"/>
        <w:gridCol w:w="1928"/>
      </w:tblGrid>
      <w:tr w:rsidR="00157EA0">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57EA0">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可抵扣暂时性差异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递延所得税资产</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可抵扣暂时性差异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递延所得税资产</w:t>
            </w:r>
          </w:p>
        </w:tc>
      </w:tr>
      <w:tr w:rsidR="00157EA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资产减值准备</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926,483,187.40</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140,670,804.26</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913,096,754.29</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137,872,013.50</w:t>
            </w:r>
          </w:p>
        </w:tc>
      </w:tr>
      <w:tr w:rsidR="00157EA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内部交易未实现利润</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27,741,768.79</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4,161,265.32</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28,336,691.00</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4,250,503.65</w:t>
            </w:r>
          </w:p>
        </w:tc>
      </w:tr>
      <w:tr w:rsidR="00157EA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可抵扣亏损</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123,173,704.66</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18,476,055.70</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预提费用</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31,834,601.30</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4,775,190.19</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36,518,152.16</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5,654,003.98</w:t>
            </w:r>
          </w:p>
        </w:tc>
      </w:tr>
      <w:tr w:rsidR="00157EA0">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预计负债</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23,012,334.20</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3,451,850.13</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20,227,132.94</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3,151,590.99</w:t>
            </w:r>
          </w:p>
        </w:tc>
      </w:tr>
      <w:tr w:rsidR="00157EA0">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递延收益</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26,593,107.96</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5,145,602.15</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24,315,531.12</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4,828,487.94</w:t>
            </w:r>
          </w:p>
        </w:tc>
      </w:tr>
      <w:tr w:rsidR="00157EA0">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股权激励费用</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99,826,273.16</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16,428,598.72</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84,570,207.92</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13,431,657.77</w:t>
            </w:r>
          </w:p>
        </w:tc>
      </w:tr>
      <w:tr w:rsidR="00157EA0">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租赁确认</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1,840,355.24</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287,906.59</w:t>
            </w:r>
          </w:p>
        </w:tc>
      </w:tr>
      <w:tr w:rsidR="00157EA0">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公允价值变动</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1,145,176.92</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171,776.54</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963,516.94</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144,527.54</w:t>
            </w:r>
          </w:p>
        </w:tc>
      </w:tr>
      <w:tr w:rsidR="00157EA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1,259,810,154.39</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193,281,143.01</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1,109,868,341.61</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169,620,691.96</w:t>
            </w:r>
          </w:p>
        </w:tc>
      </w:tr>
    </w:tbl>
    <w:p w:rsidR="00BA0365" w:rsidRDefault="008D4B2E">
      <w:pPr>
        <w:keepNext/>
        <w:keepLines/>
        <w:spacing w:before="300" w:after="300" w:line="280" w:lineRule="exact"/>
        <w:outlineLvl w:val="3"/>
        <w:rPr>
          <w:rFonts w:ascii="宋体" w:eastAsia="宋体" w:hAnsi="宋体" w:cs="宋体"/>
          <w:b/>
          <w:bCs/>
          <w:szCs w:val="21"/>
        </w:rPr>
      </w:pPr>
      <w:bookmarkStart w:id="289" w:name="_Toc989179"/>
      <w:r>
        <w:rPr>
          <w:rFonts w:ascii="宋体" w:eastAsia="宋体" w:hAnsi="宋体" w:cs="宋体"/>
          <w:b/>
          <w:bCs/>
          <w:szCs w:val="21"/>
        </w:rPr>
        <w:t>（2） 未经</w:t>
      </w:r>
      <w:proofErr w:type="gramStart"/>
      <w:r>
        <w:rPr>
          <w:rFonts w:ascii="宋体" w:eastAsia="宋体" w:hAnsi="宋体" w:cs="宋体"/>
          <w:b/>
          <w:bCs/>
          <w:szCs w:val="21"/>
        </w:rPr>
        <w:t>抵销</w:t>
      </w:r>
      <w:proofErr w:type="gramEnd"/>
      <w:r>
        <w:rPr>
          <w:rFonts w:ascii="宋体" w:eastAsia="宋体" w:hAnsi="宋体" w:cs="宋体"/>
          <w:b/>
          <w:bCs/>
          <w:szCs w:val="21"/>
        </w:rPr>
        <w:t>的递延所得税负债</w:t>
      </w:r>
      <w:bookmarkEnd w:id="289"/>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1927"/>
        <w:gridCol w:w="1928"/>
        <w:gridCol w:w="1928"/>
        <w:gridCol w:w="1928"/>
        <w:gridCol w:w="1928"/>
      </w:tblGrid>
      <w:tr w:rsidR="00157EA0">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57EA0">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应纳税暂时性差异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递延所得税负债</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应纳税暂时性差异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递延所得税负债</w:t>
            </w:r>
          </w:p>
        </w:tc>
      </w:tr>
      <w:tr w:rsidR="00157EA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非同</w:t>
            </w:r>
            <w:proofErr w:type="gramStart"/>
            <w:r>
              <w:rPr>
                <w:rFonts w:ascii="宋体" w:eastAsia="宋体" w:hAnsi="宋体" w:cs="宋体"/>
                <w:sz w:val="18"/>
                <w:szCs w:val="18"/>
              </w:rPr>
              <w:t>一控制</w:t>
            </w:r>
            <w:proofErr w:type="gramEnd"/>
            <w:r>
              <w:rPr>
                <w:rFonts w:ascii="宋体" w:eastAsia="宋体" w:hAnsi="宋体" w:cs="宋体"/>
                <w:sz w:val="18"/>
                <w:szCs w:val="18"/>
              </w:rPr>
              <w:t>企业合并资产评估增值</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370,961.13</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55,644.17</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1,546,327.60</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231,949.14</w:t>
            </w:r>
          </w:p>
        </w:tc>
      </w:tr>
      <w:tr w:rsidR="00157EA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其他权益工具投资公允价值变动</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54,229,990.39</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13,752,441.56</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80,820,000.00</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20,482,000.00</w:t>
            </w:r>
          </w:p>
        </w:tc>
      </w:tr>
      <w:tr w:rsidR="00157EA0">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理财产品应计利息</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413,930.71</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37,258.18</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2,505,000.00</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375,750.00</w:t>
            </w:r>
          </w:p>
        </w:tc>
      </w:tr>
      <w:tr w:rsidR="00157EA0">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固定资产加速折旧</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159,839,484.99</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24,230,967.01</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40,844,007.27</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6,507,114.37</w:t>
            </w:r>
          </w:p>
        </w:tc>
      </w:tr>
      <w:tr w:rsidR="00157EA0">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业绩补偿</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28,390,100.00</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4,258,515.00</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28,390,100.00</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4,258,515.00</w:t>
            </w:r>
          </w:p>
        </w:tc>
      </w:tr>
      <w:tr w:rsidR="00157EA0">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租赁确认</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2,667,171.75</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376,295.86</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合计</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245,911,638.97</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42,711,121.78</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154,105,434.87</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31,855,328.51</w:t>
            </w:r>
          </w:p>
        </w:tc>
      </w:tr>
    </w:tbl>
    <w:p w:rsidR="00BA0365" w:rsidRDefault="008D4B2E">
      <w:pPr>
        <w:keepNext/>
        <w:keepLines/>
        <w:spacing w:before="300" w:after="300" w:line="280" w:lineRule="exact"/>
        <w:outlineLvl w:val="3"/>
        <w:rPr>
          <w:rFonts w:ascii="宋体" w:eastAsia="宋体" w:hAnsi="宋体" w:cs="宋体"/>
          <w:b/>
          <w:bCs/>
          <w:szCs w:val="21"/>
        </w:rPr>
      </w:pPr>
      <w:bookmarkStart w:id="290" w:name="_Toc989180"/>
      <w:r>
        <w:rPr>
          <w:rFonts w:ascii="宋体" w:eastAsia="宋体" w:hAnsi="宋体" w:cs="宋体"/>
          <w:b/>
          <w:bCs/>
          <w:szCs w:val="21"/>
        </w:rPr>
        <w:t>（3） 以</w:t>
      </w:r>
      <w:proofErr w:type="gramStart"/>
      <w:r>
        <w:rPr>
          <w:rFonts w:ascii="宋体" w:eastAsia="宋体" w:hAnsi="宋体" w:cs="宋体"/>
          <w:b/>
          <w:bCs/>
          <w:szCs w:val="21"/>
        </w:rPr>
        <w:t>抵销</w:t>
      </w:r>
      <w:proofErr w:type="gramEnd"/>
      <w:r>
        <w:rPr>
          <w:rFonts w:ascii="宋体" w:eastAsia="宋体" w:hAnsi="宋体" w:cs="宋体"/>
          <w:b/>
          <w:bCs/>
          <w:szCs w:val="21"/>
        </w:rPr>
        <w:t>后净额列示的递延所得税资产或负债</w:t>
      </w:r>
      <w:bookmarkEnd w:id="290"/>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1927"/>
        <w:gridCol w:w="1928"/>
        <w:gridCol w:w="1928"/>
        <w:gridCol w:w="1928"/>
        <w:gridCol w:w="1928"/>
      </w:tblGrid>
      <w:tr w:rsidR="00157EA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递延所得税资产和负债期末互</w:t>
            </w:r>
            <w:proofErr w:type="gramStart"/>
            <w:r>
              <w:rPr>
                <w:rFonts w:ascii="宋体" w:eastAsia="宋体" w:hAnsi="宋体" w:cs="宋体"/>
                <w:sz w:val="18"/>
                <w:szCs w:val="18"/>
              </w:rPr>
              <w:t>抵金额</w:t>
            </w:r>
            <w:proofErr w:type="gramEnd"/>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proofErr w:type="gramStart"/>
            <w:r>
              <w:rPr>
                <w:rFonts w:ascii="宋体" w:eastAsia="宋体" w:hAnsi="宋体" w:cs="宋体"/>
                <w:sz w:val="18"/>
                <w:szCs w:val="18"/>
              </w:rPr>
              <w:t>抵销后递延</w:t>
            </w:r>
            <w:proofErr w:type="gramEnd"/>
            <w:r>
              <w:rPr>
                <w:rFonts w:ascii="宋体" w:eastAsia="宋体" w:hAnsi="宋体" w:cs="宋体"/>
                <w:sz w:val="18"/>
                <w:szCs w:val="18"/>
              </w:rPr>
              <w:t>所得税资产或负债期末余额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递延所得税资产和负债期</w:t>
            </w:r>
            <w:proofErr w:type="gramStart"/>
            <w:r>
              <w:rPr>
                <w:rFonts w:ascii="宋体" w:eastAsia="宋体" w:hAnsi="宋体" w:cs="宋体"/>
                <w:sz w:val="18"/>
                <w:szCs w:val="18"/>
              </w:rPr>
              <w:t>初互抵金额</w:t>
            </w:r>
            <w:proofErr w:type="gramEnd"/>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proofErr w:type="gramStart"/>
            <w:r>
              <w:rPr>
                <w:rFonts w:ascii="宋体" w:eastAsia="宋体" w:hAnsi="宋体" w:cs="宋体"/>
                <w:sz w:val="18"/>
                <w:szCs w:val="18"/>
              </w:rPr>
              <w:t>抵销后递延</w:t>
            </w:r>
            <w:proofErr w:type="gramEnd"/>
            <w:r>
              <w:rPr>
                <w:rFonts w:ascii="宋体" w:eastAsia="宋体" w:hAnsi="宋体" w:cs="宋体"/>
                <w:sz w:val="18"/>
                <w:szCs w:val="18"/>
              </w:rPr>
              <w:t>所得税资产或负债期初余额</w:t>
            </w:r>
          </w:p>
        </w:tc>
      </w:tr>
      <w:tr w:rsidR="00157EA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递延所得税资产</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193,281,143.01</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169,620,691.96</w:t>
            </w:r>
          </w:p>
        </w:tc>
      </w:tr>
      <w:tr w:rsidR="00157EA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递延所得税负债</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42,711,121.78</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31,855,328.51</w:t>
            </w:r>
          </w:p>
        </w:tc>
      </w:tr>
    </w:tbl>
    <w:p w:rsidR="00BA0365" w:rsidRDefault="008D4B2E">
      <w:pPr>
        <w:pStyle w:val="3"/>
        <w:spacing w:line="280" w:lineRule="exact"/>
        <w:jc w:val="left"/>
        <w:rPr>
          <w:rFonts w:ascii="宋体" w:hAnsi="宋体" w:cs="宋体"/>
          <w:b/>
          <w:bCs/>
        </w:rPr>
      </w:pPr>
      <w:bookmarkStart w:id="291" w:name="_Toc989181"/>
      <w:r>
        <w:rPr>
          <w:rFonts w:ascii="宋体" w:hAnsi="宋体" w:cs="宋体"/>
          <w:b/>
          <w:bCs/>
        </w:rPr>
        <w:t>20、其他非流动资产</w:t>
      </w:r>
      <w:bookmarkEnd w:id="291"/>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1951"/>
        <w:gridCol w:w="1418"/>
        <w:gridCol w:w="992"/>
        <w:gridCol w:w="1417"/>
        <w:gridCol w:w="1418"/>
        <w:gridCol w:w="992"/>
        <w:gridCol w:w="1451"/>
      </w:tblGrid>
      <w:tr w:rsidR="00157EA0" w:rsidTr="001112C2">
        <w:trPr>
          <w:trHeight w:val="240"/>
        </w:trPr>
        <w:tc>
          <w:tcPr>
            <w:tcW w:w="195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827"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86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57EA0" w:rsidTr="001112C2">
        <w:trPr>
          <w:trHeight w:val="240"/>
        </w:trPr>
        <w:tc>
          <w:tcPr>
            <w:tcW w:w="195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45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157EA0" w:rsidTr="001112C2">
        <w:trPr>
          <w:trHeight w:val="240"/>
        </w:trPr>
        <w:tc>
          <w:tcPr>
            <w:tcW w:w="19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工程及设备预付款</w:t>
            </w:r>
          </w:p>
        </w:tc>
        <w:tc>
          <w:tcPr>
            <w:tcW w:w="14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35,795,813.60</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35,795,813.60</w:t>
            </w:r>
          </w:p>
        </w:tc>
        <w:tc>
          <w:tcPr>
            <w:tcW w:w="14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86,715,621.09</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4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86,715,621.09</w:t>
            </w:r>
          </w:p>
        </w:tc>
      </w:tr>
      <w:tr w:rsidR="00157EA0" w:rsidTr="001112C2">
        <w:trPr>
          <w:trHeight w:val="240"/>
        </w:trPr>
        <w:tc>
          <w:tcPr>
            <w:tcW w:w="195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4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35,795,813.60</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35,795,813.60</w:t>
            </w:r>
          </w:p>
        </w:tc>
        <w:tc>
          <w:tcPr>
            <w:tcW w:w="14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86,715,621.09</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4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86,715,621.09</w:t>
            </w:r>
          </w:p>
        </w:tc>
      </w:tr>
    </w:tbl>
    <w:p w:rsidR="00BA0365" w:rsidRDefault="008D4B2E">
      <w:pPr>
        <w:pStyle w:val="3"/>
        <w:spacing w:line="280" w:lineRule="exact"/>
        <w:jc w:val="left"/>
        <w:rPr>
          <w:rFonts w:ascii="宋体" w:hAnsi="宋体" w:cs="宋体"/>
          <w:b/>
          <w:bCs/>
        </w:rPr>
      </w:pPr>
      <w:bookmarkStart w:id="292" w:name="_Toc989182"/>
      <w:r>
        <w:rPr>
          <w:rFonts w:ascii="宋体" w:hAnsi="宋体" w:cs="宋体"/>
          <w:b/>
          <w:bCs/>
        </w:rPr>
        <w:t>21、所有权或使用权受到限制的资产</w:t>
      </w:r>
      <w:bookmarkEnd w:id="292"/>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1071"/>
        <w:gridCol w:w="1071"/>
        <w:gridCol w:w="1071"/>
        <w:gridCol w:w="1148"/>
        <w:gridCol w:w="994"/>
        <w:gridCol w:w="1071"/>
        <w:gridCol w:w="1071"/>
        <w:gridCol w:w="1116"/>
        <w:gridCol w:w="1026"/>
      </w:tblGrid>
      <w:tr w:rsidR="00157EA0">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284"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w:t>
            </w:r>
          </w:p>
        </w:tc>
        <w:tc>
          <w:tcPr>
            <w:tcW w:w="4284"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w:t>
            </w:r>
          </w:p>
        </w:tc>
      </w:tr>
      <w:tr w:rsidR="00157EA0" w:rsidTr="001112C2">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14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受限类型</w:t>
            </w:r>
          </w:p>
        </w:tc>
        <w:tc>
          <w:tcPr>
            <w:tcW w:w="994"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受限情况</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11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受限类型</w:t>
            </w:r>
          </w:p>
        </w:tc>
        <w:tc>
          <w:tcPr>
            <w:tcW w:w="102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受限情况</w:t>
            </w:r>
          </w:p>
        </w:tc>
      </w:tr>
      <w:tr w:rsidR="00157EA0" w:rsidTr="001112C2">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货币资金</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1,301,351,336.99</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1,301,351,336.99</w:t>
            </w:r>
          </w:p>
        </w:tc>
        <w:tc>
          <w:tcPr>
            <w:tcW w:w="114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保证金和定期存款等</w:t>
            </w:r>
          </w:p>
        </w:tc>
        <w:tc>
          <w:tcPr>
            <w:tcW w:w="994"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1,037,677,643.08</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1,037,677,643.08</w:t>
            </w:r>
          </w:p>
        </w:tc>
        <w:tc>
          <w:tcPr>
            <w:tcW w:w="111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保证金和定期存款等</w:t>
            </w:r>
          </w:p>
        </w:tc>
        <w:tc>
          <w:tcPr>
            <w:tcW w:w="102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r>
      <w:tr w:rsidR="00157EA0" w:rsidTr="001112C2">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应收票据</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455,321,827.13</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455,321,827.13</w:t>
            </w:r>
          </w:p>
        </w:tc>
        <w:tc>
          <w:tcPr>
            <w:tcW w:w="114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质押用于开立银行承兑汇票</w:t>
            </w:r>
          </w:p>
        </w:tc>
        <w:tc>
          <w:tcPr>
            <w:tcW w:w="994"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229,998,534.00</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229,998,534.00</w:t>
            </w:r>
          </w:p>
        </w:tc>
        <w:tc>
          <w:tcPr>
            <w:tcW w:w="111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质押用于开立银行承兑汇票</w:t>
            </w:r>
          </w:p>
        </w:tc>
        <w:tc>
          <w:tcPr>
            <w:tcW w:w="102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r>
      <w:tr w:rsidR="00157EA0" w:rsidTr="001112C2">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固定资产</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138,289,971.48</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138,289,971.48</w:t>
            </w:r>
          </w:p>
        </w:tc>
        <w:tc>
          <w:tcPr>
            <w:tcW w:w="114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抵押用于取得银行借款</w:t>
            </w:r>
          </w:p>
        </w:tc>
        <w:tc>
          <w:tcPr>
            <w:tcW w:w="994"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150,901,896.13</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150,901,896.13</w:t>
            </w:r>
          </w:p>
        </w:tc>
        <w:tc>
          <w:tcPr>
            <w:tcW w:w="111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抵押用于取得银行借款</w:t>
            </w:r>
          </w:p>
        </w:tc>
        <w:tc>
          <w:tcPr>
            <w:tcW w:w="102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r>
      <w:tr w:rsidR="00157EA0" w:rsidTr="001112C2">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无形资产</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169,389,611.97</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169,389,611.97</w:t>
            </w:r>
          </w:p>
        </w:tc>
        <w:tc>
          <w:tcPr>
            <w:tcW w:w="114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抵押用于取得银行借款</w:t>
            </w:r>
          </w:p>
        </w:tc>
        <w:tc>
          <w:tcPr>
            <w:tcW w:w="994"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173,607,385.19</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173,607,385.19</w:t>
            </w:r>
          </w:p>
        </w:tc>
        <w:tc>
          <w:tcPr>
            <w:tcW w:w="111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抵押用于取得银行借款</w:t>
            </w:r>
          </w:p>
        </w:tc>
        <w:tc>
          <w:tcPr>
            <w:tcW w:w="102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r>
      <w:tr w:rsidR="00157EA0" w:rsidTr="00152E2B">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应收款项融资</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14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994"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453,388,546.21</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453,388,546.21</w:t>
            </w:r>
          </w:p>
        </w:tc>
        <w:tc>
          <w:tcPr>
            <w:tcW w:w="111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质押用于开立银行承兑汇票</w:t>
            </w:r>
          </w:p>
        </w:tc>
        <w:tc>
          <w:tcPr>
            <w:tcW w:w="102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r>
      <w:tr w:rsidR="00157EA0" w:rsidTr="001112C2">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2,064,352,747.57</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2,064,352,747.57</w:t>
            </w:r>
          </w:p>
        </w:tc>
        <w:tc>
          <w:tcPr>
            <w:tcW w:w="114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994"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2,045,574,004.61</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2,045,574,004.61</w:t>
            </w:r>
          </w:p>
        </w:tc>
        <w:tc>
          <w:tcPr>
            <w:tcW w:w="111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02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bl>
    <w:p w:rsidR="00BA0365" w:rsidRDefault="008D4B2E" w:rsidP="00B818D2">
      <w:pPr>
        <w:spacing w:before="100" w:after="100"/>
        <w:rPr>
          <w:rFonts w:ascii="宋体" w:eastAsia="宋体" w:hAnsi="宋体" w:cs="宋体"/>
          <w:sz w:val="18"/>
          <w:szCs w:val="18"/>
        </w:rPr>
      </w:pPr>
      <w:r>
        <w:rPr>
          <w:rFonts w:ascii="宋体" w:eastAsia="宋体" w:hAnsi="宋体" w:cs="宋体"/>
          <w:sz w:val="18"/>
          <w:szCs w:val="18"/>
        </w:rPr>
        <w:t>其他说明：</w:t>
      </w:r>
    </w:p>
    <w:p w:rsidR="008D4B2E" w:rsidRPr="00FC6EB6" w:rsidRDefault="008D4B2E" w:rsidP="00B818D2">
      <w:pPr>
        <w:divId w:val="1830973211"/>
        <w:rPr>
          <w:rFonts w:ascii="宋体" w:eastAsia="宋体" w:hAnsi="宋体" w:cs="宋体"/>
          <w:sz w:val="18"/>
          <w:szCs w:val="18"/>
        </w:rPr>
      </w:pPr>
      <w:r w:rsidRPr="00FC6EB6">
        <w:rPr>
          <w:rFonts w:ascii="宋体" w:eastAsia="宋体" w:hAnsi="宋体" w:cs="宋体" w:hint="eastAsia"/>
          <w:sz w:val="18"/>
          <w:szCs w:val="18"/>
        </w:rPr>
        <w:t>受限原因：</w:t>
      </w:r>
    </w:p>
    <w:p w:rsidR="008D4B2E" w:rsidRPr="00FC6EB6" w:rsidRDefault="008D4B2E" w:rsidP="00B818D2">
      <w:pPr>
        <w:divId w:val="1830973211"/>
        <w:rPr>
          <w:rFonts w:ascii="宋体" w:eastAsia="宋体" w:hAnsi="宋体" w:cs="宋体"/>
          <w:sz w:val="18"/>
          <w:szCs w:val="18"/>
        </w:rPr>
      </w:pPr>
      <w:r w:rsidRPr="00FC6EB6">
        <w:rPr>
          <w:rFonts w:ascii="宋体" w:eastAsia="宋体" w:hAnsi="宋体" w:cs="宋体"/>
          <w:sz w:val="18"/>
          <w:szCs w:val="18"/>
        </w:rPr>
        <w:t>1</w:t>
      </w:r>
      <w:r w:rsidRPr="00FC6EB6">
        <w:rPr>
          <w:rFonts w:ascii="宋体" w:eastAsia="宋体" w:hAnsi="宋体" w:cs="宋体" w:hint="eastAsia"/>
          <w:sz w:val="18"/>
          <w:szCs w:val="18"/>
        </w:rPr>
        <w:t>、</w:t>
      </w:r>
      <w:r w:rsidRPr="00FC6EB6">
        <w:rPr>
          <w:rFonts w:ascii="宋体" w:eastAsia="宋体" w:hAnsi="宋体" w:cs="宋体"/>
          <w:sz w:val="18"/>
          <w:szCs w:val="18"/>
        </w:rPr>
        <w:t>2023</w:t>
      </w:r>
      <w:r w:rsidRPr="00FC6EB6">
        <w:rPr>
          <w:rFonts w:ascii="宋体" w:eastAsia="宋体" w:hAnsi="宋体" w:cs="宋体" w:hint="eastAsia"/>
          <w:sz w:val="18"/>
          <w:szCs w:val="18"/>
        </w:rPr>
        <w:t>年</w:t>
      </w:r>
      <w:r w:rsidRPr="00FC6EB6">
        <w:rPr>
          <w:rFonts w:ascii="宋体" w:eastAsia="宋体" w:hAnsi="宋体" w:cs="宋体"/>
          <w:sz w:val="18"/>
          <w:szCs w:val="18"/>
        </w:rPr>
        <w:t>9</w:t>
      </w:r>
      <w:r w:rsidRPr="00FC6EB6">
        <w:rPr>
          <w:rFonts w:ascii="宋体" w:eastAsia="宋体" w:hAnsi="宋体" w:cs="宋体" w:hint="eastAsia"/>
          <w:sz w:val="18"/>
          <w:szCs w:val="18"/>
        </w:rPr>
        <w:t>月</w:t>
      </w:r>
      <w:r w:rsidRPr="00FC6EB6">
        <w:rPr>
          <w:rFonts w:ascii="宋体" w:eastAsia="宋体" w:hAnsi="宋体" w:cs="宋体"/>
          <w:sz w:val="18"/>
          <w:szCs w:val="18"/>
        </w:rPr>
        <w:t>27</w:t>
      </w:r>
      <w:r w:rsidRPr="00FC6EB6">
        <w:rPr>
          <w:rFonts w:ascii="宋体" w:eastAsia="宋体" w:hAnsi="宋体" w:cs="宋体" w:hint="eastAsia"/>
          <w:sz w:val="18"/>
          <w:szCs w:val="18"/>
        </w:rPr>
        <w:t>日，江苏达诚机械装备有限公司因与</w:t>
      </w:r>
      <w:proofErr w:type="gramStart"/>
      <w:r w:rsidRPr="00FC6EB6">
        <w:rPr>
          <w:rFonts w:ascii="宋体" w:eastAsia="宋体" w:hAnsi="宋体" w:cs="宋体" w:hint="eastAsia"/>
          <w:sz w:val="18"/>
          <w:szCs w:val="18"/>
        </w:rPr>
        <w:t>青岛软控机电工程</w:t>
      </w:r>
      <w:proofErr w:type="gramEnd"/>
      <w:r w:rsidRPr="00FC6EB6">
        <w:rPr>
          <w:rFonts w:ascii="宋体" w:eastAsia="宋体" w:hAnsi="宋体" w:cs="宋体" w:hint="eastAsia"/>
          <w:sz w:val="18"/>
          <w:szCs w:val="18"/>
        </w:rPr>
        <w:t>有限公司买卖合同纠纷一案，向法院申请保全，青岛市市北区人民法院</w:t>
      </w:r>
      <w:proofErr w:type="gramStart"/>
      <w:r w:rsidRPr="00FC6EB6">
        <w:rPr>
          <w:rFonts w:ascii="宋体" w:eastAsia="宋体" w:hAnsi="宋体" w:cs="宋体" w:hint="eastAsia"/>
          <w:sz w:val="18"/>
          <w:szCs w:val="18"/>
        </w:rPr>
        <w:t>作出</w:t>
      </w:r>
      <w:proofErr w:type="gramEnd"/>
      <w:r w:rsidRPr="00FC6EB6">
        <w:rPr>
          <w:rFonts w:ascii="宋体" w:eastAsia="宋体" w:hAnsi="宋体" w:cs="宋体" w:hint="eastAsia"/>
          <w:sz w:val="18"/>
          <w:szCs w:val="18"/>
        </w:rPr>
        <w:t>（</w:t>
      </w:r>
      <w:r w:rsidRPr="00FC6EB6">
        <w:rPr>
          <w:rFonts w:ascii="宋体" w:eastAsia="宋体" w:hAnsi="宋体" w:cs="宋体"/>
          <w:sz w:val="18"/>
          <w:szCs w:val="18"/>
        </w:rPr>
        <w:t>2023</w:t>
      </w:r>
      <w:r w:rsidRPr="00FC6EB6">
        <w:rPr>
          <w:rFonts w:ascii="宋体" w:eastAsia="宋体" w:hAnsi="宋体" w:cs="宋体" w:hint="eastAsia"/>
          <w:sz w:val="18"/>
          <w:szCs w:val="18"/>
        </w:rPr>
        <w:t>）鲁</w:t>
      </w:r>
      <w:r w:rsidRPr="00FC6EB6">
        <w:rPr>
          <w:rFonts w:ascii="宋体" w:eastAsia="宋体" w:hAnsi="宋体" w:cs="宋体"/>
          <w:sz w:val="18"/>
          <w:szCs w:val="18"/>
        </w:rPr>
        <w:t>0203</w:t>
      </w:r>
      <w:r w:rsidRPr="00FC6EB6">
        <w:rPr>
          <w:rFonts w:ascii="宋体" w:eastAsia="宋体" w:hAnsi="宋体" w:cs="宋体" w:hint="eastAsia"/>
          <w:sz w:val="18"/>
          <w:szCs w:val="18"/>
        </w:rPr>
        <w:t>财保</w:t>
      </w:r>
      <w:r w:rsidRPr="00FC6EB6">
        <w:rPr>
          <w:rFonts w:ascii="宋体" w:eastAsia="宋体" w:hAnsi="宋体" w:cs="宋体"/>
          <w:sz w:val="18"/>
          <w:szCs w:val="18"/>
        </w:rPr>
        <w:t>1617</w:t>
      </w:r>
      <w:r w:rsidRPr="00FC6EB6">
        <w:rPr>
          <w:rFonts w:ascii="宋体" w:eastAsia="宋体" w:hAnsi="宋体" w:cs="宋体" w:hint="eastAsia"/>
          <w:sz w:val="18"/>
          <w:szCs w:val="18"/>
        </w:rPr>
        <w:t>号裁定，冻结</w:t>
      </w:r>
      <w:proofErr w:type="gramStart"/>
      <w:r w:rsidRPr="00FC6EB6">
        <w:rPr>
          <w:rFonts w:ascii="宋体" w:eastAsia="宋体" w:hAnsi="宋体" w:cs="宋体" w:hint="eastAsia"/>
          <w:sz w:val="18"/>
          <w:szCs w:val="18"/>
        </w:rPr>
        <w:t>青岛软控机电工程</w:t>
      </w:r>
      <w:proofErr w:type="gramEnd"/>
      <w:r w:rsidRPr="00FC6EB6">
        <w:rPr>
          <w:rFonts w:ascii="宋体" w:eastAsia="宋体" w:hAnsi="宋体" w:cs="宋体" w:hint="eastAsia"/>
          <w:sz w:val="18"/>
          <w:szCs w:val="18"/>
        </w:rPr>
        <w:t>有限公司在银行账户存款人民币</w:t>
      </w:r>
      <w:r w:rsidRPr="00FC6EB6">
        <w:rPr>
          <w:rFonts w:ascii="宋体" w:eastAsia="宋体" w:hAnsi="宋体" w:cs="宋体"/>
          <w:sz w:val="18"/>
          <w:szCs w:val="18"/>
        </w:rPr>
        <w:t>2,700,000.00</w:t>
      </w:r>
      <w:r w:rsidRPr="00FC6EB6">
        <w:rPr>
          <w:rFonts w:ascii="宋体" w:eastAsia="宋体" w:hAnsi="宋体" w:cs="宋体" w:hint="eastAsia"/>
          <w:sz w:val="18"/>
          <w:szCs w:val="18"/>
        </w:rPr>
        <w:t>元。</w:t>
      </w:r>
    </w:p>
    <w:p w:rsidR="008D4B2E" w:rsidRPr="00FC6EB6" w:rsidRDefault="008D4B2E" w:rsidP="00B818D2">
      <w:pPr>
        <w:divId w:val="1830973211"/>
        <w:rPr>
          <w:rFonts w:ascii="宋体" w:eastAsia="宋体" w:hAnsi="宋体" w:cs="宋体"/>
          <w:sz w:val="18"/>
          <w:szCs w:val="18"/>
        </w:rPr>
      </w:pPr>
      <w:r w:rsidRPr="00FC6EB6">
        <w:rPr>
          <w:rFonts w:ascii="宋体" w:eastAsia="宋体" w:hAnsi="宋体" w:cs="宋体"/>
          <w:sz w:val="18"/>
          <w:szCs w:val="18"/>
        </w:rPr>
        <w:t>2</w:t>
      </w:r>
      <w:r w:rsidRPr="00FC6EB6">
        <w:rPr>
          <w:rFonts w:ascii="宋体" w:eastAsia="宋体" w:hAnsi="宋体" w:cs="宋体" w:hint="eastAsia"/>
          <w:sz w:val="18"/>
          <w:szCs w:val="18"/>
        </w:rPr>
        <w:t>、</w:t>
      </w:r>
      <w:proofErr w:type="gramStart"/>
      <w:r w:rsidRPr="00FC6EB6">
        <w:rPr>
          <w:rFonts w:ascii="宋体" w:eastAsia="宋体" w:hAnsi="宋体" w:cs="宋体" w:hint="eastAsia"/>
          <w:sz w:val="18"/>
          <w:szCs w:val="18"/>
        </w:rPr>
        <w:t>软控机电浙商</w:t>
      </w:r>
      <w:proofErr w:type="gramEnd"/>
      <w:r w:rsidRPr="00FC6EB6">
        <w:rPr>
          <w:rFonts w:ascii="宋体" w:eastAsia="宋体" w:hAnsi="宋体" w:cs="宋体" w:hint="eastAsia"/>
          <w:sz w:val="18"/>
          <w:szCs w:val="18"/>
        </w:rPr>
        <w:t>银行青岛分行票据池入池票据托收资金</w:t>
      </w:r>
      <w:r w:rsidRPr="00FC6EB6">
        <w:rPr>
          <w:rFonts w:ascii="宋体" w:eastAsia="宋体" w:hAnsi="宋体" w:cs="宋体"/>
          <w:sz w:val="18"/>
          <w:szCs w:val="18"/>
        </w:rPr>
        <w:t>530,497,800.77</w:t>
      </w:r>
      <w:r w:rsidRPr="00FC6EB6">
        <w:rPr>
          <w:rFonts w:ascii="宋体" w:eastAsia="宋体" w:hAnsi="宋体" w:cs="宋体" w:hint="eastAsia"/>
          <w:sz w:val="18"/>
          <w:szCs w:val="18"/>
        </w:rPr>
        <w:t>元</w:t>
      </w:r>
      <w:r w:rsidRPr="00FC6EB6">
        <w:rPr>
          <w:rFonts w:ascii="宋体" w:eastAsia="宋体" w:hAnsi="宋体" w:cs="宋体"/>
          <w:sz w:val="18"/>
          <w:szCs w:val="18"/>
        </w:rPr>
        <w:t>;</w:t>
      </w:r>
      <w:r w:rsidRPr="00FC6EB6">
        <w:rPr>
          <w:rFonts w:ascii="宋体" w:eastAsia="宋体" w:hAnsi="宋体" w:cs="宋体" w:hint="eastAsia"/>
          <w:sz w:val="18"/>
          <w:szCs w:val="18"/>
        </w:rPr>
        <w:t>中信银行青岛分行票据池入池票据托收资金</w:t>
      </w:r>
      <w:r w:rsidRPr="00FC6EB6">
        <w:rPr>
          <w:rFonts w:ascii="宋体" w:eastAsia="宋体" w:hAnsi="宋体" w:cs="宋体"/>
          <w:sz w:val="18"/>
          <w:szCs w:val="18"/>
        </w:rPr>
        <w:t>376,636,299.52</w:t>
      </w:r>
      <w:r w:rsidRPr="00FC6EB6">
        <w:rPr>
          <w:rFonts w:ascii="宋体" w:eastAsia="宋体" w:hAnsi="宋体" w:cs="宋体" w:hint="eastAsia"/>
          <w:sz w:val="18"/>
          <w:szCs w:val="18"/>
        </w:rPr>
        <w:t>元，入池质押票据</w:t>
      </w:r>
      <w:r w:rsidRPr="00FC6EB6">
        <w:rPr>
          <w:rFonts w:ascii="宋体" w:eastAsia="宋体" w:hAnsi="宋体" w:cs="宋体"/>
          <w:sz w:val="18"/>
          <w:szCs w:val="18"/>
        </w:rPr>
        <w:t>85,976,813.90</w:t>
      </w:r>
      <w:r w:rsidRPr="00FC6EB6">
        <w:rPr>
          <w:rFonts w:ascii="宋体" w:eastAsia="宋体" w:hAnsi="宋体" w:cs="宋体" w:hint="eastAsia"/>
          <w:sz w:val="18"/>
          <w:szCs w:val="18"/>
        </w:rPr>
        <w:t>元；中国兴业银行青岛分行票据池入池票据托收资金</w:t>
      </w:r>
      <w:r w:rsidRPr="00FC6EB6">
        <w:rPr>
          <w:rFonts w:ascii="宋体" w:eastAsia="宋体" w:hAnsi="宋体" w:cs="宋体"/>
          <w:sz w:val="18"/>
          <w:szCs w:val="18"/>
        </w:rPr>
        <w:t>72,689,053.43</w:t>
      </w:r>
      <w:r w:rsidRPr="00FC6EB6">
        <w:rPr>
          <w:rFonts w:ascii="宋体" w:eastAsia="宋体" w:hAnsi="宋体" w:cs="宋体" w:hint="eastAsia"/>
          <w:sz w:val="18"/>
          <w:szCs w:val="18"/>
        </w:rPr>
        <w:t>元，入池质押票据</w:t>
      </w:r>
      <w:r w:rsidRPr="00FC6EB6">
        <w:rPr>
          <w:rFonts w:ascii="宋体" w:eastAsia="宋体" w:hAnsi="宋体" w:cs="宋体"/>
          <w:sz w:val="18"/>
          <w:szCs w:val="18"/>
        </w:rPr>
        <w:t>132,574,270.68</w:t>
      </w:r>
      <w:r w:rsidRPr="00FC6EB6">
        <w:rPr>
          <w:rFonts w:ascii="宋体" w:eastAsia="宋体" w:hAnsi="宋体" w:cs="宋体" w:hint="eastAsia"/>
          <w:sz w:val="18"/>
          <w:szCs w:val="18"/>
        </w:rPr>
        <w:t>元；广发银行青岛分行入池质押票据</w:t>
      </w:r>
      <w:r w:rsidRPr="00FC6EB6">
        <w:rPr>
          <w:rFonts w:ascii="宋体" w:eastAsia="宋体" w:hAnsi="宋体" w:cs="宋体"/>
          <w:sz w:val="18"/>
          <w:szCs w:val="18"/>
        </w:rPr>
        <w:t>152,402,880.75</w:t>
      </w:r>
      <w:r w:rsidRPr="00FC6EB6">
        <w:rPr>
          <w:rFonts w:ascii="宋体" w:eastAsia="宋体" w:hAnsi="宋体" w:cs="宋体" w:hint="eastAsia"/>
          <w:sz w:val="18"/>
          <w:szCs w:val="18"/>
        </w:rPr>
        <w:t>元。</w:t>
      </w:r>
    </w:p>
    <w:p w:rsidR="008D4B2E" w:rsidRPr="00FC6EB6" w:rsidRDefault="008D4B2E" w:rsidP="00B818D2">
      <w:pPr>
        <w:divId w:val="1830973211"/>
        <w:rPr>
          <w:rFonts w:ascii="宋体" w:eastAsia="宋体" w:hAnsi="宋体" w:cs="宋体"/>
          <w:sz w:val="18"/>
          <w:szCs w:val="18"/>
        </w:rPr>
      </w:pPr>
      <w:r w:rsidRPr="00FC6EB6">
        <w:rPr>
          <w:rFonts w:ascii="宋体" w:eastAsia="宋体" w:hAnsi="宋体" w:cs="宋体"/>
          <w:sz w:val="18"/>
          <w:szCs w:val="18"/>
        </w:rPr>
        <w:t>3</w:t>
      </w:r>
      <w:r w:rsidRPr="00FC6EB6">
        <w:rPr>
          <w:rFonts w:ascii="宋体" w:eastAsia="宋体" w:hAnsi="宋体" w:cs="宋体" w:hint="eastAsia"/>
          <w:sz w:val="18"/>
          <w:szCs w:val="18"/>
        </w:rPr>
        <w:t>、其余受限货币资金为银行承兑汇票保证金、信用证保证金、保函保证金、远期结汇保证金。</w:t>
      </w:r>
    </w:p>
    <w:p w:rsidR="008D4B2E" w:rsidRPr="00FC6EB6" w:rsidRDefault="008D4B2E" w:rsidP="00B818D2">
      <w:pPr>
        <w:divId w:val="1830973211"/>
        <w:rPr>
          <w:rFonts w:ascii="宋体" w:eastAsia="宋体" w:hAnsi="宋体" w:cs="宋体"/>
          <w:sz w:val="18"/>
          <w:szCs w:val="18"/>
        </w:rPr>
      </w:pPr>
      <w:r w:rsidRPr="00FC6EB6">
        <w:rPr>
          <w:rFonts w:ascii="宋体" w:eastAsia="宋体" w:hAnsi="宋体" w:cs="宋体"/>
          <w:sz w:val="18"/>
          <w:szCs w:val="18"/>
        </w:rPr>
        <w:t>4</w:t>
      </w:r>
      <w:r w:rsidRPr="00FC6EB6">
        <w:rPr>
          <w:rFonts w:ascii="宋体" w:eastAsia="宋体" w:hAnsi="宋体" w:cs="宋体" w:hint="eastAsia"/>
          <w:sz w:val="18"/>
          <w:szCs w:val="18"/>
        </w:rPr>
        <w:t>、受限固定资产、无形资产详见附注长期借款。</w:t>
      </w:r>
      <w:r w:rsidRPr="00FC6EB6">
        <w:rPr>
          <w:rFonts w:ascii="宋体" w:eastAsia="宋体" w:hAnsi="宋体" w:cs="宋体"/>
          <w:sz w:val="18"/>
          <w:szCs w:val="18"/>
        </w:rPr>
        <w:t xml:space="preserve"> </w:t>
      </w:r>
    </w:p>
    <w:p w:rsidR="00BA0365" w:rsidRDefault="008D4B2E">
      <w:pPr>
        <w:pStyle w:val="3"/>
        <w:spacing w:line="280" w:lineRule="exact"/>
        <w:jc w:val="left"/>
        <w:rPr>
          <w:rFonts w:ascii="宋体" w:hAnsi="宋体" w:cs="宋体"/>
          <w:b/>
          <w:bCs/>
        </w:rPr>
      </w:pPr>
      <w:bookmarkStart w:id="293" w:name="_Toc989183"/>
      <w:r>
        <w:rPr>
          <w:rFonts w:ascii="宋体" w:hAnsi="宋体" w:cs="宋体"/>
          <w:b/>
          <w:bCs/>
        </w:rPr>
        <w:lastRenderedPageBreak/>
        <w:t>22、短期借款</w:t>
      </w:r>
      <w:bookmarkEnd w:id="293"/>
    </w:p>
    <w:p w:rsidR="00BA0365" w:rsidRDefault="008D4B2E">
      <w:pPr>
        <w:keepNext/>
        <w:keepLines/>
        <w:spacing w:before="300" w:after="300" w:line="280" w:lineRule="exact"/>
        <w:outlineLvl w:val="3"/>
        <w:rPr>
          <w:rFonts w:ascii="宋体" w:eastAsia="宋体" w:hAnsi="宋体" w:cs="宋体"/>
          <w:b/>
          <w:bCs/>
          <w:szCs w:val="21"/>
        </w:rPr>
      </w:pPr>
      <w:bookmarkStart w:id="294" w:name="_Toc989184"/>
      <w:r>
        <w:rPr>
          <w:rFonts w:ascii="宋体" w:eastAsia="宋体" w:hAnsi="宋体" w:cs="宋体"/>
          <w:b/>
          <w:bCs/>
          <w:szCs w:val="21"/>
        </w:rPr>
        <w:t>（1） 短期借款分类</w:t>
      </w:r>
      <w:bookmarkEnd w:id="294"/>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3213"/>
        <w:gridCol w:w="3213"/>
        <w:gridCol w:w="3213"/>
      </w:tblGrid>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保证借款</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374,900,000.00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402,990,075.00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信用借款</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314,078,350.00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26,618,294.35</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688,978,350.00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429,608,369.35</w:t>
            </w:r>
          </w:p>
        </w:tc>
      </w:tr>
    </w:tbl>
    <w:p w:rsidR="00BA0365" w:rsidRDefault="008D4B2E">
      <w:pPr>
        <w:pStyle w:val="3"/>
        <w:spacing w:line="280" w:lineRule="exact"/>
        <w:jc w:val="left"/>
        <w:rPr>
          <w:rFonts w:ascii="宋体" w:hAnsi="宋体" w:cs="宋体"/>
          <w:b/>
          <w:bCs/>
        </w:rPr>
      </w:pPr>
      <w:bookmarkStart w:id="295" w:name="_Toc989185"/>
      <w:r>
        <w:rPr>
          <w:rFonts w:ascii="宋体" w:hAnsi="宋体" w:cs="宋体"/>
          <w:b/>
          <w:bCs/>
        </w:rPr>
        <w:t>23、应付票据</w:t>
      </w:r>
      <w:bookmarkEnd w:id="295"/>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3213"/>
        <w:gridCol w:w="3213"/>
        <w:gridCol w:w="3213"/>
      </w:tblGrid>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种类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商业承兑汇票</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7,035,037.52</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66,984,516.57</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银行承兑汇票</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1,234,566,097.95</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1,246,381,970.62</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信用证</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491,948.64</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11,761,083.03</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1,242,093,084.11</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1,325,127,570.22</w:t>
            </w:r>
          </w:p>
        </w:tc>
      </w:tr>
    </w:tbl>
    <w:p w:rsidR="00BA0365" w:rsidRDefault="008D4B2E">
      <w:pPr>
        <w:pStyle w:val="3"/>
        <w:spacing w:line="280" w:lineRule="exact"/>
        <w:jc w:val="left"/>
        <w:rPr>
          <w:rFonts w:ascii="宋体" w:hAnsi="宋体" w:cs="宋体"/>
          <w:b/>
          <w:bCs/>
        </w:rPr>
      </w:pPr>
      <w:bookmarkStart w:id="296" w:name="_Toc989186"/>
      <w:r>
        <w:rPr>
          <w:rFonts w:ascii="宋体" w:hAnsi="宋体" w:cs="宋体"/>
          <w:b/>
          <w:bCs/>
        </w:rPr>
        <w:t>24、应付账款</w:t>
      </w:r>
      <w:bookmarkEnd w:id="296"/>
    </w:p>
    <w:p w:rsidR="00BA0365" w:rsidRDefault="008D4B2E">
      <w:pPr>
        <w:keepNext/>
        <w:keepLines/>
        <w:spacing w:before="300" w:after="300" w:line="280" w:lineRule="exact"/>
        <w:outlineLvl w:val="3"/>
        <w:rPr>
          <w:rFonts w:ascii="宋体" w:eastAsia="宋体" w:hAnsi="宋体" w:cs="宋体"/>
          <w:b/>
          <w:bCs/>
          <w:sz w:val="18"/>
          <w:szCs w:val="18"/>
        </w:rPr>
      </w:pPr>
      <w:bookmarkStart w:id="297" w:name="_Toc989187"/>
      <w:r>
        <w:rPr>
          <w:rFonts w:ascii="宋体" w:eastAsia="宋体" w:hAnsi="宋体" w:cs="宋体"/>
          <w:b/>
          <w:bCs/>
          <w:sz w:val="18"/>
          <w:szCs w:val="18"/>
        </w:rPr>
        <w:t>（1） 应付账款列示</w:t>
      </w:r>
      <w:bookmarkEnd w:id="297"/>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3213"/>
        <w:gridCol w:w="3213"/>
        <w:gridCol w:w="3213"/>
      </w:tblGrid>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 年以内</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1,924,037,796.90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1,748,870,966.43</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1-2 年</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69,556,969.24</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39,527,119.86</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2-3 年</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18,318,592.01</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13,611,015.84</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3 年以上</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39,875,211.16</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36,806,165.30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2,051,788,569.31</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1,838,815,267.43</w:t>
            </w:r>
          </w:p>
        </w:tc>
      </w:tr>
    </w:tbl>
    <w:p w:rsidR="00BA0365" w:rsidRDefault="008D4B2E">
      <w:pPr>
        <w:pStyle w:val="3"/>
        <w:spacing w:line="280" w:lineRule="exact"/>
        <w:jc w:val="left"/>
        <w:rPr>
          <w:rFonts w:ascii="宋体" w:hAnsi="宋体" w:cs="宋体"/>
          <w:b/>
          <w:bCs/>
        </w:rPr>
      </w:pPr>
      <w:bookmarkStart w:id="298" w:name="_Toc989188"/>
      <w:r>
        <w:rPr>
          <w:rFonts w:ascii="宋体" w:hAnsi="宋体" w:cs="宋体"/>
          <w:b/>
          <w:bCs/>
        </w:rPr>
        <w:t>25、其他应付款</w:t>
      </w:r>
      <w:bookmarkEnd w:id="298"/>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3213"/>
        <w:gridCol w:w="3213"/>
        <w:gridCol w:w="3213"/>
      </w:tblGrid>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635,444.00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1,470,000.00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282,498,676.55</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175,314,270.20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283,134,120.55</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176,784,270.20</w:t>
            </w:r>
          </w:p>
        </w:tc>
      </w:tr>
    </w:tbl>
    <w:p w:rsidR="00BA0365" w:rsidRDefault="008D4B2E">
      <w:pPr>
        <w:keepNext/>
        <w:keepLines/>
        <w:spacing w:before="300" w:after="300" w:line="280" w:lineRule="exact"/>
        <w:outlineLvl w:val="3"/>
        <w:rPr>
          <w:rFonts w:ascii="宋体" w:eastAsia="宋体" w:hAnsi="宋体" w:cs="宋体"/>
          <w:b/>
          <w:bCs/>
          <w:sz w:val="18"/>
          <w:szCs w:val="18"/>
        </w:rPr>
      </w:pPr>
      <w:bookmarkStart w:id="299" w:name="_Toc989189"/>
      <w:r>
        <w:rPr>
          <w:rFonts w:ascii="宋体" w:eastAsia="宋体" w:hAnsi="宋体" w:cs="宋体"/>
          <w:b/>
          <w:bCs/>
          <w:sz w:val="18"/>
          <w:szCs w:val="18"/>
        </w:rPr>
        <w:t>（1） 应付股利</w:t>
      </w:r>
      <w:bookmarkEnd w:id="299"/>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3213"/>
        <w:gridCol w:w="3213"/>
        <w:gridCol w:w="3213"/>
      </w:tblGrid>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普通股股利</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635,444.00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1,470,000.00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635,444.00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1,470,000.00</w:t>
            </w:r>
          </w:p>
        </w:tc>
      </w:tr>
    </w:tbl>
    <w:p w:rsidR="00BA0365" w:rsidRDefault="008D4B2E">
      <w:pPr>
        <w:keepNext/>
        <w:keepLines/>
        <w:spacing w:before="300" w:after="300" w:line="280" w:lineRule="exact"/>
        <w:outlineLvl w:val="3"/>
        <w:rPr>
          <w:rFonts w:ascii="宋体" w:eastAsia="宋体" w:hAnsi="宋体" w:cs="宋体"/>
          <w:b/>
          <w:bCs/>
          <w:sz w:val="18"/>
          <w:szCs w:val="18"/>
        </w:rPr>
      </w:pPr>
      <w:bookmarkStart w:id="300" w:name="_Toc989190"/>
      <w:r>
        <w:rPr>
          <w:rFonts w:ascii="宋体" w:eastAsia="宋体" w:hAnsi="宋体" w:cs="宋体"/>
          <w:b/>
          <w:bCs/>
          <w:sz w:val="18"/>
          <w:szCs w:val="18"/>
        </w:rPr>
        <w:lastRenderedPageBreak/>
        <w:t>（2） 其他应付款</w:t>
      </w:r>
      <w:bookmarkEnd w:id="300"/>
    </w:p>
    <w:p w:rsidR="00BA0365" w:rsidRDefault="008D4B2E">
      <w:pPr>
        <w:keepNext/>
        <w:keepLines/>
        <w:spacing w:before="300" w:after="300" w:line="280" w:lineRule="exact"/>
        <w:outlineLvl w:val="4"/>
        <w:rPr>
          <w:rFonts w:ascii="宋体" w:eastAsia="宋体" w:hAnsi="宋体" w:cs="宋体"/>
          <w:b/>
          <w:bCs/>
          <w:sz w:val="18"/>
          <w:szCs w:val="18"/>
        </w:rPr>
      </w:pPr>
      <w:bookmarkStart w:id="301" w:name="_Toc989191"/>
      <w:r>
        <w:rPr>
          <w:rFonts w:ascii="宋体" w:eastAsia="宋体" w:hAnsi="宋体" w:cs="宋体"/>
          <w:b/>
          <w:bCs/>
          <w:sz w:val="18"/>
          <w:szCs w:val="18"/>
        </w:rPr>
        <w:t>1） 按款项性质列示其他应付款</w:t>
      </w:r>
      <w:bookmarkEnd w:id="301"/>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3213"/>
        <w:gridCol w:w="3213"/>
        <w:gridCol w:w="3213"/>
      </w:tblGrid>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预提费用等</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51,139,076.13</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53,773,328.06</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限制性股票回购义务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201,131,504.00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91,439,200.00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16,026,395.25</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17,225,111.33</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投标保证金</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13,079,997.53</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12,197,455.37</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员工往来</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1,121,703.64</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679,175.44</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282,498,676.55</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175,314,270.20</w:t>
            </w:r>
          </w:p>
        </w:tc>
      </w:tr>
    </w:tbl>
    <w:p w:rsidR="00BA0365" w:rsidRDefault="008D4B2E">
      <w:pPr>
        <w:pStyle w:val="3"/>
        <w:spacing w:line="280" w:lineRule="exact"/>
        <w:jc w:val="left"/>
        <w:rPr>
          <w:rFonts w:ascii="宋体" w:hAnsi="宋体" w:cs="宋体"/>
          <w:b/>
          <w:bCs/>
        </w:rPr>
      </w:pPr>
      <w:bookmarkStart w:id="302" w:name="_Toc989193"/>
      <w:r>
        <w:rPr>
          <w:rFonts w:ascii="宋体" w:hAnsi="宋体" w:cs="宋体"/>
          <w:b/>
          <w:bCs/>
        </w:rPr>
        <w:t>26、合同负债</w:t>
      </w:r>
      <w:bookmarkEnd w:id="302"/>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3213"/>
        <w:gridCol w:w="3213"/>
        <w:gridCol w:w="3213"/>
      </w:tblGrid>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 年以内</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2,953,207,280.37</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2,379,164,678.05</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1-2 年</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799,886,355.49</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550,875,391.56</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2-3 年</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304,130,157.34</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131,390,875.09</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3 年以上</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111,321,763.47</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97,215,742.14</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4,168,545,556.67</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3,158,646,686.84</w:t>
            </w:r>
          </w:p>
        </w:tc>
      </w:tr>
    </w:tbl>
    <w:p w:rsidR="00BA0365" w:rsidRDefault="008D4B2E">
      <w:pPr>
        <w:pStyle w:val="3"/>
        <w:spacing w:line="280" w:lineRule="exact"/>
        <w:jc w:val="left"/>
        <w:rPr>
          <w:rFonts w:ascii="宋体" w:hAnsi="宋体" w:cs="宋体"/>
          <w:b/>
          <w:bCs/>
        </w:rPr>
      </w:pPr>
      <w:bookmarkStart w:id="303" w:name="_Toc989194"/>
      <w:r>
        <w:rPr>
          <w:rFonts w:ascii="宋体" w:hAnsi="宋体" w:cs="宋体"/>
          <w:b/>
          <w:bCs/>
        </w:rPr>
        <w:t>27、应付职工薪</w:t>
      </w:r>
      <w:proofErr w:type="gramStart"/>
      <w:r>
        <w:rPr>
          <w:rFonts w:ascii="宋体" w:hAnsi="宋体" w:cs="宋体"/>
          <w:b/>
          <w:bCs/>
        </w:rPr>
        <w:t>酬</w:t>
      </w:r>
      <w:bookmarkEnd w:id="303"/>
      <w:proofErr w:type="gramEnd"/>
    </w:p>
    <w:p w:rsidR="00BA0365" w:rsidRDefault="008D4B2E">
      <w:pPr>
        <w:keepNext/>
        <w:keepLines/>
        <w:spacing w:before="300" w:after="300" w:line="280" w:lineRule="exact"/>
        <w:outlineLvl w:val="3"/>
        <w:rPr>
          <w:rFonts w:ascii="宋体" w:eastAsia="宋体" w:hAnsi="宋体" w:cs="宋体"/>
          <w:b/>
          <w:bCs/>
          <w:szCs w:val="21"/>
        </w:rPr>
      </w:pPr>
      <w:bookmarkStart w:id="304" w:name="_Toc989195"/>
      <w:r>
        <w:rPr>
          <w:rFonts w:ascii="宋体" w:eastAsia="宋体" w:hAnsi="宋体" w:cs="宋体"/>
          <w:b/>
          <w:bCs/>
          <w:szCs w:val="21"/>
        </w:rPr>
        <w:t>（1） 应付职工薪</w:t>
      </w:r>
      <w:proofErr w:type="gramStart"/>
      <w:r>
        <w:rPr>
          <w:rFonts w:ascii="宋体" w:eastAsia="宋体" w:hAnsi="宋体" w:cs="宋体"/>
          <w:b/>
          <w:bCs/>
          <w:szCs w:val="21"/>
        </w:rPr>
        <w:t>酬</w:t>
      </w:r>
      <w:proofErr w:type="gramEnd"/>
      <w:r>
        <w:rPr>
          <w:rFonts w:ascii="宋体" w:eastAsia="宋体" w:hAnsi="宋体" w:cs="宋体"/>
          <w:b/>
          <w:bCs/>
          <w:szCs w:val="21"/>
        </w:rPr>
        <w:t>列示</w:t>
      </w:r>
      <w:bookmarkEnd w:id="304"/>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2660"/>
        <w:gridCol w:w="1843"/>
        <w:gridCol w:w="1701"/>
        <w:gridCol w:w="1701"/>
        <w:gridCol w:w="1734"/>
      </w:tblGrid>
      <w:tr w:rsidR="00157EA0" w:rsidTr="001112C2">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734"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157EA0" w:rsidTr="001112C2">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一、短期薪酬</w:t>
            </w:r>
          </w:p>
        </w:tc>
        <w:tc>
          <w:tcPr>
            <w:tcW w:w="184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133,430,303.41</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712,984,050.63</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679,097,291.47</w:t>
            </w:r>
          </w:p>
        </w:tc>
        <w:tc>
          <w:tcPr>
            <w:tcW w:w="17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167,317,062.57</w:t>
            </w:r>
          </w:p>
        </w:tc>
      </w:tr>
      <w:tr w:rsidR="00157EA0" w:rsidTr="001112C2">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二、离职后福利-设定提存计划</w:t>
            </w:r>
          </w:p>
        </w:tc>
        <w:tc>
          <w:tcPr>
            <w:tcW w:w="184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27,364.69</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37,792,948.91</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37,820,082.11</w:t>
            </w:r>
          </w:p>
        </w:tc>
        <w:tc>
          <w:tcPr>
            <w:tcW w:w="17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231.49</w:t>
            </w:r>
          </w:p>
        </w:tc>
      </w:tr>
      <w:tr w:rsidR="00157EA0" w:rsidTr="001112C2">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三、辞退福利</w:t>
            </w:r>
          </w:p>
        </w:tc>
        <w:tc>
          <w:tcPr>
            <w:tcW w:w="184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1,306,582.00</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1,306,582.00</w:t>
            </w:r>
          </w:p>
        </w:tc>
        <w:tc>
          <w:tcPr>
            <w:tcW w:w="1734"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rsidTr="001112C2">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84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133,457,668.10</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752,083,581.54</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718,223,955.58</w:t>
            </w:r>
          </w:p>
        </w:tc>
        <w:tc>
          <w:tcPr>
            <w:tcW w:w="17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167,317,294.06</w:t>
            </w:r>
          </w:p>
        </w:tc>
      </w:tr>
    </w:tbl>
    <w:p w:rsidR="00BA0365" w:rsidRDefault="008D4B2E">
      <w:pPr>
        <w:keepNext/>
        <w:keepLines/>
        <w:spacing w:before="300" w:after="300" w:line="280" w:lineRule="exact"/>
        <w:outlineLvl w:val="3"/>
        <w:rPr>
          <w:rFonts w:ascii="宋体" w:eastAsia="宋体" w:hAnsi="宋体" w:cs="宋体"/>
          <w:b/>
          <w:bCs/>
          <w:szCs w:val="21"/>
        </w:rPr>
      </w:pPr>
      <w:bookmarkStart w:id="305" w:name="_Toc989196"/>
      <w:r>
        <w:rPr>
          <w:rFonts w:ascii="宋体" w:eastAsia="宋体" w:hAnsi="宋体" w:cs="宋体"/>
          <w:b/>
          <w:bCs/>
          <w:szCs w:val="21"/>
        </w:rPr>
        <w:t>（2） 短期薪酬列示</w:t>
      </w:r>
      <w:bookmarkEnd w:id="305"/>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2660"/>
        <w:gridCol w:w="1843"/>
        <w:gridCol w:w="1701"/>
        <w:gridCol w:w="1701"/>
        <w:gridCol w:w="1734"/>
      </w:tblGrid>
      <w:tr w:rsidR="00157EA0" w:rsidTr="001112C2">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734"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157EA0" w:rsidTr="001112C2">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1、工资、奖金、津贴和补贴</w:t>
            </w:r>
          </w:p>
        </w:tc>
        <w:tc>
          <w:tcPr>
            <w:tcW w:w="184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117,411,587.62</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626,626,675.83</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592,685,322.13</w:t>
            </w:r>
          </w:p>
        </w:tc>
        <w:tc>
          <w:tcPr>
            <w:tcW w:w="17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151,352,941.32</w:t>
            </w:r>
          </w:p>
        </w:tc>
      </w:tr>
      <w:tr w:rsidR="00157EA0" w:rsidTr="001112C2">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2、职工福利费</w:t>
            </w:r>
          </w:p>
        </w:tc>
        <w:tc>
          <w:tcPr>
            <w:tcW w:w="184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2,046,901.68</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27,315,630.13</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26,698,210.30</w:t>
            </w:r>
          </w:p>
        </w:tc>
        <w:tc>
          <w:tcPr>
            <w:tcW w:w="17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2,664,321.51</w:t>
            </w:r>
          </w:p>
        </w:tc>
      </w:tr>
      <w:tr w:rsidR="00157EA0" w:rsidTr="001112C2">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3、社会保险费</w:t>
            </w:r>
          </w:p>
        </w:tc>
        <w:tc>
          <w:tcPr>
            <w:tcW w:w="184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116.43</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19,628,099.39</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19,628,099.39</w:t>
            </w:r>
          </w:p>
        </w:tc>
        <w:tc>
          <w:tcPr>
            <w:tcW w:w="17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116.43</w:t>
            </w:r>
          </w:p>
        </w:tc>
      </w:tr>
      <w:tr w:rsidR="00157EA0" w:rsidTr="001112C2">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其中：医疗保险费</w:t>
            </w:r>
          </w:p>
        </w:tc>
        <w:tc>
          <w:tcPr>
            <w:tcW w:w="184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110.89</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18,041,386.99</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18,041,386.99</w:t>
            </w:r>
          </w:p>
        </w:tc>
        <w:tc>
          <w:tcPr>
            <w:tcW w:w="17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110.89</w:t>
            </w:r>
          </w:p>
        </w:tc>
      </w:tr>
      <w:tr w:rsidR="00157EA0" w:rsidTr="001112C2">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工伤保险费</w:t>
            </w:r>
          </w:p>
        </w:tc>
        <w:tc>
          <w:tcPr>
            <w:tcW w:w="184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5.54</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1,540,492.91</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1,540,492.91</w:t>
            </w:r>
          </w:p>
        </w:tc>
        <w:tc>
          <w:tcPr>
            <w:tcW w:w="17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5.54</w:t>
            </w:r>
          </w:p>
        </w:tc>
      </w:tr>
      <w:tr w:rsidR="00157EA0" w:rsidTr="001112C2">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500" w:firstLine="900"/>
              <w:rPr>
                <w:rFonts w:ascii="宋体" w:eastAsia="宋体" w:hAnsi="宋体" w:cs="宋体"/>
                <w:sz w:val="18"/>
                <w:szCs w:val="18"/>
              </w:rPr>
            </w:pPr>
            <w:r>
              <w:rPr>
                <w:rFonts w:ascii="宋体" w:eastAsia="宋体" w:hAnsi="宋体" w:cs="宋体"/>
                <w:sz w:val="18"/>
                <w:szCs w:val="18"/>
              </w:rPr>
              <w:t>生育保险费</w:t>
            </w:r>
          </w:p>
        </w:tc>
        <w:tc>
          <w:tcPr>
            <w:tcW w:w="184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46,219.49</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46,219.49</w:t>
            </w:r>
          </w:p>
        </w:tc>
        <w:tc>
          <w:tcPr>
            <w:tcW w:w="1734"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rsidTr="001112C2">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4、住房公积金</w:t>
            </w:r>
          </w:p>
        </w:tc>
        <w:tc>
          <w:tcPr>
            <w:tcW w:w="184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31,353,295.61</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31,353,295.61</w:t>
            </w:r>
          </w:p>
        </w:tc>
        <w:tc>
          <w:tcPr>
            <w:tcW w:w="1734"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rsidTr="001112C2">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5、工会经费和职工教育经费</w:t>
            </w:r>
          </w:p>
        </w:tc>
        <w:tc>
          <w:tcPr>
            <w:tcW w:w="184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13,971,697.68</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8,060,349.67</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8,732,364.04</w:t>
            </w:r>
          </w:p>
        </w:tc>
        <w:tc>
          <w:tcPr>
            <w:tcW w:w="17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13,299,683.31</w:t>
            </w:r>
          </w:p>
        </w:tc>
      </w:tr>
      <w:tr w:rsidR="00157EA0" w:rsidTr="001112C2">
        <w:trPr>
          <w:trHeight w:val="240"/>
        </w:trPr>
        <w:tc>
          <w:tcPr>
            <w:tcW w:w="266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84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133,430,303.41</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712,984,050.63</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679,097,291.47</w:t>
            </w:r>
          </w:p>
        </w:tc>
        <w:tc>
          <w:tcPr>
            <w:tcW w:w="17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167,317,062.57</w:t>
            </w:r>
          </w:p>
        </w:tc>
      </w:tr>
    </w:tbl>
    <w:p w:rsidR="00BA0365" w:rsidRDefault="008D4B2E">
      <w:pPr>
        <w:keepNext/>
        <w:keepLines/>
        <w:spacing w:before="300" w:after="300" w:line="280" w:lineRule="exact"/>
        <w:outlineLvl w:val="3"/>
        <w:rPr>
          <w:rFonts w:ascii="宋体" w:eastAsia="宋体" w:hAnsi="宋体" w:cs="宋体"/>
          <w:b/>
          <w:bCs/>
          <w:szCs w:val="21"/>
        </w:rPr>
      </w:pPr>
      <w:bookmarkStart w:id="306" w:name="_Toc989197"/>
      <w:r>
        <w:rPr>
          <w:rFonts w:ascii="宋体" w:eastAsia="宋体" w:hAnsi="宋体" w:cs="宋体"/>
          <w:b/>
          <w:bCs/>
          <w:szCs w:val="21"/>
        </w:rPr>
        <w:lastRenderedPageBreak/>
        <w:t>（3） 设定提存计划列示</w:t>
      </w:r>
      <w:bookmarkEnd w:id="306"/>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1927"/>
        <w:gridCol w:w="1928"/>
        <w:gridCol w:w="1928"/>
        <w:gridCol w:w="1928"/>
        <w:gridCol w:w="1928"/>
      </w:tblGrid>
      <w:tr w:rsidR="00157EA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157EA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1、基本养老保险</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27,354.99</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36,104,318.87</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36,131,452.07</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221.79</w:t>
            </w:r>
          </w:p>
        </w:tc>
      </w:tr>
      <w:tr w:rsidR="00157EA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2、失业保险费</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9.70</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1,688,630.04</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1,688,630.04</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9.70</w:t>
            </w:r>
          </w:p>
        </w:tc>
      </w:tr>
      <w:tr w:rsidR="00157EA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27,364.69</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37,792,948.91</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37,820,082.11</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231.49</w:t>
            </w:r>
          </w:p>
        </w:tc>
      </w:tr>
    </w:tbl>
    <w:p w:rsidR="00BA0365" w:rsidRDefault="008D4B2E">
      <w:pPr>
        <w:pStyle w:val="3"/>
        <w:spacing w:line="280" w:lineRule="exact"/>
        <w:jc w:val="left"/>
        <w:rPr>
          <w:rFonts w:ascii="宋体" w:hAnsi="宋体" w:cs="宋体"/>
          <w:b/>
          <w:bCs/>
        </w:rPr>
      </w:pPr>
      <w:bookmarkStart w:id="307" w:name="_Toc989198"/>
      <w:r>
        <w:rPr>
          <w:rFonts w:ascii="宋体" w:hAnsi="宋体" w:cs="宋体"/>
          <w:b/>
          <w:bCs/>
        </w:rPr>
        <w:t>28、应交税费</w:t>
      </w:r>
      <w:bookmarkEnd w:id="307"/>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3213"/>
        <w:gridCol w:w="3213"/>
        <w:gridCol w:w="3213"/>
      </w:tblGrid>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增值税</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19,730,259.38</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13,022,110.44</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企业所得税</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6,274,755.19</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9,067,191.81</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个人所得税</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1,071,997.76</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6,958,025.45</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城市维护建设税</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1,146,027.66</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1,436,502.73</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土地使用税</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1,740,786.21</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1,893,008.86</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房产税</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2,220,306.62</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1,436,370.73</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其他税费</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1,324,454.71</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1,486,315.31</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教育费附加</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821,149.07</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753,404.63</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34,329,736.60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36,052,929.96</w:t>
            </w:r>
          </w:p>
        </w:tc>
      </w:tr>
    </w:tbl>
    <w:p w:rsidR="00BA0365" w:rsidRDefault="008D4B2E">
      <w:pPr>
        <w:pStyle w:val="3"/>
        <w:spacing w:line="280" w:lineRule="exact"/>
        <w:jc w:val="left"/>
        <w:rPr>
          <w:rFonts w:ascii="宋体" w:hAnsi="宋体" w:cs="宋体"/>
          <w:b/>
          <w:bCs/>
        </w:rPr>
      </w:pPr>
      <w:bookmarkStart w:id="308" w:name="_Toc989199"/>
      <w:r>
        <w:rPr>
          <w:rFonts w:ascii="宋体" w:hAnsi="宋体" w:cs="宋体"/>
          <w:b/>
          <w:bCs/>
        </w:rPr>
        <w:t>29、一年内到期的非流动负债</w:t>
      </w:r>
      <w:bookmarkEnd w:id="308"/>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3213"/>
        <w:gridCol w:w="3213"/>
        <w:gridCol w:w="3213"/>
      </w:tblGrid>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一年内到期的长期借款</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100,000,000.00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40,073,553.14</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一年内到期的租赁负债</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13,079,254.13</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8,216,037.42</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113,079,254.13</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48,289,590.56</w:t>
            </w:r>
          </w:p>
        </w:tc>
      </w:tr>
    </w:tbl>
    <w:p w:rsidR="00BA0365" w:rsidRDefault="008D4B2E">
      <w:pPr>
        <w:pStyle w:val="3"/>
        <w:spacing w:line="280" w:lineRule="exact"/>
        <w:jc w:val="left"/>
        <w:rPr>
          <w:rFonts w:ascii="宋体" w:hAnsi="宋体" w:cs="宋体"/>
          <w:b/>
          <w:bCs/>
        </w:rPr>
      </w:pPr>
      <w:bookmarkStart w:id="309" w:name="_Toc989200"/>
      <w:r>
        <w:rPr>
          <w:rFonts w:ascii="宋体" w:hAnsi="宋体" w:cs="宋体"/>
          <w:b/>
          <w:bCs/>
        </w:rPr>
        <w:t>30、其他流动负债</w:t>
      </w:r>
      <w:bookmarkEnd w:id="309"/>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3213"/>
        <w:gridCol w:w="3213"/>
        <w:gridCol w:w="3213"/>
      </w:tblGrid>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预收增值税销项税额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285,648,377.56</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225,539,720.07</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已背书或</w:t>
            </w:r>
            <w:proofErr w:type="gramStart"/>
            <w:r>
              <w:rPr>
                <w:rFonts w:ascii="宋体" w:eastAsia="宋体" w:hAnsi="宋体" w:cs="宋体"/>
                <w:sz w:val="18"/>
                <w:szCs w:val="18"/>
              </w:rPr>
              <w:t>贴现未且在</w:t>
            </w:r>
            <w:proofErr w:type="gramEnd"/>
            <w:r>
              <w:rPr>
                <w:rFonts w:ascii="宋体" w:eastAsia="宋体" w:hAnsi="宋体" w:cs="宋体"/>
                <w:sz w:val="18"/>
                <w:szCs w:val="18"/>
              </w:rPr>
              <w:t>资产负债表日尚未到期的商业汇票</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279,414,354.41</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139,517,918.13</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565,062,731.97</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365,057,638.20</w:t>
            </w:r>
          </w:p>
        </w:tc>
      </w:tr>
    </w:tbl>
    <w:p w:rsidR="00BA0365" w:rsidRDefault="008D4B2E">
      <w:pPr>
        <w:pStyle w:val="3"/>
        <w:spacing w:line="280" w:lineRule="exact"/>
        <w:jc w:val="left"/>
        <w:rPr>
          <w:rFonts w:ascii="宋体" w:hAnsi="宋体" w:cs="宋体"/>
          <w:b/>
          <w:bCs/>
        </w:rPr>
      </w:pPr>
      <w:bookmarkStart w:id="310" w:name="_Toc989201"/>
      <w:r>
        <w:rPr>
          <w:rFonts w:ascii="宋体" w:hAnsi="宋体" w:cs="宋体"/>
          <w:b/>
          <w:bCs/>
        </w:rPr>
        <w:t>31、长期借款</w:t>
      </w:r>
      <w:bookmarkEnd w:id="310"/>
    </w:p>
    <w:p w:rsidR="00BA0365" w:rsidRDefault="008D4B2E">
      <w:pPr>
        <w:keepNext/>
        <w:keepLines/>
        <w:spacing w:before="300" w:after="300" w:line="280" w:lineRule="exact"/>
        <w:outlineLvl w:val="3"/>
        <w:rPr>
          <w:rFonts w:ascii="宋体" w:eastAsia="宋体" w:hAnsi="宋体" w:cs="宋体"/>
          <w:b/>
          <w:bCs/>
          <w:sz w:val="18"/>
          <w:szCs w:val="18"/>
        </w:rPr>
      </w:pPr>
      <w:bookmarkStart w:id="311" w:name="_Toc989202"/>
      <w:r>
        <w:rPr>
          <w:rFonts w:ascii="宋体" w:eastAsia="宋体" w:hAnsi="宋体" w:cs="宋体"/>
          <w:b/>
          <w:bCs/>
          <w:sz w:val="18"/>
          <w:szCs w:val="18"/>
        </w:rPr>
        <w:t>（1） 长期借款分类</w:t>
      </w:r>
      <w:bookmarkEnd w:id="311"/>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3213"/>
        <w:gridCol w:w="3213"/>
        <w:gridCol w:w="3213"/>
      </w:tblGrid>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质押借款</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17,851,792.21</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2,280,000.00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lastRenderedPageBreak/>
              <w:t>抵押借款</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717,628,335.29</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943,146,700.00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保证借款</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177,624,242.80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18,185,466.00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信用借款</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29,900,000.00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943,004,370.30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963,612,166.00</w:t>
            </w:r>
          </w:p>
        </w:tc>
      </w:tr>
    </w:tbl>
    <w:p w:rsidR="00BA0365" w:rsidRDefault="008D4B2E" w:rsidP="00B818D2">
      <w:pPr>
        <w:rPr>
          <w:rFonts w:ascii="宋体" w:eastAsia="宋体" w:hAnsi="宋体" w:cs="宋体"/>
          <w:sz w:val="18"/>
          <w:szCs w:val="18"/>
        </w:rPr>
      </w:pPr>
      <w:r>
        <w:rPr>
          <w:rFonts w:ascii="宋体" w:eastAsia="宋体" w:hAnsi="宋体" w:cs="宋体"/>
          <w:sz w:val="18"/>
          <w:szCs w:val="18"/>
        </w:rPr>
        <w:t>长期借款分类的说明：</w:t>
      </w:r>
    </w:p>
    <w:p w:rsidR="008D4B2E" w:rsidRPr="00FC6EB6" w:rsidRDefault="008D4B2E" w:rsidP="00B818D2">
      <w:pPr>
        <w:ind w:firstLineChars="200" w:firstLine="360"/>
        <w:divId w:val="2140490561"/>
        <w:rPr>
          <w:rFonts w:ascii="宋体" w:eastAsia="宋体" w:hAnsi="宋体" w:cs="宋体"/>
          <w:sz w:val="18"/>
          <w:szCs w:val="18"/>
        </w:rPr>
      </w:pPr>
      <w:r w:rsidRPr="00FC6EB6">
        <w:rPr>
          <w:rFonts w:ascii="宋体" w:eastAsia="宋体" w:hAnsi="宋体" w:cs="宋体" w:hint="eastAsia"/>
          <w:sz w:val="18"/>
          <w:szCs w:val="18"/>
        </w:rPr>
        <w:t>①截止到2023年12月31日，公司在国家开发银行青岛分行抵押借款共 160,188,235.29 元，其中 60,188,235.29 元于2025年12月28日到期；100,000,000.00元于2024年12月28日到期，在一年内到期的非流动负债中列示。该 60,188,235.29 元借款抵押人</w:t>
      </w:r>
      <w:proofErr w:type="gramStart"/>
      <w:r w:rsidRPr="00FC6EB6">
        <w:rPr>
          <w:rFonts w:ascii="宋体" w:eastAsia="宋体" w:hAnsi="宋体" w:cs="宋体" w:hint="eastAsia"/>
          <w:sz w:val="18"/>
          <w:szCs w:val="18"/>
        </w:rPr>
        <w:t>青岛软控机电工程</w:t>
      </w:r>
      <w:proofErr w:type="gramEnd"/>
      <w:r w:rsidRPr="00FC6EB6">
        <w:rPr>
          <w:rFonts w:ascii="宋体" w:eastAsia="宋体" w:hAnsi="宋体" w:cs="宋体" w:hint="eastAsia"/>
          <w:sz w:val="18"/>
          <w:szCs w:val="18"/>
        </w:rPr>
        <w:t>有限公司、抵押国有土地使用权（胶国用（2009）第12-16号）及地上房产（房产证号：房权证</w:t>
      </w:r>
      <w:proofErr w:type="gramStart"/>
      <w:r w:rsidRPr="00FC6EB6">
        <w:rPr>
          <w:rFonts w:ascii="宋体" w:eastAsia="宋体" w:hAnsi="宋体" w:cs="宋体" w:hint="eastAsia"/>
          <w:sz w:val="18"/>
          <w:szCs w:val="18"/>
        </w:rPr>
        <w:t>胶自字</w:t>
      </w:r>
      <w:proofErr w:type="gramEnd"/>
      <w:r w:rsidRPr="00FC6EB6">
        <w:rPr>
          <w:rFonts w:ascii="宋体" w:eastAsia="宋体" w:hAnsi="宋体" w:cs="宋体" w:hint="eastAsia"/>
          <w:sz w:val="18"/>
          <w:szCs w:val="18"/>
        </w:rPr>
        <w:t>第52023号）；该 100,000,000.00 元借款抵押人</w:t>
      </w:r>
      <w:proofErr w:type="gramStart"/>
      <w:r w:rsidRPr="00FC6EB6">
        <w:rPr>
          <w:rFonts w:ascii="宋体" w:eastAsia="宋体" w:hAnsi="宋体" w:cs="宋体" w:hint="eastAsia"/>
          <w:sz w:val="18"/>
          <w:szCs w:val="18"/>
        </w:rPr>
        <w:t>青岛软控机电工程</w:t>
      </w:r>
      <w:proofErr w:type="gramEnd"/>
      <w:r w:rsidRPr="00FC6EB6">
        <w:rPr>
          <w:rFonts w:ascii="宋体" w:eastAsia="宋体" w:hAnsi="宋体" w:cs="宋体" w:hint="eastAsia"/>
          <w:sz w:val="18"/>
          <w:szCs w:val="18"/>
        </w:rPr>
        <w:t>有限公司、抵押国有土地使用权（胶国用（2009）第12-18号）及地上房产（房产证号：房</w:t>
      </w:r>
      <w:proofErr w:type="gramStart"/>
      <w:r w:rsidRPr="00FC6EB6">
        <w:rPr>
          <w:rFonts w:ascii="宋体" w:eastAsia="宋体" w:hAnsi="宋体" w:cs="宋体" w:hint="eastAsia"/>
          <w:sz w:val="18"/>
          <w:szCs w:val="18"/>
        </w:rPr>
        <w:t>权证胶自变字</w:t>
      </w:r>
      <w:proofErr w:type="gramEnd"/>
      <w:r w:rsidRPr="00FC6EB6">
        <w:rPr>
          <w:rFonts w:ascii="宋体" w:eastAsia="宋体" w:hAnsi="宋体" w:cs="宋体" w:hint="eastAsia"/>
          <w:sz w:val="18"/>
          <w:szCs w:val="18"/>
        </w:rPr>
        <w:t>第50578号）;涉及抵押固定资产原值共281,162,625.41元。</w:t>
      </w:r>
    </w:p>
    <w:p w:rsidR="008D4B2E" w:rsidRPr="00FC6EB6" w:rsidRDefault="008D4B2E" w:rsidP="00B818D2">
      <w:pPr>
        <w:ind w:firstLineChars="200" w:firstLine="360"/>
        <w:divId w:val="2140490561"/>
        <w:rPr>
          <w:rFonts w:ascii="宋体" w:eastAsia="宋体" w:hAnsi="宋体" w:cs="宋体"/>
          <w:sz w:val="18"/>
          <w:szCs w:val="18"/>
        </w:rPr>
      </w:pPr>
      <w:r w:rsidRPr="00FC6EB6">
        <w:rPr>
          <w:rFonts w:ascii="宋体" w:eastAsia="宋体" w:hAnsi="宋体" w:cs="宋体" w:hint="eastAsia"/>
          <w:sz w:val="18"/>
          <w:szCs w:val="18"/>
        </w:rPr>
        <w:t>②子公司益</w:t>
      </w:r>
      <w:proofErr w:type="gramStart"/>
      <w:r w:rsidRPr="00FC6EB6">
        <w:rPr>
          <w:rFonts w:ascii="宋体" w:eastAsia="宋体" w:hAnsi="宋体" w:cs="宋体" w:hint="eastAsia"/>
          <w:sz w:val="18"/>
          <w:szCs w:val="18"/>
        </w:rPr>
        <w:t>凯</w:t>
      </w:r>
      <w:proofErr w:type="gramEnd"/>
      <w:r w:rsidRPr="00FC6EB6">
        <w:rPr>
          <w:rFonts w:ascii="宋体" w:eastAsia="宋体" w:hAnsi="宋体" w:cs="宋体" w:hint="eastAsia"/>
          <w:sz w:val="18"/>
          <w:szCs w:val="18"/>
        </w:rPr>
        <w:t>新材料为建设【高性能橡胶新材料循环经济绿色一体化一期10.8万吨/年EVE胶项目】需要向中国工商股份有限公司青岛市南四支行牵头的银行筹借固定资产贷款，截止到2023年12月31日借款余额为657,440,100.00元，抵押国有建设用地使用权（鲁（2020）青岛市黄岛区不动产证明第0223630号），涉及抵押无形资产原值为141,700,217.35元。</w:t>
      </w:r>
    </w:p>
    <w:p w:rsidR="008D4B2E" w:rsidRPr="00FC6EB6" w:rsidRDefault="008D4B2E" w:rsidP="00B818D2">
      <w:pPr>
        <w:ind w:firstLineChars="200" w:firstLine="360"/>
        <w:divId w:val="2140490561"/>
        <w:rPr>
          <w:rFonts w:ascii="宋体" w:eastAsia="宋体" w:hAnsi="宋体" w:cs="宋体"/>
          <w:sz w:val="18"/>
          <w:szCs w:val="18"/>
        </w:rPr>
      </w:pPr>
      <w:r w:rsidRPr="00FC6EB6">
        <w:rPr>
          <w:rFonts w:ascii="宋体" w:eastAsia="宋体" w:hAnsi="宋体" w:cs="宋体" w:hint="eastAsia"/>
          <w:sz w:val="18"/>
          <w:szCs w:val="18"/>
        </w:rPr>
        <w:t>③子公司</w:t>
      </w:r>
      <w:proofErr w:type="gramStart"/>
      <w:r w:rsidRPr="00FC6EB6">
        <w:rPr>
          <w:rFonts w:ascii="宋体" w:eastAsia="宋体" w:hAnsi="宋体" w:cs="宋体" w:hint="eastAsia"/>
          <w:sz w:val="18"/>
          <w:szCs w:val="18"/>
        </w:rPr>
        <w:t>华控赛</w:t>
      </w:r>
      <w:proofErr w:type="gramEnd"/>
      <w:r w:rsidRPr="00FC6EB6">
        <w:rPr>
          <w:rFonts w:ascii="宋体" w:eastAsia="宋体" w:hAnsi="宋体" w:cs="宋体" w:hint="eastAsia"/>
          <w:sz w:val="18"/>
          <w:szCs w:val="18"/>
        </w:rPr>
        <w:t>联为8.2MW光</w:t>
      </w:r>
      <w:proofErr w:type="gramStart"/>
      <w:r w:rsidRPr="00FC6EB6">
        <w:rPr>
          <w:rFonts w:ascii="宋体" w:eastAsia="宋体" w:hAnsi="宋体" w:cs="宋体" w:hint="eastAsia"/>
          <w:sz w:val="18"/>
          <w:szCs w:val="18"/>
        </w:rPr>
        <w:t>伏项目</w:t>
      </w:r>
      <w:proofErr w:type="gramEnd"/>
      <w:r w:rsidRPr="00FC6EB6">
        <w:rPr>
          <w:rFonts w:ascii="宋体" w:eastAsia="宋体" w:hAnsi="宋体" w:cs="宋体" w:hint="eastAsia"/>
          <w:sz w:val="18"/>
          <w:szCs w:val="18"/>
        </w:rPr>
        <w:t>建设向中国银行青岛市北支行借款，截止到2023年12月31日借款余额17,851,792.21元，该17,851,792.21元借款为质押方式，由青岛华控赛联新能源科技有限公司提供电费收费权质押担保，由青岛华控能源科技有限公司提供连带责任担保，质押收费权评估价值51,695,000.00元，收费期限25年。</w:t>
      </w:r>
    </w:p>
    <w:p w:rsidR="00BA0365" w:rsidRDefault="008D4B2E">
      <w:pPr>
        <w:pStyle w:val="3"/>
        <w:spacing w:line="280" w:lineRule="exact"/>
        <w:jc w:val="left"/>
        <w:rPr>
          <w:rFonts w:ascii="宋体" w:hAnsi="宋体" w:cs="宋体"/>
          <w:b/>
          <w:bCs/>
        </w:rPr>
      </w:pPr>
      <w:bookmarkStart w:id="312" w:name="_Toc989203"/>
      <w:r>
        <w:rPr>
          <w:rFonts w:ascii="宋体" w:hAnsi="宋体" w:cs="宋体"/>
          <w:b/>
          <w:bCs/>
        </w:rPr>
        <w:t>32、租赁负债</w:t>
      </w:r>
      <w:bookmarkEnd w:id="312"/>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3213"/>
        <w:gridCol w:w="3213"/>
        <w:gridCol w:w="3213"/>
      </w:tblGrid>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租赁负债-租赁付款额合计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47,273,933.23</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56,853,394.75</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减：租赁负债—未确认融资费用</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-4,959,804.46</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-8,949,267.50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减：一年内到期的租赁负债</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-13,079,254.13</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-8,128,876.12</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29,234,874.64</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39,775,251.13</w:t>
            </w:r>
          </w:p>
        </w:tc>
      </w:tr>
    </w:tbl>
    <w:p w:rsidR="00BA0365" w:rsidRDefault="008D4B2E">
      <w:pPr>
        <w:pStyle w:val="3"/>
        <w:spacing w:line="280" w:lineRule="exact"/>
        <w:jc w:val="left"/>
        <w:rPr>
          <w:rFonts w:ascii="宋体" w:hAnsi="宋体" w:cs="宋体"/>
          <w:b/>
          <w:bCs/>
        </w:rPr>
      </w:pPr>
      <w:bookmarkStart w:id="313" w:name="_Toc989204"/>
      <w:r>
        <w:rPr>
          <w:rFonts w:ascii="宋体" w:hAnsi="宋体" w:cs="宋体"/>
          <w:b/>
          <w:bCs/>
        </w:rPr>
        <w:t>33、预计负债</w:t>
      </w:r>
      <w:bookmarkEnd w:id="313"/>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2409"/>
        <w:gridCol w:w="2410"/>
        <w:gridCol w:w="2410"/>
        <w:gridCol w:w="2410"/>
      </w:tblGrid>
      <w:tr w:rsidR="00157EA0">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形成原因</w:t>
            </w:r>
          </w:p>
        </w:tc>
      </w:tr>
      <w:tr w:rsidR="00157EA0">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未决诉讼</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1,478,256.41</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见说明②</w:t>
            </w:r>
          </w:p>
        </w:tc>
      </w:tr>
      <w:tr w:rsidR="00157EA0">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产品质量保证</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23,012,334.20</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18,748,876.53</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见说明①</w:t>
            </w:r>
          </w:p>
        </w:tc>
      </w:tr>
      <w:tr w:rsidR="00157EA0">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23,012,334.20</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20,227,132.94</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bl>
    <w:p w:rsidR="00BA0365" w:rsidRPr="00152E2B" w:rsidRDefault="008D4B2E" w:rsidP="00B818D2">
      <w:pPr>
        <w:rPr>
          <w:rFonts w:asciiTheme="minorEastAsia" w:hAnsiTheme="minorEastAsia"/>
        </w:rPr>
      </w:pPr>
      <w:r w:rsidRPr="00152E2B">
        <w:rPr>
          <w:rFonts w:asciiTheme="minorEastAsia" w:hAnsiTheme="minorEastAsia"/>
        </w:rPr>
        <w:t>其他说明，包括重要预计负债的相关重要假设、估计说明：</w:t>
      </w:r>
    </w:p>
    <w:p w:rsidR="00B818D2" w:rsidRPr="00152E2B" w:rsidRDefault="00B818D2" w:rsidP="00B818D2">
      <w:pPr>
        <w:ind w:firstLine="360"/>
        <w:divId w:val="694426366"/>
        <w:rPr>
          <w:rFonts w:asciiTheme="minorEastAsia" w:hAnsiTheme="minorEastAsia"/>
        </w:rPr>
      </w:pPr>
      <w:r w:rsidRPr="00152E2B">
        <w:rPr>
          <w:rFonts w:asciiTheme="minorEastAsia" w:hAnsiTheme="minorEastAsia" w:hint="eastAsia"/>
        </w:rPr>
        <w:t>①</w:t>
      </w:r>
      <w:r w:rsidR="008D4B2E" w:rsidRPr="00152E2B">
        <w:rPr>
          <w:rFonts w:asciiTheme="minorEastAsia" w:hAnsiTheme="minorEastAsia" w:hint="eastAsia"/>
        </w:rPr>
        <w:t>公司按橡胶装备业务收入的</w:t>
      </w:r>
      <w:r w:rsidR="008D4B2E" w:rsidRPr="00152E2B">
        <w:rPr>
          <w:rFonts w:asciiTheme="minorEastAsia" w:hAnsiTheme="minorEastAsia"/>
        </w:rPr>
        <w:t>0.5%</w:t>
      </w:r>
      <w:r w:rsidR="008D4B2E" w:rsidRPr="00152E2B">
        <w:rPr>
          <w:rFonts w:asciiTheme="minorEastAsia" w:hAnsiTheme="minorEastAsia" w:hint="eastAsia"/>
        </w:rPr>
        <w:t>计提售后服务费。</w:t>
      </w:r>
    </w:p>
    <w:p w:rsidR="008D4B2E" w:rsidRPr="00152E2B" w:rsidRDefault="008D4B2E" w:rsidP="00B818D2">
      <w:pPr>
        <w:ind w:firstLine="360"/>
        <w:divId w:val="694426366"/>
        <w:rPr>
          <w:rFonts w:asciiTheme="minorEastAsia" w:hAnsiTheme="minorEastAsia" w:cs="宋体"/>
          <w:sz w:val="18"/>
          <w:szCs w:val="18"/>
        </w:rPr>
      </w:pPr>
      <w:r w:rsidRPr="00152E2B">
        <w:rPr>
          <w:rFonts w:asciiTheme="minorEastAsia" w:hAnsiTheme="minorEastAsia" w:hint="eastAsia"/>
        </w:rPr>
        <w:t>②</w:t>
      </w:r>
      <w:r w:rsidRPr="00152E2B">
        <w:rPr>
          <w:rFonts w:asciiTheme="minorEastAsia" w:hAnsiTheme="minorEastAsia"/>
        </w:rPr>
        <w:t>2020-12-29</w:t>
      </w:r>
      <w:r w:rsidRPr="00152E2B">
        <w:rPr>
          <w:rFonts w:asciiTheme="minorEastAsia" w:hAnsiTheme="minorEastAsia" w:hint="eastAsia"/>
        </w:rPr>
        <w:t>天津市宝坻区人民法院民事判决书（</w:t>
      </w:r>
      <w:r w:rsidRPr="00152E2B">
        <w:rPr>
          <w:rFonts w:asciiTheme="minorEastAsia" w:hAnsiTheme="minorEastAsia"/>
        </w:rPr>
        <w:t>2020</w:t>
      </w:r>
      <w:r w:rsidRPr="00152E2B">
        <w:rPr>
          <w:rFonts w:asciiTheme="minorEastAsia" w:hAnsiTheme="minorEastAsia" w:hint="eastAsia"/>
        </w:rPr>
        <w:t>）津</w:t>
      </w:r>
      <w:r w:rsidRPr="00152E2B">
        <w:rPr>
          <w:rFonts w:asciiTheme="minorEastAsia" w:hAnsiTheme="minorEastAsia"/>
        </w:rPr>
        <w:t>1115</w:t>
      </w:r>
      <w:r w:rsidRPr="00152E2B">
        <w:rPr>
          <w:rFonts w:asciiTheme="minorEastAsia" w:hAnsiTheme="minorEastAsia" w:hint="eastAsia"/>
        </w:rPr>
        <w:t>民初</w:t>
      </w:r>
      <w:r w:rsidRPr="00152E2B">
        <w:rPr>
          <w:rFonts w:asciiTheme="minorEastAsia" w:hAnsiTheme="minorEastAsia"/>
        </w:rPr>
        <w:t>1151</w:t>
      </w:r>
      <w:r w:rsidRPr="00152E2B">
        <w:rPr>
          <w:rFonts w:asciiTheme="minorEastAsia" w:hAnsiTheme="minorEastAsia" w:hint="eastAsia"/>
        </w:rPr>
        <w:t>号，</w:t>
      </w:r>
      <w:proofErr w:type="gramStart"/>
      <w:r w:rsidRPr="00152E2B">
        <w:rPr>
          <w:rFonts w:asciiTheme="minorEastAsia" w:hAnsiTheme="minorEastAsia" w:hint="eastAsia"/>
        </w:rPr>
        <w:t>青岛软控机电工程</w:t>
      </w:r>
      <w:proofErr w:type="gramEnd"/>
      <w:r w:rsidRPr="00152E2B">
        <w:rPr>
          <w:rFonts w:asciiTheme="minorEastAsia" w:hAnsiTheme="minorEastAsia" w:hint="eastAsia"/>
        </w:rPr>
        <w:t>有限公司与天津荣</w:t>
      </w:r>
      <w:proofErr w:type="gramStart"/>
      <w:r w:rsidRPr="00152E2B">
        <w:rPr>
          <w:rFonts w:asciiTheme="minorEastAsia" w:hAnsiTheme="minorEastAsia" w:hint="eastAsia"/>
        </w:rPr>
        <w:t>盛盟固利</w:t>
      </w:r>
      <w:proofErr w:type="gramEnd"/>
      <w:r w:rsidRPr="00152E2B">
        <w:rPr>
          <w:rFonts w:asciiTheme="minorEastAsia" w:hAnsiTheme="minorEastAsia" w:hint="eastAsia"/>
        </w:rPr>
        <w:t>新能源科技有限公司买卖合同纠纷</w:t>
      </w:r>
      <w:proofErr w:type="gramStart"/>
      <w:r w:rsidRPr="00152E2B">
        <w:rPr>
          <w:rFonts w:asciiTheme="minorEastAsia" w:hAnsiTheme="minorEastAsia" w:hint="eastAsia"/>
        </w:rPr>
        <w:t>作出</w:t>
      </w:r>
      <w:proofErr w:type="gramEnd"/>
      <w:r w:rsidRPr="00152E2B">
        <w:rPr>
          <w:rFonts w:asciiTheme="minorEastAsia" w:hAnsiTheme="minorEastAsia" w:hint="eastAsia"/>
        </w:rPr>
        <w:t>一审判决</w:t>
      </w:r>
      <w:r w:rsidRPr="00152E2B">
        <w:rPr>
          <w:rFonts w:asciiTheme="minorEastAsia" w:hAnsiTheme="minorEastAsia"/>
        </w:rPr>
        <w:t>,</w:t>
      </w:r>
      <w:proofErr w:type="gramStart"/>
      <w:r w:rsidRPr="00152E2B">
        <w:rPr>
          <w:rFonts w:asciiTheme="minorEastAsia" w:hAnsiTheme="minorEastAsia" w:hint="eastAsia"/>
        </w:rPr>
        <w:t>青岛软控机电工程</w:t>
      </w:r>
      <w:proofErr w:type="gramEnd"/>
      <w:r w:rsidRPr="00152E2B">
        <w:rPr>
          <w:rFonts w:asciiTheme="minorEastAsia" w:hAnsiTheme="minorEastAsia" w:hint="eastAsia"/>
        </w:rPr>
        <w:t>有限公司需支付</w:t>
      </w:r>
      <w:r w:rsidRPr="00152E2B">
        <w:rPr>
          <w:rFonts w:asciiTheme="minorEastAsia" w:hAnsiTheme="minorEastAsia"/>
        </w:rPr>
        <w:t>1,478,256.41</w:t>
      </w:r>
      <w:r w:rsidRPr="00152E2B">
        <w:rPr>
          <w:rFonts w:asciiTheme="minorEastAsia" w:hAnsiTheme="minorEastAsia" w:hint="eastAsia"/>
        </w:rPr>
        <w:t>元违约金。由于</w:t>
      </w:r>
      <w:proofErr w:type="gramStart"/>
      <w:r w:rsidRPr="00152E2B">
        <w:rPr>
          <w:rFonts w:asciiTheme="minorEastAsia" w:hAnsiTheme="minorEastAsia" w:hint="eastAsia"/>
        </w:rPr>
        <w:t>青岛软控机电工程</w:t>
      </w:r>
      <w:proofErr w:type="gramEnd"/>
      <w:r w:rsidRPr="00152E2B">
        <w:rPr>
          <w:rFonts w:asciiTheme="minorEastAsia" w:hAnsiTheme="minorEastAsia" w:hint="eastAsia"/>
        </w:rPr>
        <w:t>有限公司对此判决不服，</w:t>
      </w:r>
      <w:r w:rsidRPr="00152E2B">
        <w:rPr>
          <w:rFonts w:asciiTheme="minorEastAsia" w:hAnsiTheme="minorEastAsia"/>
        </w:rPr>
        <w:t>2021</w:t>
      </w:r>
      <w:r w:rsidRPr="00152E2B">
        <w:rPr>
          <w:rFonts w:asciiTheme="minorEastAsia" w:hAnsiTheme="minorEastAsia" w:hint="eastAsia"/>
        </w:rPr>
        <w:t>年已经上诉。</w:t>
      </w:r>
      <w:r w:rsidRPr="00152E2B">
        <w:rPr>
          <w:rFonts w:asciiTheme="minorEastAsia" w:hAnsiTheme="minorEastAsia"/>
        </w:rPr>
        <w:t>2021-06-16</w:t>
      </w:r>
      <w:r w:rsidRPr="00152E2B">
        <w:rPr>
          <w:rFonts w:asciiTheme="minorEastAsia" w:hAnsiTheme="minorEastAsia" w:hint="eastAsia"/>
        </w:rPr>
        <w:t>天津市第一人民法院民事裁定书（</w:t>
      </w:r>
      <w:r w:rsidRPr="00152E2B">
        <w:rPr>
          <w:rFonts w:asciiTheme="minorEastAsia" w:hAnsiTheme="minorEastAsia"/>
        </w:rPr>
        <w:t>2021</w:t>
      </w:r>
      <w:r w:rsidRPr="00152E2B">
        <w:rPr>
          <w:rFonts w:asciiTheme="minorEastAsia" w:hAnsiTheme="minorEastAsia" w:hint="eastAsia"/>
        </w:rPr>
        <w:t>）津</w:t>
      </w:r>
      <w:r w:rsidRPr="00152E2B">
        <w:rPr>
          <w:rFonts w:asciiTheme="minorEastAsia" w:hAnsiTheme="minorEastAsia"/>
        </w:rPr>
        <w:t>01</w:t>
      </w:r>
      <w:proofErr w:type="gramStart"/>
      <w:r w:rsidRPr="00152E2B">
        <w:rPr>
          <w:rFonts w:asciiTheme="minorEastAsia" w:hAnsiTheme="minorEastAsia" w:hint="eastAsia"/>
        </w:rPr>
        <w:t>民终</w:t>
      </w:r>
      <w:r w:rsidRPr="00152E2B">
        <w:rPr>
          <w:rFonts w:asciiTheme="minorEastAsia" w:hAnsiTheme="minorEastAsia"/>
        </w:rPr>
        <w:t>1533</w:t>
      </w:r>
      <w:r w:rsidRPr="00152E2B">
        <w:rPr>
          <w:rFonts w:asciiTheme="minorEastAsia" w:hAnsiTheme="minorEastAsia" w:hint="eastAsia"/>
        </w:rPr>
        <w:t>号</w:t>
      </w:r>
      <w:proofErr w:type="gramEnd"/>
      <w:r w:rsidRPr="00152E2B">
        <w:rPr>
          <w:rFonts w:asciiTheme="minorEastAsia" w:hAnsiTheme="minorEastAsia" w:hint="eastAsia"/>
        </w:rPr>
        <w:t>，裁定撤销天津市宝坻区人民法院（</w:t>
      </w:r>
      <w:r w:rsidRPr="00152E2B">
        <w:rPr>
          <w:rFonts w:asciiTheme="minorEastAsia" w:hAnsiTheme="minorEastAsia"/>
        </w:rPr>
        <w:t>2020</w:t>
      </w:r>
      <w:r w:rsidRPr="00152E2B">
        <w:rPr>
          <w:rFonts w:asciiTheme="minorEastAsia" w:hAnsiTheme="minorEastAsia" w:hint="eastAsia"/>
        </w:rPr>
        <w:t>）津</w:t>
      </w:r>
      <w:r w:rsidRPr="00152E2B">
        <w:rPr>
          <w:rFonts w:asciiTheme="minorEastAsia" w:hAnsiTheme="minorEastAsia"/>
        </w:rPr>
        <w:t>0115</w:t>
      </w:r>
      <w:r w:rsidRPr="00152E2B">
        <w:rPr>
          <w:rFonts w:asciiTheme="minorEastAsia" w:hAnsiTheme="minorEastAsia" w:hint="eastAsia"/>
        </w:rPr>
        <w:t>民初</w:t>
      </w:r>
      <w:r w:rsidRPr="00152E2B">
        <w:rPr>
          <w:rFonts w:asciiTheme="minorEastAsia" w:hAnsiTheme="minorEastAsia"/>
        </w:rPr>
        <w:t>8151</w:t>
      </w:r>
      <w:r w:rsidRPr="00152E2B">
        <w:rPr>
          <w:rFonts w:asciiTheme="minorEastAsia" w:hAnsiTheme="minorEastAsia" w:hint="eastAsia"/>
        </w:rPr>
        <w:t>号民事裁决，本案发回天津市宝坻区人民法院重审。</w:t>
      </w:r>
      <w:r w:rsidRPr="00152E2B">
        <w:rPr>
          <w:rFonts w:asciiTheme="minorEastAsia" w:hAnsiTheme="minorEastAsia"/>
        </w:rPr>
        <w:t>2023</w:t>
      </w:r>
      <w:r w:rsidRPr="00152E2B">
        <w:rPr>
          <w:rFonts w:asciiTheme="minorEastAsia" w:hAnsiTheme="minorEastAsia" w:hint="eastAsia"/>
        </w:rPr>
        <w:t>年</w:t>
      </w:r>
      <w:r w:rsidRPr="00152E2B">
        <w:rPr>
          <w:rFonts w:asciiTheme="minorEastAsia" w:hAnsiTheme="minorEastAsia"/>
        </w:rPr>
        <w:t>10</w:t>
      </w:r>
      <w:r w:rsidRPr="00152E2B">
        <w:rPr>
          <w:rFonts w:asciiTheme="minorEastAsia" w:hAnsiTheme="minorEastAsia" w:hint="eastAsia"/>
        </w:rPr>
        <w:t>月</w:t>
      </w:r>
      <w:r w:rsidRPr="00152E2B">
        <w:rPr>
          <w:rFonts w:asciiTheme="minorEastAsia" w:hAnsiTheme="minorEastAsia"/>
        </w:rPr>
        <w:t>24</w:t>
      </w:r>
      <w:r w:rsidRPr="00152E2B">
        <w:rPr>
          <w:rFonts w:asciiTheme="minorEastAsia" w:hAnsiTheme="minorEastAsia" w:hint="eastAsia"/>
        </w:rPr>
        <w:t>日，天津市宝坻区人民法院民事调解书（</w:t>
      </w:r>
      <w:r w:rsidRPr="00152E2B">
        <w:rPr>
          <w:rFonts w:asciiTheme="minorEastAsia" w:hAnsiTheme="minorEastAsia"/>
        </w:rPr>
        <w:t>2020</w:t>
      </w:r>
      <w:r w:rsidRPr="00152E2B">
        <w:rPr>
          <w:rFonts w:asciiTheme="minorEastAsia" w:hAnsiTheme="minorEastAsia" w:hint="eastAsia"/>
        </w:rPr>
        <w:t>）津</w:t>
      </w:r>
      <w:r w:rsidRPr="00152E2B">
        <w:rPr>
          <w:rFonts w:asciiTheme="minorEastAsia" w:hAnsiTheme="minorEastAsia"/>
        </w:rPr>
        <w:t>0115</w:t>
      </w:r>
      <w:r w:rsidRPr="00152E2B">
        <w:rPr>
          <w:rFonts w:asciiTheme="minorEastAsia" w:hAnsiTheme="minorEastAsia" w:hint="eastAsia"/>
        </w:rPr>
        <w:t>民初</w:t>
      </w:r>
      <w:r w:rsidRPr="00152E2B">
        <w:rPr>
          <w:rFonts w:asciiTheme="minorEastAsia" w:hAnsiTheme="minorEastAsia"/>
        </w:rPr>
        <w:t>8080</w:t>
      </w:r>
      <w:r w:rsidRPr="00152E2B">
        <w:rPr>
          <w:rFonts w:asciiTheme="minorEastAsia" w:hAnsiTheme="minorEastAsia" w:hint="eastAsia"/>
        </w:rPr>
        <w:t>号，天津荣</w:t>
      </w:r>
      <w:proofErr w:type="gramStart"/>
      <w:r w:rsidRPr="00152E2B">
        <w:rPr>
          <w:rFonts w:asciiTheme="minorEastAsia" w:hAnsiTheme="minorEastAsia" w:hint="eastAsia"/>
        </w:rPr>
        <w:t>盛盟固利</w:t>
      </w:r>
      <w:proofErr w:type="gramEnd"/>
      <w:r w:rsidRPr="00152E2B">
        <w:rPr>
          <w:rFonts w:asciiTheme="minorEastAsia" w:hAnsiTheme="minorEastAsia" w:hint="eastAsia"/>
        </w:rPr>
        <w:t>新能源科技有限公司于</w:t>
      </w:r>
      <w:r w:rsidRPr="00152E2B">
        <w:rPr>
          <w:rFonts w:asciiTheme="minorEastAsia" w:hAnsiTheme="minorEastAsia"/>
        </w:rPr>
        <w:t>2023</w:t>
      </w:r>
      <w:r w:rsidRPr="00152E2B">
        <w:rPr>
          <w:rFonts w:asciiTheme="minorEastAsia" w:hAnsiTheme="minorEastAsia" w:hint="eastAsia"/>
        </w:rPr>
        <w:t>年</w:t>
      </w:r>
      <w:r w:rsidRPr="00152E2B">
        <w:rPr>
          <w:rFonts w:asciiTheme="minorEastAsia" w:hAnsiTheme="minorEastAsia"/>
        </w:rPr>
        <w:t>11</w:t>
      </w:r>
      <w:r w:rsidRPr="00152E2B">
        <w:rPr>
          <w:rFonts w:asciiTheme="minorEastAsia" w:hAnsiTheme="minorEastAsia" w:hint="eastAsia"/>
        </w:rPr>
        <w:t>月</w:t>
      </w:r>
      <w:r w:rsidRPr="00152E2B">
        <w:rPr>
          <w:rFonts w:asciiTheme="minorEastAsia" w:hAnsiTheme="minorEastAsia"/>
        </w:rPr>
        <w:t>24</w:t>
      </w:r>
      <w:r w:rsidRPr="00152E2B">
        <w:rPr>
          <w:rFonts w:asciiTheme="minorEastAsia" w:hAnsiTheme="minorEastAsia" w:hint="eastAsia"/>
        </w:rPr>
        <w:t>日前支付</w:t>
      </w:r>
      <w:proofErr w:type="gramStart"/>
      <w:r w:rsidRPr="00152E2B">
        <w:rPr>
          <w:rFonts w:asciiTheme="minorEastAsia" w:hAnsiTheme="minorEastAsia" w:hint="eastAsia"/>
        </w:rPr>
        <w:t>青岛软控机电工程</w:t>
      </w:r>
      <w:proofErr w:type="gramEnd"/>
      <w:r w:rsidRPr="00152E2B">
        <w:rPr>
          <w:rFonts w:asciiTheme="minorEastAsia" w:hAnsiTheme="minorEastAsia" w:hint="eastAsia"/>
        </w:rPr>
        <w:t>有限公司设备款</w:t>
      </w:r>
      <w:r w:rsidRPr="00152E2B">
        <w:rPr>
          <w:rFonts w:asciiTheme="minorEastAsia" w:hAnsiTheme="minorEastAsia"/>
        </w:rPr>
        <w:t>3,910,615.40</w:t>
      </w:r>
      <w:r w:rsidRPr="00152E2B">
        <w:rPr>
          <w:rFonts w:asciiTheme="minorEastAsia" w:hAnsiTheme="minorEastAsia" w:hint="eastAsia"/>
        </w:rPr>
        <w:t>元。民事裁定书（</w:t>
      </w:r>
      <w:r w:rsidRPr="00152E2B">
        <w:rPr>
          <w:rFonts w:asciiTheme="minorEastAsia" w:hAnsiTheme="minorEastAsia"/>
        </w:rPr>
        <w:t>2021</w:t>
      </w:r>
      <w:r w:rsidRPr="00152E2B">
        <w:rPr>
          <w:rFonts w:asciiTheme="minorEastAsia" w:hAnsiTheme="minorEastAsia" w:hint="eastAsia"/>
        </w:rPr>
        <w:t>）津</w:t>
      </w:r>
      <w:r w:rsidRPr="00152E2B">
        <w:rPr>
          <w:rFonts w:asciiTheme="minorEastAsia" w:hAnsiTheme="minorEastAsia"/>
        </w:rPr>
        <w:t>1115</w:t>
      </w:r>
      <w:r w:rsidRPr="00152E2B">
        <w:rPr>
          <w:rFonts w:asciiTheme="minorEastAsia" w:hAnsiTheme="minorEastAsia" w:hint="eastAsia"/>
        </w:rPr>
        <w:t>民初</w:t>
      </w:r>
      <w:r w:rsidRPr="00152E2B">
        <w:rPr>
          <w:rFonts w:asciiTheme="minorEastAsia" w:hAnsiTheme="minorEastAsia"/>
        </w:rPr>
        <w:t>6046</w:t>
      </w:r>
      <w:r w:rsidRPr="00152E2B">
        <w:rPr>
          <w:rFonts w:asciiTheme="minorEastAsia" w:hAnsiTheme="minorEastAsia" w:hint="eastAsia"/>
        </w:rPr>
        <w:t>号之三，解除对</w:t>
      </w:r>
      <w:proofErr w:type="gramStart"/>
      <w:r w:rsidRPr="00152E2B">
        <w:rPr>
          <w:rFonts w:asciiTheme="minorEastAsia" w:hAnsiTheme="minorEastAsia" w:hint="eastAsia"/>
        </w:rPr>
        <w:t>青岛软控机电工程</w:t>
      </w:r>
      <w:proofErr w:type="gramEnd"/>
      <w:r w:rsidRPr="00152E2B">
        <w:rPr>
          <w:rFonts w:asciiTheme="minorEastAsia" w:hAnsiTheme="minorEastAsia" w:hint="eastAsia"/>
        </w:rPr>
        <w:t>有限公司银行存款</w:t>
      </w:r>
      <w:r w:rsidRPr="00152E2B">
        <w:rPr>
          <w:rFonts w:asciiTheme="minorEastAsia" w:hAnsiTheme="minorEastAsia"/>
        </w:rPr>
        <w:t>7,472,256.41</w:t>
      </w:r>
      <w:r w:rsidRPr="00152E2B">
        <w:rPr>
          <w:rFonts w:asciiTheme="minorEastAsia" w:hAnsiTheme="minorEastAsia" w:hint="eastAsia"/>
        </w:rPr>
        <w:t>元的查封。</w:t>
      </w:r>
    </w:p>
    <w:p w:rsidR="00BA0365" w:rsidRDefault="008D4B2E">
      <w:pPr>
        <w:pStyle w:val="3"/>
        <w:spacing w:line="280" w:lineRule="exact"/>
        <w:jc w:val="left"/>
        <w:rPr>
          <w:rFonts w:ascii="宋体" w:hAnsi="宋体" w:cs="宋体"/>
          <w:b/>
          <w:bCs/>
        </w:rPr>
      </w:pPr>
      <w:bookmarkStart w:id="314" w:name="_Toc989205"/>
      <w:r>
        <w:rPr>
          <w:rFonts w:ascii="宋体" w:hAnsi="宋体" w:cs="宋体"/>
          <w:b/>
          <w:bCs/>
        </w:rPr>
        <w:lastRenderedPageBreak/>
        <w:t>34、递延收益</w:t>
      </w:r>
      <w:bookmarkEnd w:id="314"/>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1606"/>
        <w:gridCol w:w="1606"/>
        <w:gridCol w:w="1606"/>
        <w:gridCol w:w="1607"/>
        <w:gridCol w:w="1607"/>
        <w:gridCol w:w="1607"/>
      </w:tblGrid>
      <w:tr w:rsidR="00157EA0">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形成原因</w:t>
            </w:r>
          </w:p>
        </w:tc>
      </w:tr>
      <w:tr w:rsidR="00157EA0">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政府补助</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64,265,531.12</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4,207,800.00</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2,400,223.16</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66,073,107.96</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r>
      <w:tr w:rsidR="00157EA0">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64,265,531.12</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4,207,800.00</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2,400,223.16</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66,073,107.96</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bl>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rsidR="008D4B2E" w:rsidRPr="00FC6EB6" w:rsidRDefault="008D4B2E" w:rsidP="00FC6EB6">
      <w:pPr>
        <w:spacing w:line="240" w:lineRule="exact"/>
        <w:divId w:val="1601255595"/>
        <w:rPr>
          <w:rFonts w:ascii="宋体" w:eastAsia="宋体" w:hAnsi="宋体" w:cs="宋体"/>
          <w:sz w:val="18"/>
          <w:szCs w:val="18"/>
        </w:rPr>
      </w:pPr>
      <w:r w:rsidRPr="00FC6EB6">
        <w:rPr>
          <w:rFonts w:ascii="宋体" w:eastAsia="宋体" w:hAnsi="宋体" w:cs="宋体" w:hint="eastAsia"/>
          <w:sz w:val="18"/>
          <w:szCs w:val="18"/>
        </w:rPr>
        <w:t>其中，涉及政府补助的项目：</w:t>
      </w:r>
    </w:p>
    <w:tbl>
      <w:tblPr>
        <w:tblW w:w="0" w:type="auto"/>
        <w:jc w:val="center"/>
        <w:tblCellMar>
          <w:left w:w="0" w:type="dxa"/>
          <w:right w:w="0" w:type="dxa"/>
        </w:tblCellMar>
        <w:tblLook w:val="04A0" w:firstRow="1" w:lastRow="0" w:firstColumn="1" w:lastColumn="0" w:noHBand="0" w:noVBand="1"/>
      </w:tblPr>
      <w:tblGrid>
        <w:gridCol w:w="1725"/>
        <w:gridCol w:w="1386"/>
        <w:gridCol w:w="1296"/>
        <w:gridCol w:w="706"/>
        <w:gridCol w:w="1168"/>
        <w:gridCol w:w="654"/>
        <w:gridCol w:w="1296"/>
        <w:gridCol w:w="1386"/>
      </w:tblGrid>
      <w:tr w:rsidR="008D4B2E" w:rsidTr="00152E2B">
        <w:trPr>
          <w:divId w:val="1601255595"/>
          <w:trHeight w:val="421"/>
          <w:tblHeader/>
          <w:jc w:val="center"/>
        </w:trPr>
        <w:tc>
          <w:tcPr>
            <w:tcW w:w="0" w:type="auto"/>
            <w:vMerge w:val="restart"/>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8D4B2E" w:rsidRPr="00FC6EB6" w:rsidRDefault="008D4B2E" w:rsidP="00FC6EB6">
            <w:pPr>
              <w:spacing w:line="240" w:lineRule="exact"/>
              <w:jc w:val="center"/>
              <w:rPr>
                <w:rFonts w:ascii="宋体" w:eastAsia="宋体" w:hAnsi="宋体" w:cs="宋体"/>
                <w:sz w:val="18"/>
                <w:szCs w:val="18"/>
              </w:rPr>
            </w:pPr>
            <w:r w:rsidRPr="00FC6EB6">
              <w:rPr>
                <w:rFonts w:ascii="宋体" w:eastAsia="宋体" w:hAnsi="宋体" w:cs="宋体" w:hint="eastAsia"/>
                <w:sz w:val="18"/>
                <w:szCs w:val="18"/>
              </w:rPr>
              <w:t>补助项目</w:t>
            </w:r>
          </w:p>
        </w:tc>
        <w:tc>
          <w:tcPr>
            <w:tcW w:w="0" w:type="auto"/>
            <w:vMerge w:val="restart"/>
            <w:tcBorders>
              <w:top w:val="single" w:sz="8" w:space="0" w:color="auto"/>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rsidR="008D4B2E" w:rsidRPr="00FC6EB6" w:rsidRDefault="008D4B2E" w:rsidP="00FC6EB6">
            <w:pPr>
              <w:spacing w:line="240" w:lineRule="exact"/>
              <w:jc w:val="center"/>
              <w:rPr>
                <w:rFonts w:ascii="宋体" w:eastAsia="宋体" w:hAnsi="宋体" w:cs="宋体"/>
                <w:sz w:val="18"/>
                <w:szCs w:val="18"/>
              </w:rPr>
            </w:pPr>
            <w:r w:rsidRPr="00FC6EB6">
              <w:rPr>
                <w:rFonts w:ascii="宋体" w:eastAsia="宋体" w:hAnsi="宋体" w:cs="宋体" w:hint="eastAsia"/>
                <w:sz w:val="18"/>
                <w:szCs w:val="18"/>
              </w:rPr>
              <w:t>年初余额</w:t>
            </w:r>
          </w:p>
        </w:tc>
        <w:tc>
          <w:tcPr>
            <w:tcW w:w="0" w:type="auto"/>
            <w:vMerge w:val="restart"/>
            <w:tcBorders>
              <w:top w:val="single" w:sz="8" w:space="0" w:color="auto"/>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rsidR="008D4B2E" w:rsidRPr="00FC6EB6" w:rsidRDefault="008D4B2E" w:rsidP="00FC6EB6">
            <w:pPr>
              <w:spacing w:line="240" w:lineRule="exact"/>
              <w:jc w:val="center"/>
              <w:rPr>
                <w:rFonts w:ascii="宋体" w:eastAsia="宋体" w:hAnsi="宋体" w:cs="宋体"/>
                <w:sz w:val="18"/>
                <w:szCs w:val="18"/>
              </w:rPr>
            </w:pPr>
            <w:r w:rsidRPr="00FC6EB6">
              <w:rPr>
                <w:rFonts w:ascii="宋体" w:eastAsia="宋体" w:hAnsi="宋体" w:cs="宋体" w:hint="eastAsia"/>
                <w:sz w:val="18"/>
                <w:szCs w:val="18"/>
              </w:rPr>
              <w:t>本期增加</w:t>
            </w:r>
          </w:p>
        </w:tc>
        <w:tc>
          <w:tcPr>
            <w:tcW w:w="0" w:type="auto"/>
            <w:gridSpan w:val="4"/>
            <w:tcBorders>
              <w:top w:val="single" w:sz="8" w:space="0" w:color="auto"/>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rsidR="008D4B2E" w:rsidRPr="00FC6EB6" w:rsidRDefault="008D4B2E" w:rsidP="00FC6EB6">
            <w:pPr>
              <w:spacing w:line="240" w:lineRule="exact"/>
              <w:jc w:val="center"/>
              <w:rPr>
                <w:rFonts w:ascii="宋体" w:eastAsia="宋体" w:hAnsi="宋体" w:cs="宋体"/>
                <w:sz w:val="18"/>
                <w:szCs w:val="18"/>
              </w:rPr>
            </w:pPr>
            <w:r w:rsidRPr="00FC6EB6">
              <w:rPr>
                <w:rFonts w:ascii="宋体" w:eastAsia="宋体" w:hAnsi="宋体" w:cs="宋体" w:hint="eastAsia"/>
                <w:sz w:val="18"/>
                <w:szCs w:val="18"/>
              </w:rPr>
              <w:t>本期减少</w:t>
            </w:r>
          </w:p>
        </w:tc>
        <w:tc>
          <w:tcPr>
            <w:tcW w:w="0" w:type="auto"/>
            <w:vMerge w:val="restart"/>
            <w:tcBorders>
              <w:top w:val="single" w:sz="8" w:space="0" w:color="auto"/>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rsidR="008D4B2E" w:rsidRPr="00FC6EB6" w:rsidRDefault="008D4B2E" w:rsidP="00FC6EB6">
            <w:pPr>
              <w:spacing w:line="240" w:lineRule="exact"/>
              <w:jc w:val="center"/>
              <w:rPr>
                <w:rFonts w:ascii="宋体" w:eastAsia="宋体" w:hAnsi="宋体" w:cs="宋体"/>
                <w:sz w:val="18"/>
                <w:szCs w:val="18"/>
              </w:rPr>
            </w:pPr>
            <w:r w:rsidRPr="00FC6EB6">
              <w:rPr>
                <w:rFonts w:ascii="宋体" w:eastAsia="宋体" w:hAnsi="宋体" w:cs="宋体" w:hint="eastAsia"/>
                <w:sz w:val="18"/>
                <w:szCs w:val="18"/>
              </w:rPr>
              <w:t>期末余额</w:t>
            </w:r>
          </w:p>
        </w:tc>
      </w:tr>
      <w:tr w:rsidR="008D4B2E" w:rsidTr="00152E2B">
        <w:trPr>
          <w:divId w:val="1601255595"/>
          <w:trHeight w:val="421"/>
          <w:tblHeader/>
          <w:jc w:val="center"/>
        </w:trPr>
        <w:tc>
          <w:tcPr>
            <w:tcW w:w="0" w:type="auto"/>
            <w:vMerge/>
            <w:tcBorders>
              <w:top w:val="single" w:sz="8" w:space="0" w:color="auto"/>
              <w:left w:val="single" w:sz="8" w:space="0" w:color="auto"/>
              <w:bottom w:val="single" w:sz="8" w:space="0" w:color="auto"/>
              <w:right w:val="single" w:sz="8" w:space="0" w:color="auto"/>
            </w:tcBorders>
            <w:shd w:val="clear" w:color="auto" w:fill="D3D3D3"/>
            <w:vAlign w:val="center"/>
            <w:hideMark/>
          </w:tcPr>
          <w:p w:rsidR="008D4B2E" w:rsidRPr="00FC6EB6" w:rsidRDefault="008D4B2E" w:rsidP="00FC6EB6">
            <w:pPr>
              <w:spacing w:line="240" w:lineRule="exact"/>
              <w:rPr>
                <w:rFonts w:ascii="宋体" w:eastAsia="宋体" w:hAnsi="宋体" w:cs="宋体"/>
                <w:sz w:val="18"/>
                <w:szCs w:val="18"/>
              </w:rPr>
            </w:pPr>
          </w:p>
        </w:tc>
        <w:tc>
          <w:tcPr>
            <w:tcW w:w="0" w:type="auto"/>
            <w:vMerge/>
            <w:tcBorders>
              <w:top w:val="single" w:sz="8" w:space="0" w:color="auto"/>
              <w:left w:val="nil"/>
              <w:bottom w:val="single" w:sz="8" w:space="0" w:color="auto"/>
              <w:right w:val="single" w:sz="8" w:space="0" w:color="auto"/>
            </w:tcBorders>
            <w:shd w:val="clear" w:color="auto" w:fill="D3D3D3"/>
            <w:vAlign w:val="center"/>
            <w:hideMark/>
          </w:tcPr>
          <w:p w:rsidR="008D4B2E" w:rsidRPr="00FC6EB6" w:rsidRDefault="008D4B2E" w:rsidP="00FC6EB6">
            <w:pPr>
              <w:spacing w:line="240" w:lineRule="exact"/>
              <w:rPr>
                <w:rFonts w:ascii="宋体" w:eastAsia="宋体" w:hAnsi="宋体" w:cs="宋体"/>
                <w:sz w:val="18"/>
                <w:szCs w:val="18"/>
              </w:rPr>
            </w:pPr>
          </w:p>
        </w:tc>
        <w:tc>
          <w:tcPr>
            <w:tcW w:w="0" w:type="auto"/>
            <w:vMerge/>
            <w:tcBorders>
              <w:top w:val="single" w:sz="8" w:space="0" w:color="auto"/>
              <w:left w:val="nil"/>
              <w:bottom w:val="single" w:sz="8" w:space="0" w:color="auto"/>
              <w:right w:val="single" w:sz="8" w:space="0" w:color="auto"/>
            </w:tcBorders>
            <w:shd w:val="clear" w:color="auto" w:fill="D3D3D3"/>
            <w:vAlign w:val="center"/>
            <w:hideMark/>
          </w:tcPr>
          <w:p w:rsidR="008D4B2E" w:rsidRPr="00FC6EB6" w:rsidRDefault="008D4B2E" w:rsidP="00FC6EB6">
            <w:pPr>
              <w:spacing w:line="240" w:lineRule="exact"/>
              <w:rPr>
                <w:rFonts w:ascii="宋体" w:eastAsia="宋体" w:hAnsi="宋体" w:cs="宋体"/>
                <w:sz w:val="18"/>
                <w:szCs w:val="18"/>
              </w:rPr>
            </w:pPr>
          </w:p>
        </w:tc>
        <w:tc>
          <w:tcPr>
            <w:tcW w:w="0" w:type="auto"/>
            <w:tcBorders>
              <w:top w:val="nil"/>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8D4B2E" w:rsidRPr="00FC6EB6" w:rsidRDefault="008D4B2E" w:rsidP="00FC6EB6">
            <w:pPr>
              <w:pStyle w:val="a3"/>
              <w:spacing w:before="0" w:beforeAutospacing="0" w:after="0" w:afterAutospacing="0" w:line="240" w:lineRule="exact"/>
              <w:jc w:val="center"/>
              <w:rPr>
                <w:kern w:val="2"/>
                <w:sz w:val="18"/>
                <w:szCs w:val="18"/>
              </w:rPr>
            </w:pPr>
            <w:r w:rsidRPr="00FC6EB6">
              <w:rPr>
                <w:rFonts w:hint="eastAsia"/>
                <w:kern w:val="2"/>
                <w:sz w:val="18"/>
                <w:szCs w:val="18"/>
              </w:rPr>
              <w:t>计入营业外收入</w:t>
            </w:r>
          </w:p>
        </w:tc>
        <w:tc>
          <w:tcPr>
            <w:tcW w:w="0" w:type="auto"/>
            <w:tcBorders>
              <w:top w:val="nil"/>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rsidR="008D4B2E" w:rsidRPr="00FC6EB6" w:rsidRDefault="008D4B2E" w:rsidP="00FC6EB6">
            <w:pPr>
              <w:pStyle w:val="a3"/>
              <w:spacing w:before="0" w:beforeAutospacing="0" w:after="0" w:afterAutospacing="0" w:line="240" w:lineRule="exact"/>
              <w:jc w:val="center"/>
              <w:rPr>
                <w:kern w:val="2"/>
                <w:sz w:val="18"/>
                <w:szCs w:val="18"/>
              </w:rPr>
            </w:pPr>
            <w:r w:rsidRPr="00FC6EB6">
              <w:rPr>
                <w:rFonts w:hint="eastAsia"/>
                <w:kern w:val="2"/>
                <w:sz w:val="18"/>
                <w:szCs w:val="18"/>
              </w:rPr>
              <w:t>计入其他收益</w:t>
            </w:r>
          </w:p>
        </w:tc>
        <w:tc>
          <w:tcPr>
            <w:tcW w:w="0" w:type="auto"/>
            <w:tcBorders>
              <w:top w:val="nil"/>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rsidR="008D4B2E" w:rsidRPr="00FC6EB6" w:rsidRDefault="008D4B2E" w:rsidP="00FC6EB6">
            <w:pPr>
              <w:pStyle w:val="a3"/>
              <w:spacing w:before="0" w:beforeAutospacing="0" w:after="0" w:afterAutospacing="0" w:line="240" w:lineRule="exact"/>
              <w:jc w:val="center"/>
              <w:rPr>
                <w:kern w:val="2"/>
                <w:sz w:val="18"/>
                <w:szCs w:val="18"/>
              </w:rPr>
            </w:pPr>
            <w:r w:rsidRPr="00FC6EB6">
              <w:rPr>
                <w:rFonts w:hint="eastAsia"/>
                <w:kern w:val="2"/>
                <w:sz w:val="18"/>
                <w:szCs w:val="18"/>
              </w:rPr>
              <w:t>冲减成本费用</w:t>
            </w:r>
          </w:p>
        </w:tc>
        <w:tc>
          <w:tcPr>
            <w:tcW w:w="0" w:type="auto"/>
            <w:tcBorders>
              <w:top w:val="nil"/>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rsidR="008D4B2E" w:rsidRPr="00FC6EB6" w:rsidRDefault="008D4B2E" w:rsidP="00FC6EB6">
            <w:pPr>
              <w:pStyle w:val="a3"/>
              <w:spacing w:before="0" w:beforeAutospacing="0" w:after="0" w:afterAutospacing="0" w:line="240" w:lineRule="exact"/>
              <w:jc w:val="center"/>
              <w:rPr>
                <w:kern w:val="2"/>
                <w:sz w:val="18"/>
                <w:szCs w:val="18"/>
              </w:rPr>
            </w:pPr>
            <w:r w:rsidRPr="00FC6EB6">
              <w:rPr>
                <w:rFonts w:hint="eastAsia"/>
                <w:kern w:val="2"/>
                <w:sz w:val="18"/>
                <w:szCs w:val="18"/>
              </w:rPr>
              <w:t>其他减少</w:t>
            </w:r>
          </w:p>
        </w:tc>
        <w:tc>
          <w:tcPr>
            <w:tcW w:w="0" w:type="auto"/>
            <w:vMerge/>
            <w:tcBorders>
              <w:top w:val="single" w:sz="8" w:space="0" w:color="auto"/>
              <w:left w:val="nil"/>
              <w:bottom w:val="single" w:sz="8" w:space="0" w:color="auto"/>
              <w:right w:val="single" w:sz="8" w:space="0" w:color="auto"/>
            </w:tcBorders>
            <w:shd w:val="clear" w:color="auto" w:fill="D3D3D3"/>
            <w:vAlign w:val="center"/>
            <w:hideMark/>
          </w:tcPr>
          <w:p w:rsidR="008D4B2E" w:rsidRPr="00FC6EB6" w:rsidRDefault="008D4B2E" w:rsidP="00FC6EB6">
            <w:pPr>
              <w:spacing w:line="240" w:lineRule="exact"/>
              <w:rPr>
                <w:rFonts w:ascii="宋体" w:eastAsia="宋体" w:hAnsi="宋体" w:cs="宋体"/>
                <w:sz w:val="18"/>
                <w:szCs w:val="18"/>
              </w:rPr>
            </w:pPr>
          </w:p>
        </w:tc>
      </w:tr>
      <w:tr w:rsidR="008D4B2E" w:rsidTr="00152E2B">
        <w:trPr>
          <w:divId w:val="1601255595"/>
          <w:trHeight w:val="421"/>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rPr>
                <w:rFonts w:ascii="宋体" w:eastAsia="宋体" w:hAnsi="宋体" w:cs="宋体"/>
                <w:sz w:val="18"/>
                <w:szCs w:val="18"/>
              </w:rPr>
            </w:pPr>
            <w:proofErr w:type="gramStart"/>
            <w:r w:rsidRPr="00FC6EB6">
              <w:rPr>
                <w:rFonts w:ascii="宋体" w:eastAsia="宋体" w:hAnsi="宋体" w:cs="宋体" w:hint="eastAsia"/>
                <w:sz w:val="18"/>
                <w:szCs w:val="18"/>
              </w:rPr>
              <w:t>产线智能</w:t>
            </w:r>
            <w:proofErr w:type="gramEnd"/>
            <w:r w:rsidRPr="00FC6EB6">
              <w:rPr>
                <w:rFonts w:ascii="宋体" w:eastAsia="宋体" w:hAnsi="宋体" w:cs="宋体" w:hint="eastAsia"/>
                <w:sz w:val="18"/>
                <w:szCs w:val="18"/>
              </w:rPr>
              <w:t>管控系统的研究</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1,530,000.00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1,020,000.00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2,550,000.00</w:t>
            </w:r>
          </w:p>
        </w:tc>
      </w:tr>
      <w:tr w:rsidR="008D4B2E" w:rsidTr="00152E2B">
        <w:trPr>
          <w:divId w:val="1601255595"/>
          <w:trHeight w:val="421"/>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rPr>
                <w:rFonts w:ascii="宋体" w:eastAsia="宋体" w:hAnsi="宋体" w:cs="宋体"/>
                <w:sz w:val="18"/>
                <w:szCs w:val="18"/>
              </w:rPr>
            </w:pPr>
            <w:r w:rsidRPr="00FC6EB6">
              <w:rPr>
                <w:rFonts w:ascii="宋体" w:eastAsia="宋体" w:hAnsi="宋体" w:cs="宋体" w:hint="eastAsia"/>
                <w:sz w:val="18"/>
                <w:szCs w:val="18"/>
              </w:rPr>
              <w:t>高铁减振产品智能制造新模式应用</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480,000.00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640,000.00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1,120,000.00</w:t>
            </w:r>
          </w:p>
        </w:tc>
      </w:tr>
      <w:tr w:rsidR="008D4B2E" w:rsidTr="00152E2B">
        <w:trPr>
          <w:divId w:val="1601255595"/>
          <w:trHeight w:val="421"/>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rPr>
                <w:rFonts w:ascii="宋体" w:eastAsia="宋体" w:hAnsi="宋体" w:cs="宋体"/>
                <w:sz w:val="18"/>
                <w:szCs w:val="18"/>
              </w:rPr>
            </w:pPr>
            <w:r w:rsidRPr="00FC6EB6">
              <w:rPr>
                <w:rFonts w:ascii="宋体" w:eastAsia="宋体" w:hAnsi="宋体" w:cs="宋体" w:hint="eastAsia"/>
                <w:sz w:val="18"/>
                <w:szCs w:val="18"/>
              </w:rPr>
              <w:t>工业互联网创新发展</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2,524,714.00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2,524,714.00</w:t>
            </w:r>
          </w:p>
        </w:tc>
      </w:tr>
      <w:tr w:rsidR="008D4B2E" w:rsidTr="00152E2B">
        <w:trPr>
          <w:divId w:val="1601255595"/>
          <w:trHeight w:val="421"/>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rPr>
                <w:rFonts w:ascii="宋体" w:eastAsia="宋体" w:hAnsi="宋体" w:cs="宋体"/>
                <w:sz w:val="18"/>
                <w:szCs w:val="18"/>
              </w:rPr>
            </w:pPr>
            <w:r w:rsidRPr="00FC6EB6">
              <w:rPr>
                <w:rFonts w:ascii="宋体" w:eastAsia="宋体" w:hAnsi="宋体" w:cs="宋体" w:hint="eastAsia"/>
                <w:sz w:val="18"/>
                <w:szCs w:val="18"/>
              </w:rPr>
              <w:t>轮胎智能成型系统关键技术研发</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1,358,000.00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1,358,000.00</w:t>
            </w:r>
          </w:p>
        </w:tc>
      </w:tr>
      <w:tr w:rsidR="008D4B2E" w:rsidTr="00152E2B">
        <w:trPr>
          <w:divId w:val="1601255595"/>
          <w:trHeight w:val="421"/>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rPr>
                <w:rFonts w:ascii="宋体" w:eastAsia="宋体" w:hAnsi="宋体" w:cs="宋体"/>
                <w:sz w:val="18"/>
                <w:szCs w:val="18"/>
              </w:rPr>
            </w:pPr>
            <w:r w:rsidRPr="00FC6EB6">
              <w:rPr>
                <w:rFonts w:ascii="宋体" w:eastAsia="宋体" w:hAnsi="宋体" w:cs="宋体" w:hint="eastAsia"/>
                <w:sz w:val="18"/>
                <w:szCs w:val="18"/>
              </w:rPr>
              <w:t>年产</w:t>
            </w:r>
            <w:r w:rsidRPr="00FC6EB6">
              <w:rPr>
                <w:rFonts w:ascii="宋体" w:eastAsia="宋体" w:hAnsi="宋体" w:cs="宋体"/>
                <w:sz w:val="18"/>
                <w:szCs w:val="18"/>
              </w:rPr>
              <w:t>3</w:t>
            </w:r>
            <w:r w:rsidRPr="00FC6EB6">
              <w:rPr>
                <w:rFonts w:ascii="宋体" w:eastAsia="宋体" w:hAnsi="宋体" w:cs="宋体" w:hint="eastAsia"/>
                <w:sz w:val="18"/>
                <w:szCs w:val="18"/>
              </w:rPr>
              <w:t>万吨高性能复合橡胶生产能力</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30,840,000.00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470,000.00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30,370,000.00</w:t>
            </w:r>
          </w:p>
        </w:tc>
      </w:tr>
      <w:tr w:rsidR="008D4B2E" w:rsidTr="00152E2B">
        <w:trPr>
          <w:divId w:val="1601255595"/>
          <w:trHeight w:val="421"/>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rPr>
                <w:rFonts w:ascii="宋体" w:eastAsia="宋体" w:hAnsi="宋体" w:cs="宋体"/>
                <w:sz w:val="18"/>
                <w:szCs w:val="18"/>
              </w:rPr>
            </w:pPr>
            <w:r w:rsidRPr="00FC6EB6">
              <w:rPr>
                <w:rFonts w:ascii="宋体" w:eastAsia="宋体" w:hAnsi="宋体" w:cs="宋体" w:hint="eastAsia"/>
                <w:sz w:val="18"/>
                <w:szCs w:val="18"/>
              </w:rPr>
              <w:t>轮胎用射频识别（</w:t>
            </w:r>
            <w:r w:rsidRPr="00FC6EB6">
              <w:rPr>
                <w:rFonts w:ascii="宋体" w:eastAsia="宋体" w:hAnsi="宋体" w:cs="宋体"/>
                <w:sz w:val="18"/>
                <w:szCs w:val="18"/>
              </w:rPr>
              <w:t>RFID)</w:t>
            </w:r>
            <w:r w:rsidRPr="00FC6EB6">
              <w:rPr>
                <w:rFonts w:ascii="宋体" w:eastAsia="宋体" w:hAnsi="宋体" w:cs="宋体" w:hint="eastAsia"/>
                <w:sz w:val="18"/>
                <w:szCs w:val="18"/>
              </w:rPr>
              <w:t>电子标签性能试验方法</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690,000.00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690,000.00</w:t>
            </w:r>
          </w:p>
        </w:tc>
      </w:tr>
      <w:tr w:rsidR="008D4B2E" w:rsidTr="00152E2B">
        <w:trPr>
          <w:divId w:val="1601255595"/>
          <w:trHeight w:val="421"/>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rPr>
                <w:rFonts w:ascii="宋体" w:eastAsia="宋体" w:hAnsi="宋体" w:cs="宋体"/>
                <w:sz w:val="18"/>
                <w:szCs w:val="18"/>
              </w:rPr>
            </w:pPr>
            <w:r w:rsidRPr="00FC6EB6">
              <w:rPr>
                <w:rFonts w:ascii="宋体" w:eastAsia="宋体" w:hAnsi="宋体" w:cs="宋体" w:hint="eastAsia"/>
                <w:sz w:val="18"/>
                <w:szCs w:val="18"/>
              </w:rPr>
              <w:t>市博士后创新项目专项资金</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13,031,234.50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385,000.00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12,646,234.50</w:t>
            </w:r>
          </w:p>
        </w:tc>
      </w:tr>
      <w:tr w:rsidR="008D4B2E" w:rsidTr="00152E2B">
        <w:trPr>
          <w:divId w:val="1601255595"/>
          <w:trHeight w:val="421"/>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rPr>
                <w:rFonts w:ascii="宋体" w:eastAsia="宋体" w:hAnsi="宋体" w:cs="宋体"/>
                <w:sz w:val="18"/>
                <w:szCs w:val="18"/>
              </w:rPr>
            </w:pPr>
            <w:proofErr w:type="gramStart"/>
            <w:r w:rsidRPr="00FC6EB6">
              <w:rPr>
                <w:rFonts w:ascii="宋体" w:eastAsia="宋体" w:hAnsi="宋体" w:cs="宋体" w:hint="eastAsia"/>
                <w:sz w:val="18"/>
                <w:szCs w:val="18"/>
              </w:rPr>
              <w:t>软控诸暨</w:t>
            </w:r>
            <w:proofErr w:type="gramEnd"/>
            <w:r w:rsidRPr="00FC6EB6">
              <w:rPr>
                <w:rFonts w:ascii="宋体" w:eastAsia="宋体" w:hAnsi="宋体" w:cs="宋体" w:hint="eastAsia"/>
                <w:sz w:val="18"/>
                <w:szCs w:val="18"/>
              </w:rPr>
              <w:t>装备产业园建设</w:t>
            </w:r>
            <w:proofErr w:type="gramStart"/>
            <w:r w:rsidRPr="00FC6EB6">
              <w:rPr>
                <w:rFonts w:ascii="宋体" w:eastAsia="宋体" w:hAnsi="宋体" w:cs="宋体" w:hint="eastAsia"/>
                <w:sz w:val="18"/>
                <w:szCs w:val="18"/>
              </w:rPr>
              <w:t>进度奖</w:t>
            </w:r>
            <w:proofErr w:type="gram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11,811,582.62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245,223.16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11,566,359.46</w:t>
            </w:r>
          </w:p>
        </w:tc>
      </w:tr>
      <w:tr w:rsidR="008D4B2E" w:rsidTr="00152E2B">
        <w:trPr>
          <w:divId w:val="1601255595"/>
          <w:trHeight w:val="421"/>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rPr>
                <w:rFonts w:ascii="宋体" w:eastAsia="宋体" w:hAnsi="宋体" w:cs="宋体"/>
                <w:sz w:val="18"/>
                <w:szCs w:val="18"/>
              </w:rPr>
            </w:pPr>
            <w:r w:rsidRPr="00FC6EB6">
              <w:rPr>
                <w:rFonts w:ascii="宋体" w:eastAsia="宋体" w:hAnsi="宋体" w:cs="宋体" w:hint="eastAsia"/>
                <w:sz w:val="18"/>
                <w:szCs w:val="18"/>
              </w:rPr>
              <w:t>露天矿用新型巨型子午</w:t>
            </w:r>
            <w:proofErr w:type="gramStart"/>
            <w:r w:rsidRPr="00FC6EB6">
              <w:rPr>
                <w:rFonts w:ascii="宋体" w:eastAsia="宋体" w:hAnsi="宋体" w:cs="宋体" w:hint="eastAsia"/>
                <w:sz w:val="18"/>
                <w:szCs w:val="18"/>
              </w:rPr>
              <w:t>胎</w:t>
            </w:r>
            <w:proofErr w:type="gramEnd"/>
            <w:r w:rsidRPr="00FC6EB6">
              <w:rPr>
                <w:rFonts w:ascii="宋体" w:eastAsia="宋体" w:hAnsi="宋体" w:cs="宋体" w:hint="eastAsia"/>
                <w:sz w:val="18"/>
                <w:szCs w:val="18"/>
              </w:rPr>
              <w:t>成型技术</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2,000,000.00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300,000.00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1,300,000.00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1,000,000.00</w:t>
            </w:r>
          </w:p>
        </w:tc>
      </w:tr>
      <w:tr w:rsidR="008D4B2E" w:rsidTr="00152E2B">
        <w:trPr>
          <w:divId w:val="1601255595"/>
          <w:trHeight w:val="421"/>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rPr>
                <w:rFonts w:ascii="宋体" w:eastAsia="宋体" w:hAnsi="宋体" w:cs="宋体"/>
                <w:sz w:val="18"/>
                <w:szCs w:val="18"/>
              </w:rPr>
            </w:pPr>
            <w:proofErr w:type="gramStart"/>
            <w:r w:rsidRPr="00FC6EB6">
              <w:rPr>
                <w:rFonts w:ascii="宋体" w:eastAsia="宋体" w:hAnsi="宋体" w:cs="宋体" w:hint="eastAsia"/>
                <w:sz w:val="18"/>
                <w:szCs w:val="18"/>
              </w:rPr>
              <w:t>全价值链产品</w:t>
            </w:r>
            <w:proofErr w:type="gramEnd"/>
            <w:r w:rsidRPr="00FC6EB6">
              <w:rPr>
                <w:rFonts w:ascii="宋体" w:eastAsia="宋体" w:hAnsi="宋体" w:cs="宋体" w:hint="eastAsia"/>
                <w:sz w:val="18"/>
                <w:szCs w:val="18"/>
              </w:rPr>
              <w:t>质量精益管</w:t>
            </w:r>
            <w:proofErr w:type="gramStart"/>
            <w:r w:rsidRPr="00FC6EB6">
              <w:rPr>
                <w:rFonts w:ascii="宋体" w:eastAsia="宋体" w:hAnsi="宋体" w:cs="宋体" w:hint="eastAsia"/>
                <w:sz w:val="18"/>
                <w:szCs w:val="18"/>
              </w:rPr>
              <w:t>控软件</w:t>
            </w:r>
            <w:proofErr w:type="gram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1,527,800.00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1,527,800.00</w:t>
            </w:r>
          </w:p>
        </w:tc>
      </w:tr>
      <w:tr w:rsidR="008D4B2E" w:rsidTr="00152E2B">
        <w:trPr>
          <w:divId w:val="1601255595"/>
          <w:trHeight w:val="421"/>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rPr>
                <w:rFonts w:ascii="宋体" w:eastAsia="宋体" w:hAnsi="宋体" w:cs="宋体"/>
                <w:sz w:val="18"/>
                <w:szCs w:val="18"/>
              </w:rPr>
            </w:pPr>
            <w:r w:rsidRPr="00FC6EB6">
              <w:rPr>
                <w:rFonts w:ascii="宋体" w:eastAsia="宋体" w:hAnsi="宋体" w:cs="宋体" w:hint="eastAsia"/>
                <w:sz w:val="18"/>
                <w:szCs w:val="18"/>
              </w:rPr>
              <w:t>小样本异常数据智能分析控制</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720,000.00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720,000.00</w:t>
            </w:r>
          </w:p>
        </w:tc>
      </w:tr>
      <w:tr w:rsidR="008D4B2E" w:rsidTr="00152E2B">
        <w:trPr>
          <w:divId w:val="1601255595"/>
          <w:trHeight w:val="421"/>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rPr>
                <w:rFonts w:ascii="宋体" w:eastAsia="宋体" w:hAnsi="宋体" w:cs="宋体"/>
                <w:sz w:val="18"/>
                <w:szCs w:val="18"/>
              </w:rPr>
            </w:pPr>
            <w:r w:rsidRPr="00FC6EB6">
              <w:rPr>
                <w:rFonts w:ascii="宋体" w:eastAsia="宋体" w:hAnsi="宋体" w:cs="宋体" w:hint="eastAsia"/>
                <w:sz w:val="18"/>
                <w:szCs w:val="18"/>
              </w:rPr>
              <w:t>合计</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64,265,531.12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4,207,800.00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245,223.16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2,155,000.00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FC6EB6" w:rsidRDefault="008D4B2E" w:rsidP="00FC6EB6">
            <w:pPr>
              <w:spacing w:line="240" w:lineRule="exact"/>
              <w:jc w:val="right"/>
              <w:rPr>
                <w:rFonts w:ascii="宋体" w:eastAsia="宋体" w:hAnsi="宋体" w:cs="宋体"/>
                <w:sz w:val="18"/>
                <w:szCs w:val="18"/>
              </w:rPr>
            </w:pPr>
            <w:r w:rsidRPr="00FC6EB6">
              <w:rPr>
                <w:rFonts w:ascii="宋体" w:eastAsia="宋体" w:hAnsi="宋体" w:cs="宋体"/>
                <w:sz w:val="18"/>
                <w:szCs w:val="18"/>
              </w:rPr>
              <w:t>66,073,107.96</w:t>
            </w:r>
          </w:p>
        </w:tc>
      </w:tr>
    </w:tbl>
    <w:p w:rsidR="00BA0365" w:rsidRDefault="008D4B2E">
      <w:pPr>
        <w:pStyle w:val="3"/>
        <w:spacing w:line="280" w:lineRule="exact"/>
        <w:jc w:val="left"/>
        <w:rPr>
          <w:rFonts w:ascii="宋体" w:hAnsi="宋体" w:cs="宋体"/>
          <w:b/>
          <w:bCs/>
        </w:rPr>
      </w:pPr>
      <w:bookmarkStart w:id="315" w:name="_Toc989206"/>
      <w:r>
        <w:rPr>
          <w:rFonts w:ascii="宋体" w:hAnsi="宋体" w:cs="宋体"/>
          <w:b/>
          <w:bCs/>
        </w:rPr>
        <w:t>35、股本</w:t>
      </w:r>
      <w:bookmarkEnd w:id="315"/>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1204"/>
        <w:gridCol w:w="1205"/>
        <w:gridCol w:w="1205"/>
        <w:gridCol w:w="1205"/>
        <w:gridCol w:w="1205"/>
        <w:gridCol w:w="1205"/>
        <w:gridCol w:w="1205"/>
        <w:gridCol w:w="1205"/>
      </w:tblGrid>
      <w:tr w:rsidR="00157EA0">
        <w:trPr>
          <w:trHeight w:val="240"/>
        </w:trPr>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6024"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本次变动增减（+、-）</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157EA0">
        <w:trPr>
          <w:trHeight w:val="240"/>
        </w:trPr>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发行新股</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送股</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公积金转股</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小计</w:t>
            </w:r>
          </w:p>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r w:rsidR="00157EA0">
        <w:trPr>
          <w:trHeight w:val="240"/>
        </w:trPr>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股份总数</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969,506,674.00</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42,599,830.00</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-10,000.00</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42,589,830.00</w:t>
            </w:r>
          </w:p>
        </w:tc>
        <w:tc>
          <w:tcPr>
            <w:tcW w:w="120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1,012,096,504.00</w:t>
            </w:r>
          </w:p>
        </w:tc>
      </w:tr>
    </w:tbl>
    <w:p w:rsidR="00BA0365" w:rsidRDefault="008D4B2E">
      <w:pPr>
        <w:pStyle w:val="3"/>
        <w:spacing w:line="280" w:lineRule="exact"/>
        <w:jc w:val="left"/>
        <w:rPr>
          <w:rFonts w:ascii="宋体" w:hAnsi="宋体" w:cs="宋体"/>
          <w:b/>
          <w:bCs/>
        </w:rPr>
      </w:pPr>
      <w:bookmarkStart w:id="316" w:name="_Toc989207"/>
      <w:r>
        <w:rPr>
          <w:rFonts w:ascii="宋体" w:hAnsi="宋体" w:cs="宋体"/>
          <w:b/>
          <w:bCs/>
        </w:rPr>
        <w:t>36、资本公积</w:t>
      </w:r>
      <w:bookmarkEnd w:id="316"/>
    </w:p>
    <w:p w:rsidR="00AA53DA" w:rsidRPr="00AA53DA" w:rsidRDefault="00AA53DA" w:rsidP="00AA53DA"/>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1927"/>
        <w:gridCol w:w="1928"/>
        <w:gridCol w:w="1928"/>
        <w:gridCol w:w="1928"/>
        <w:gridCol w:w="1928"/>
      </w:tblGrid>
      <w:tr w:rsidR="00157EA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157EA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资本溢价（股本溢价）</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1,919,571,366.55</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226,761,023.34</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1,711,726.28</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2,144,620,663.61</w:t>
            </w:r>
          </w:p>
        </w:tc>
      </w:tr>
      <w:tr w:rsidR="00157EA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其他资本公积</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104,060,802.89</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110,357,659.39</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88,129,494.32</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126,288,967.96</w:t>
            </w:r>
          </w:p>
        </w:tc>
      </w:tr>
      <w:tr w:rsidR="00157EA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2,023,632,169.44</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337,118,682.73</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89,841,220.60</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2,270,909,631.57</w:t>
            </w:r>
          </w:p>
        </w:tc>
      </w:tr>
    </w:tbl>
    <w:p w:rsidR="00BA0365" w:rsidRDefault="008D4B2E" w:rsidP="00152E2B">
      <w:pPr>
        <w:ind w:firstLineChars="200" w:firstLine="360"/>
        <w:rPr>
          <w:rFonts w:ascii="宋体" w:eastAsia="宋体" w:hAnsi="宋体" w:cs="宋体"/>
          <w:sz w:val="18"/>
          <w:szCs w:val="18"/>
        </w:rPr>
      </w:pPr>
      <w:r>
        <w:rPr>
          <w:rFonts w:ascii="宋体" w:eastAsia="宋体" w:hAnsi="宋体" w:cs="宋体"/>
          <w:sz w:val="18"/>
          <w:szCs w:val="18"/>
        </w:rPr>
        <w:t>其他说明，包括本期增减变动情况、变动原因说明：</w:t>
      </w:r>
    </w:p>
    <w:p w:rsidR="008D4B2E" w:rsidRPr="00FC6EB6" w:rsidRDefault="008D4B2E" w:rsidP="00AA53DA">
      <w:pPr>
        <w:ind w:firstLineChars="200" w:firstLine="360"/>
        <w:divId w:val="456333119"/>
        <w:rPr>
          <w:rFonts w:ascii="宋体" w:eastAsia="宋体" w:hAnsi="宋体" w:cs="宋体"/>
          <w:sz w:val="18"/>
          <w:szCs w:val="18"/>
        </w:rPr>
      </w:pPr>
      <w:r w:rsidRPr="00FC6EB6">
        <w:rPr>
          <w:rFonts w:ascii="宋体" w:eastAsia="宋体" w:hAnsi="宋体" w:cs="宋体" w:hint="eastAsia"/>
          <w:sz w:val="18"/>
          <w:szCs w:val="18"/>
        </w:rPr>
        <w:t>①公司于</w:t>
      </w:r>
      <w:r w:rsidRPr="00FC6EB6">
        <w:rPr>
          <w:rFonts w:ascii="宋体" w:eastAsia="宋体" w:hAnsi="宋体" w:cs="宋体"/>
          <w:sz w:val="18"/>
          <w:szCs w:val="18"/>
        </w:rPr>
        <w:t>2019</w:t>
      </w:r>
      <w:r w:rsidRPr="00FC6EB6">
        <w:rPr>
          <w:rFonts w:ascii="宋体" w:eastAsia="宋体" w:hAnsi="宋体" w:cs="宋体" w:hint="eastAsia"/>
          <w:sz w:val="18"/>
          <w:szCs w:val="18"/>
        </w:rPr>
        <w:t>年</w:t>
      </w:r>
      <w:r w:rsidRPr="00FC6EB6">
        <w:rPr>
          <w:rFonts w:ascii="宋体" w:eastAsia="宋体" w:hAnsi="宋体" w:cs="宋体"/>
          <w:sz w:val="18"/>
          <w:szCs w:val="18"/>
        </w:rPr>
        <w:t>12</w:t>
      </w:r>
      <w:r w:rsidRPr="00FC6EB6">
        <w:rPr>
          <w:rFonts w:ascii="宋体" w:eastAsia="宋体" w:hAnsi="宋体" w:cs="宋体" w:hint="eastAsia"/>
          <w:sz w:val="18"/>
          <w:szCs w:val="18"/>
        </w:rPr>
        <w:t>月</w:t>
      </w:r>
      <w:r w:rsidRPr="00FC6EB6">
        <w:rPr>
          <w:rFonts w:ascii="宋体" w:eastAsia="宋体" w:hAnsi="宋体" w:cs="宋体"/>
          <w:sz w:val="18"/>
          <w:szCs w:val="18"/>
        </w:rPr>
        <w:t>29</w:t>
      </w:r>
      <w:r w:rsidRPr="00FC6EB6">
        <w:rPr>
          <w:rFonts w:ascii="宋体" w:eastAsia="宋体" w:hAnsi="宋体" w:cs="宋体" w:hint="eastAsia"/>
          <w:sz w:val="18"/>
          <w:szCs w:val="18"/>
        </w:rPr>
        <w:t>日召开第七届董事会第四次会议审议通过了《关于</w:t>
      </w:r>
      <w:r w:rsidRPr="00FC6EB6">
        <w:rPr>
          <w:rFonts w:ascii="宋体" w:eastAsia="宋体" w:hAnsi="宋体" w:cs="宋体"/>
          <w:sz w:val="18"/>
          <w:szCs w:val="18"/>
        </w:rPr>
        <w:t>〈2019</w:t>
      </w:r>
      <w:r w:rsidRPr="00FC6EB6">
        <w:rPr>
          <w:rFonts w:ascii="宋体" w:eastAsia="宋体" w:hAnsi="宋体" w:cs="宋体" w:hint="eastAsia"/>
          <w:sz w:val="18"/>
          <w:szCs w:val="18"/>
        </w:rPr>
        <w:t>年员工持股计划（草案）</w:t>
      </w:r>
      <w:r w:rsidRPr="00FC6EB6">
        <w:rPr>
          <w:rFonts w:ascii="宋体" w:eastAsia="宋体" w:hAnsi="宋体" w:cs="宋体"/>
          <w:sz w:val="18"/>
          <w:szCs w:val="18"/>
        </w:rPr>
        <w:t>〉</w:t>
      </w:r>
      <w:r w:rsidRPr="00FC6EB6">
        <w:rPr>
          <w:rFonts w:ascii="宋体" w:eastAsia="宋体" w:hAnsi="宋体" w:cs="宋体" w:hint="eastAsia"/>
          <w:sz w:val="18"/>
          <w:szCs w:val="18"/>
        </w:rPr>
        <w:t>及其摘要的议案》、《关于制定</w:t>
      </w:r>
      <w:r w:rsidRPr="00FC6EB6">
        <w:rPr>
          <w:rFonts w:ascii="宋体" w:eastAsia="宋体" w:hAnsi="宋体" w:cs="宋体"/>
          <w:sz w:val="18"/>
          <w:szCs w:val="18"/>
        </w:rPr>
        <w:t>〈</w:t>
      </w:r>
      <w:r w:rsidRPr="00FC6EB6">
        <w:rPr>
          <w:rFonts w:ascii="宋体" w:eastAsia="宋体" w:hAnsi="宋体" w:cs="宋体" w:hint="eastAsia"/>
          <w:sz w:val="18"/>
          <w:szCs w:val="18"/>
        </w:rPr>
        <w:t>员工持股计划管理办法</w:t>
      </w:r>
      <w:r w:rsidRPr="00FC6EB6">
        <w:rPr>
          <w:rFonts w:ascii="宋体" w:eastAsia="宋体" w:hAnsi="宋体" w:cs="宋体"/>
          <w:sz w:val="18"/>
          <w:szCs w:val="18"/>
        </w:rPr>
        <w:t>〉</w:t>
      </w:r>
      <w:r w:rsidRPr="00FC6EB6">
        <w:rPr>
          <w:rFonts w:ascii="宋体" w:eastAsia="宋体" w:hAnsi="宋体" w:cs="宋体" w:hint="eastAsia"/>
          <w:sz w:val="18"/>
          <w:szCs w:val="18"/>
        </w:rPr>
        <w:t>的议案》，确定</w:t>
      </w:r>
      <w:proofErr w:type="gramStart"/>
      <w:r w:rsidRPr="00FC6EB6">
        <w:rPr>
          <w:rFonts w:ascii="宋体" w:eastAsia="宋体" w:hAnsi="宋体" w:cs="宋体" w:hint="eastAsia"/>
          <w:sz w:val="18"/>
          <w:szCs w:val="18"/>
        </w:rPr>
        <w:t>本期员工</w:t>
      </w:r>
      <w:proofErr w:type="gramEnd"/>
      <w:r w:rsidRPr="00FC6EB6">
        <w:rPr>
          <w:rFonts w:ascii="宋体" w:eastAsia="宋体" w:hAnsi="宋体" w:cs="宋体" w:hint="eastAsia"/>
          <w:sz w:val="18"/>
          <w:szCs w:val="18"/>
        </w:rPr>
        <w:t>持股计划的参加对象为经董事会认定对公司发展有贡献的董事、监事、高级管理人员、公司中高层管理人员、公司核心技术及其他员工，本次员工持股计划参加对象总人数为不超过</w:t>
      </w:r>
      <w:r w:rsidRPr="00FC6EB6">
        <w:rPr>
          <w:rFonts w:ascii="宋体" w:eastAsia="宋体" w:hAnsi="宋体" w:cs="宋体"/>
          <w:sz w:val="18"/>
          <w:szCs w:val="18"/>
        </w:rPr>
        <w:t>98</w:t>
      </w:r>
      <w:r w:rsidRPr="00FC6EB6">
        <w:rPr>
          <w:rFonts w:ascii="宋体" w:eastAsia="宋体" w:hAnsi="宋体" w:cs="宋体" w:hint="eastAsia"/>
          <w:sz w:val="18"/>
          <w:szCs w:val="18"/>
        </w:rPr>
        <w:t>人（含），认购</w:t>
      </w:r>
      <w:r w:rsidRPr="00FC6EB6">
        <w:rPr>
          <w:rFonts w:ascii="宋体" w:eastAsia="宋体" w:hAnsi="宋体" w:cs="宋体"/>
          <w:sz w:val="18"/>
          <w:szCs w:val="18"/>
        </w:rPr>
        <w:t>27,360,900</w:t>
      </w:r>
      <w:r w:rsidRPr="00FC6EB6">
        <w:rPr>
          <w:rFonts w:ascii="宋体" w:eastAsia="宋体" w:hAnsi="宋体" w:cs="宋体" w:hint="eastAsia"/>
          <w:sz w:val="18"/>
          <w:szCs w:val="18"/>
        </w:rPr>
        <w:t>股限制性股票，股票面值</w:t>
      </w:r>
      <w:r w:rsidRPr="00FC6EB6">
        <w:rPr>
          <w:rFonts w:ascii="宋体" w:eastAsia="宋体" w:hAnsi="宋体" w:cs="宋体"/>
          <w:sz w:val="18"/>
          <w:szCs w:val="18"/>
        </w:rPr>
        <w:t>1</w:t>
      </w:r>
      <w:r w:rsidRPr="00FC6EB6">
        <w:rPr>
          <w:rFonts w:ascii="宋体" w:eastAsia="宋体" w:hAnsi="宋体" w:cs="宋体" w:hint="eastAsia"/>
          <w:sz w:val="18"/>
          <w:szCs w:val="18"/>
        </w:rPr>
        <w:t>元，认购价格为</w:t>
      </w:r>
      <w:r w:rsidRPr="00FC6EB6">
        <w:rPr>
          <w:rFonts w:ascii="宋体" w:eastAsia="宋体" w:hAnsi="宋体" w:cs="宋体"/>
          <w:sz w:val="18"/>
          <w:szCs w:val="18"/>
        </w:rPr>
        <w:t>2.13</w:t>
      </w:r>
      <w:r w:rsidRPr="00FC6EB6">
        <w:rPr>
          <w:rFonts w:ascii="宋体" w:eastAsia="宋体" w:hAnsi="宋体" w:cs="宋体" w:hint="eastAsia"/>
          <w:sz w:val="18"/>
          <w:szCs w:val="18"/>
        </w:rPr>
        <w:t>元</w:t>
      </w:r>
      <w:r w:rsidRPr="00FC6EB6">
        <w:rPr>
          <w:rFonts w:ascii="宋体" w:eastAsia="宋体" w:hAnsi="宋体" w:cs="宋体"/>
          <w:sz w:val="18"/>
          <w:szCs w:val="18"/>
        </w:rPr>
        <w:t>/</w:t>
      </w:r>
      <w:r w:rsidRPr="00FC6EB6">
        <w:rPr>
          <w:rFonts w:ascii="宋体" w:eastAsia="宋体" w:hAnsi="宋体" w:cs="宋体" w:hint="eastAsia"/>
          <w:sz w:val="18"/>
          <w:szCs w:val="18"/>
        </w:rPr>
        <w:t>股。</w:t>
      </w:r>
    </w:p>
    <w:p w:rsidR="008D4B2E" w:rsidRPr="00FC6EB6" w:rsidRDefault="008D4B2E" w:rsidP="00AA53DA">
      <w:pPr>
        <w:divId w:val="456333119"/>
        <w:rPr>
          <w:rFonts w:ascii="宋体" w:eastAsia="宋体" w:hAnsi="宋体" w:cs="宋体"/>
          <w:sz w:val="18"/>
          <w:szCs w:val="18"/>
        </w:rPr>
      </w:pPr>
      <w:r w:rsidRPr="00FC6EB6">
        <w:rPr>
          <w:rFonts w:ascii="宋体" w:eastAsia="宋体" w:hAnsi="宋体" w:cs="宋体" w:hint="eastAsia"/>
          <w:sz w:val="18"/>
          <w:szCs w:val="18"/>
        </w:rPr>
        <w:t>《关于</w:t>
      </w:r>
      <w:r w:rsidRPr="00FC6EB6">
        <w:rPr>
          <w:rFonts w:ascii="宋体" w:eastAsia="宋体" w:hAnsi="宋体" w:cs="宋体"/>
          <w:sz w:val="18"/>
          <w:szCs w:val="18"/>
        </w:rPr>
        <w:t>〈2019</w:t>
      </w:r>
      <w:r w:rsidRPr="00FC6EB6">
        <w:rPr>
          <w:rFonts w:ascii="宋体" w:eastAsia="宋体" w:hAnsi="宋体" w:cs="宋体" w:hint="eastAsia"/>
          <w:sz w:val="18"/>
          <w:szCs w:val="18"/>
        </w:rPr>
        <w:t>年员工持股计划（草案）</w:t>
      </w:r>
      <w:r w:rsidRPr="00FC6EB6">
        <w:rPr>
          <w:rFonts w:ascii="宋体" w:eastAsia="宋体" w:hAnsi="宋体" w:cs="宋体"/>
          <w:sz w:val="18"/>
          <w:szCs w:val="18"/>
        </w:rPr>
        <w:t>〉</w:t>
      </w:r>
      <w:r w:rsidRPr="00FC6EB6">
        <w:rPr>
          <w:rFonts w:ascii="宋体" w:eastAsia="宋体" w:hAnsi="宋体" w:cs="宋体" w:hint="eastAsia"/>
          <w:sz w:val="18"/>
          <w:szCs w:val="18"/>
        </w:rPr>
        <w:t>修订》说明，公司于</w:t>
      </w:r>
      <w:r w:rsidRPr="00FC6EB6">
        <w:rPr>
          <w:rFonts w:ascii="宋体" w:eastAsia="宋体" w:hAnsi="宋体" w:cs="宋体"/>
          <w:sz w:val="18"/>
          <w:szCs w:val="18"/>
        </w:rPr>
        <w:t>2019</w:t>
      </w:r>
      <w:r w:rsidRPr="00FC6EB6">
        <w:rPr>
          <w:rFonts w:ascii="宋体" w:eastAsia="宋体" w:hAnsi="宋体" w:cs="宋体" w:hint="eastAsia"/>
          <w:sz w:val="18"/>
          <w:szCs w:val="18"/>
        </w:rPr>
        <w:t>年</w:t>
      </w:r>
      <w:r w:rsidRPr="00FC6EB6">
        <w:rPr>
          <w:rFonts w:ascii="宋体" w:eastAsia="宋体" w:hAnsi="宋体" w:cs="宋体"/>
          <w:sz w:val="18"/>
          <w:szCs w:val="18"/>
        </w:rPr>
        <w:t>8</w:t>
      </w:r>
      <w:r w:rsidRPr="00FC6EB6">
        <w:rPr>
          <w:rFonts w:ascii="宋体" w:eastAsia="宋体" w:hAnsi="宋体" w:cs="宋体" w:hint="eastAsia"/>
          <w:sz w:val="18"/>
          <w:szCs w:val="18"/>
        </w:rPr>
        <w:t>月</w:t>
      </w:r>
      <w:r w:rsidRPr="00FC6EB6">
        <w:rPr>
          <w:rFonts w:ascii="宋体" w:eastAsia="宋体" w:hAnsi="宋体" w:cs="宋体"/>
          <w:sz w:val="18"/>
          <w:szCs w:val="18"/>
        </w:rPr>
        <w:t>30</w:t>
      </w:r>
      <w:r w:rsidRPr="00FC6EB6">
        <w:rPr>
          <w:rFonts w:ascii="宋体" w:eastAsia="宋体" w:hAnsi="宋体" w:cs="宋体" w:hint="eastAsia"/>
          <w:sz w:val="18"/>
          <w:szCs w:val="18"/>
        </w:rPr>
        <w:t>日首次以集中竞价交易方式实施了回购股份，截至</w:t>
      </w:r>
      <w:r w:rsidRPr="00FC6EB6">
        <w:rPr>
          <w:rFonts w:ascii="宋体" w:eastAsia="宋体" w:hAnsi="宋体" w:cs="宋体"/>
          <w:sz w:val="18"/>
          <w:szCs w:val="18"/>
        </w:rPr>
        <w:t>2019</w:t>
      </w:r>
      <w:r w:rsidRPr="00FC6EB6">
        <w:rPr>
          <w:rFonts w:ascii="宋体" w:eastAsia="宋体" w:hAnsi="宋体" w:cs="宋体" w:hint="eastAsia"/>
          <w:sz w:val="18"/>
          <w:szCs w:val="18"/>
        </w:rPr>
        <w:t>年</w:t>
      </w:r>
      <w:r w:rsidRPr="00FC6EB6">
        <w:rPr>
          <w:rFonts w:ascii="宋体" w:eastAsia="宋体" w:hAnsi="宋体" w:cs="宋体"/>
          <w:sz w:val="18"/>
          <w:szCs w:val="18"/>
        </w:rPr>
        <w:t>11</w:t>
      </w:r>
      <w:r w:rsidRPr="00FC6EB6">
        <w:rPr>
          <w:rFonts w:ascii="宋体" w:eastAsia="宋体" w:hAnsi="宋体" w:cs="宋体" w:hint="eastAsia"/>
          <w:sz w:val="18"/>
          <w:szCs w:val="18"/>
        </w:rPr>
        <w:t>月</w:t>
      </w:r>
      <w:r w:rsidRPr="00FC6EB6">
        <w:rPr>
          <w:rFonts w:ascii="宋体" w:eastAsia="宋体" w:hAnsi="宋体" w:cs="宋体"/>
          <w:sz w:val="18"/>
          <w:szCs w:val="18"/>
        </w:rPr>
        <w:t>1</w:t>
      </w:r>
      <w:r w:rsidRPr="00FC6EB6">
        <w:rPr>
          <w:rFonts w:ascii="宋体" w:eastAsia="宋体" w:hAnsi="宋体" w:cs="宋体" w:hint="eastAsia"/>
          <w:sz w:val="18"/>
          <w:szCs w:val="18"/>
        </w:rPr>
        <w:t>日，公司通过股份回购专用证券账户以集中竞价方式回购公司股份</w:t>
      </w:r>
      <w:r w:rsidRPr="00FC6EB6">
        <w:rPr>
          <w:rFonts w:ascii="宋体" w:eastAsia="宋体" w:hAnsi="宋体" w:cs="宋体"/>
          <w:sz w:val="18"/>
          <w:szCs w:val="18"/>
        </w:rPr>
        <w:t>27,360,900</w:t>
      </w:r>
      <w:r w:rsidRPr="00FC6EB6">
        <w:rPr>
          <w:rFonts w:ascii="宋体" w:eastAsia="宋体" w:hAnsi="宋体" w:cs="宋体" w:hint="eastAsia"/>
          <w:sz w:val="18"/>
          <w:szCs w:val="18"/>
        </w:rPr>
        <w:t>股，占公司目前总股本的</w:t>
      </w:r>
      <w:r w:rsidRPr="00FC6EB6">
        <w:rPr>
          <w:rFonts w:ascii="宋体" w:eastAsia="宋体" w:hAnsi="宋体" w:cs="宋体"/>
          <w:sz w:val="18"/>
          <w:szCs w:val="18"/>
        </w:rPr>
        <w:t>2.93%</w:t>
      </w:r>
      <w:r w:rsidRPr="00FC6EB6">
        <w:rPr>
          <w:rFonts w:ascii="宋体" w:eastAsia="宋体" w:hAnsi="宋体" w:cs="宋体" w:hint="eastAsia"/>
          <w:sz w:val="18"/>
          <w:szCs w:val="18"/>
        </w:rPr>
        <w:t>，最高成交价为</w:t>
      </w:r>
      <w:r w:rsidRPr="00FC6EB6">
        <w:rPr>
          <w:rFonts w:ascii="宋体" w:eastAsia="宋体" w:hAnsi="宋体" w:cs="宋体"/>
          <w:sz w:val="18"/>
          <w:szCs w:val="18"/>
        </w:rPr>
        <w:t>6.60</w:t>
      </w:r>
      <w:r w:rsidRPr="00FC6EB6">
        <w:rPr>
          <w:rFonts w:ascii="宋体" w:eastAsia="宋体" w:hAnsi="宋体" w:cs="宋体" w:hint="eastAsia"/>
          <w:sz w:val="18"/>
          <w:szCs w:val="18"/>
        </w:rPr>
        <w:t>元</w:t>
      </w:r>
      <w:r w:rsidRPr="00FC6EB6">
        <w:rPr>
          <w:rFonts w:ascii="宋体" w:eastAsia="宋体" w:hAnsi="宋体" w:cs="宋体"/>
          <w:sz w:val="18"/>
          <w:szCs w:val="18"/>
        </w:rPr>
        <w:t>/</w:t>
      </w:r>
      <w:r w:rsidRPr="00FC6EB6">
        <w:rPr>
          <w:rFonts w:ascii="宋体" w:eastAsia="宋体" w:hAnsi="宋体" w:cs="宋体" w:hint="eastAsia"/>
          <w:sz w:val="18"/>
          <w:szCs w:val="18"/>
        </w:rPr>
        <w:t>股，最低成交价为</w:t>
      </w:r>
      <w:r w:rsidRPr="00FC6EB6">
        <w:rPr>
          <w:rFonts w:ascii="宋体" w:eastAsia="宋体" w:hAnsi="宋体" w:cs="宋体"/>
          <w:sz w:val="18"/>
          <w:szCs w:val="18"/>
        </w:rPr>
        <w:t>4.19</w:t>
      </w:r>
      <w:r w:rsidRPr="00FC6EB6">
        <w:rPr>
          <w:rFonts w:ascii="宋体" w:eastAsia="宋体" w:hAnsi="宋体" w:cs="宋体" w:hint="eastAsia"/>
          <w:sz w:val="18"/>
          <w:szCs w:val="18"/>
        </w:rPr>
        <w:t>元</w:t>
      </w:r>
      <w:r w:rsidRPr="00FC6EB6">
        <w:rPr>
          <w:rFonts w:ascii="宋体" w:eastAsia="宋体" w:hAnsi="宋体" w:cs="宋体"/>
          <w:sz w:val="18"/>
          <w:szCs w:val="18"/>
        </w:rPr>
        <w:t>/</w:t>
      </w:r>
      <w:r w:rsidRPr="00FC6EB6">
        <w:rPr>
          <w:rFonts w:ascii="宋体" w:eastAsia="宋体" w:hAnsi="宋体" w:cs="宋体" w:hint="eastAsia"/>
          <w:sz w:val="18"/>
          <w:szCs w:val="18"/>
        </w:rPr>
        <w:t>股。合计成交总金额为</w:t>
      </w:r>
      <w:r w:rsidRPr="00FC6EB6">
        <w:rPr>
          <w:rFonts w:ascii="宋体" w:eastAsia="宋体" w:hAnsi="宋体" w:cs="宋体"/>
          <w:sz w:val="18"/>
          <w:szCs w:val="18"/>
        </w:rPr>
        <w:t>142,908,415.75</w:t>
      </w:r>
      <w:r w:rsidRPr="00FC6EB6">
        <w:rPr>
          <w:rFonts w:ascii="宋体" w:eastAsia="宋体" w:hAnsi="宋体" w:cs="宋体" w:hint="eastAsia"/>
          <w:sz w:val="18"/>
          <w:szCs w:val="18"/>
        </w:rPr>
        <w:t>元（</w:t>
      </w:r>
      <w:proofErr w:type="gramStart"/>
      <w:r w:rsidRPr="00FC6EB6">
        <w:rPr>
          <w:rFonts w:ascii="宋体" w:eastAsia="宋体" w:hAnsi="宋体" w:cs="宋体" w:hint="eastAsia"/>
          <w:sz w:val="18"/>
          <w:szCs w:val="18"/>
        </w:rPr>
        <w:t>含交易</w:t>
      </w:r>
      <w:proofErr w:type="gramEnd"/>
      <w:r w:rsidRPr="00FC6EB6">
        <w:rPr>
          <w:rFonts w:ascii="宋体" w:eastAsia="宋体" w:hAnsi="宋体" w:cs="宋体" w:hint="eastAsia"/>
          <w:sz w:val="18"/>
          <w:szCs w:val="18"/>
        </w:rPr>
        <w:t>费用）。</w:t>
      </w:r>
    </w:p>
    <w:p w:rsidR="008D4B2E" w:rsidRPr="00FC6EB6" w:rsidRDefault="008D4B2E" w:rsidP="00AA53DA">
      <w:pPr>
        <w:ind w:firstLineChars="200" w:firstLine="360"/>
        <w:divId w:val="456333119"/>
        <w:rPr>
          <w:rFonts w:ascii="宋体" w:eastAsia="宋体" w:hAnsi="宋体" w:cs="宋体"/>
          <w:sz w:val="18"/>
          <w:szCs w:val="18"/>
        </w:rPr>
      </w:pPr>
      <w:r w:rsidRPr="00FC6EB6">
        <w:rPr>
          <w:rFonts w:ascii="宋体" w:eastAsia="宋体" w:hAnsi="宋体" w:cs="宋体" w:hint="eastAsia"/>
          <w:sz w:val="18"/>
          <w:szCs w:val="18"/>
        </w:rPr>
        <w:t>本次员工持股计划参加对象总人数为不超过</w:t>
      </w:r>
      <w:r w:rsidRPr="00FC6EB6">
        <w:rPr>
          <w:rFonts w:ascii="宋体" w:eastAsia="宋体" w:hAnsi="宋体" w:cs="宋体"/>
          <w:sz w:val="18"/>
          <w:szCs w:val="18"/>
        </w:rPr>
        <w:t>98</w:t>
      </w:r>
      <w:r w:rsidRPr="00FC6EB6">
        <w:rPr>
          <w:rFonts w:ascii="宋体" w:eastAsia="宋体" w:hAnsi="宋体" w:cs="宋体" w:hint="eastAsia"/>
          <w:sz w:val="18"/>
          <w:szCs w:val="18"/>
        </w:rPr>
        <w:t>人（含），认购</w:t>
      </w:r>
      <w:r w:rsidRPr="00FC6EB6">
        <w:rPr>
          <w:rFonts w:ascii="宋体" w:eastAsia="宋体" w:hAnsi="宋体" w:cs="宋体"/>
          <w:sz w:val="18"/>
          <w:szCs w:val="18"/>
        </w:rPr>
        <w:t>27,360,900</w:t>
      </w:r>
      <w:r w:rsidRPr="00FC6EB6">
        <w:rPr>
          <w:rFonts w:ascii="宋体" w:eastAsia="宋体" w:hAnsi="宋体" w:cs="宋体" w:hint="eastAsia"/>
          <w:sz w:val="18"/>
          <w:szCs w:val="18"/>
        </w:rPr>
        <w:t>股限制性股票，股票面值</w:t>
      </w:r>
      <w:r w:rsidRPr="00FC6EB6">
        <w:rPr>
          <w:rFonts w:ascii="宋体" w:eastAsia="宋体" w:hAnsi="宋体" w:cs="宋体"/>
          <w:sz w:val="18"/>
          <w:szCs w:val="18"/>
        </w:rPr>
        <w:t>1</w:t>
      </w:r>
      <w:r w:rsidRPr="00FC6EB6">
        <w:rPr>
          <w:rFonts w:ascii="宋体" w:eastAsia="宋体" w:hAnsi="宋体" w:cs="宋体" w:hint="eastAsia"/>
          <w:sz w:val="18"/>
          <w:szCs w:val="18"/>
        </w:rPr>
        <w:t>元，认购价格为</w:t>
      </w:r>
      <w:r w:rsidRPr="00FC6EB6">
        <w:rPr>
          <w:rFonts w:ascii="宋体" w:eastAsia="宋体" w:hAnsi="宋体" w:cs="宋体"/>
          <w:sz w:val="18"/>
          <w:szCs w:val="18"/>
        </w:rPr>
        <w:t>2.13</w:t>
      </w:r>
      <w:r w:rsidRPr="00FC6EB6">
        <w:rPr>
          <w:rFonts w:ascii="宋体" w:eastAsia="宋体" w:hAnsi="宋体" w:cs="宋体" w:hint="eastAsia"/>
          <w:sz w:val="18"/>
          <w:szCs w:val="18"/>
        </w:rPr>
        <w:t>元</w:t>
      </w:r>
      <w:r w:rsidRPr="00FC6EB6">
        <w:rPr>
          <w:rFonts w:ascii="宋体" w:eastAsia="宋体" w:hAnsi="宋体" w:cs="宋体"/>
          <w:sz w:val="18"/>
          <w:szCs w:val="18"/>
        </w:rPr>
        <w:t>/</w:t>
      </w:r>
      <w:r w:rsidRPr="00FC6EB6">
        <w:rPr>
          <w:rFonts w:ascii="宋体" w:eastAsia="宋体" w:hAnsi="宋体" w:cs="宋体" w:hint="eastAsia"/>
          <w:sz w:val="18"/>
          <w:szCs w:val="18"/>
        </w:rPr>
        <w:t>股，实际认购资金总额为</w:t>
      </w:r>
      <w:r w:rsidRPr="00FC6EB6">
        <w:rPr>
          <w:rFonts w:ascii="宋体" w:eastAsia="宋体" w:hAnsi="宋体" w:cs="宋体"/>
          <w:sz w:val="18"/>
          <w:szCs w:val="18"/>
        </w:rPr>
        <w:t>58,278,717</w:t>
      </w:r>
      <w:r w:rsidRPr="00FC6EB6">
        <w:rPr>
          <w:rFonts w:ascii="宋体" w:eastAsia="宋体" w:hAnsi="宋体" w:cs="宋体" w:hint="eastAsia"/>
          <w:sz w:val="18"/>
          <w:szCs w:val="18"/>
        </w:rPr>
        <w:t>元，于</w:t>
      </w:r>
      <w:r w:rsidRPr="00FC6EB6">
        <w:rPr>
          <w:rFonts w:ascii="宋体" w:eastAsia="宋体" w:hAnsi="宋体" w:cs="宋体"/>
          <w:sz w:val="18"/>
          <w:szCs w:val="18"/>
        </w:rPr>
        <w:t>2020</w:t>
      </w:r>
      <w:r w:rsidRPr="00FC6EB6">
        <w:rPr>
          <w:rFonts w:ascii="宋体" w:eastAsia="宋体" w:hAnsi="宋体" w:cs="宋体" w:hint="eastAsia"/>
          <w:sz w:val="18"/>
          <w:szCs w:val="18"/>
        </w:rPr>
        <w:t>年</w:t>
      </w:r>
      <w:r w:rsidRPr="00FC6EB6">
        <w:rPr>
          <w:rFonts w:ascii="宋体" w:eastAsia="宋体" w:hAnsi="宋体" w:cs="宋体"/>
          <w:sz w:val="18"/>
          <w:szCs w:val="18"/>
        </w:rPr>
        <w:t>1</w:t>
      </w:r>
      <w:r w:rsidRPr="00FC6EB6">
        <w:rPr>
          <w:rFonts w:ascii="宋体" w:eastAsia="宋体" w:hAnsi="宋体" w:cs="宋体" w:hint="eastAsia"/>
          <w:sz w:val="18"/>
          <w:szCs w:val="18"/>
        </w:rPr>
        <w:t>月</w:t>
      </w:r>
      <w:r w:rsidRPr="00FC6EB6">
        <w:rPr>
          <w:rFonts w:ascii="宋体" w:eastAsia="宋体" w:hAnsi="宋体" w:cs="宋体"/>
          <w:sz w:val="18"/>
          <w:szCs w:val="18"/>
        </w:rPr>
        <w:t>15</w:t>
      </w:r>
      <w:r w:rsidRPr="00FC6EB6">
        <w:rPr>
          <w:rFonts w:ascii="宋体" w:eastAsia="宋体" w:hAnsi="宋体" w:cs="宋体" w:hint="eastAsia"/>
          <w:sz w:val="18"/>
          <w:szCs w:val="18"/>
        </w:rPr>
        <w:t>日收到。公司回购成交金额与实际收到员工的认购资金总额的差额</w:t>
      </w:r>
      <w:r w:rsidRPr="00FC6EB6">
        <w:rPr>
          <w:rFonts w:ascii="宋体" w:eastAsia="宋体" w:hAnsi="宋体" w:cs="宋体"/>
          <w:sz w:val="18"/>
          <w:szCs w:val="18"/>
        </w:rPr>
        <w:t>84,629,698.75</w:t>
      </w:r>
      <w:r w:rsidRPr="00FC6EB6">
        <w:rPr>
          <w:rFonts w:ascii="宋体" w:eastAsia="宋体" w:hAnsi="宋体" w:cs="宋体" w:hint="eastAsia"/>
          <w:sz w:val="18"/>
          <w:szCs w:val="18"/>
        </w:rPr>
        <w:t>元。</w:t>
      </w:r>
    </w:p>
    <w:p w:rsidR="008D4B2E" w:rsidRPr="00FC6EB6" w:rsidRDefault="008D4B2E" w:rsidP="00AA53DA">
      <w:pPr>
        <w:divId w:val="456333119"/>
        <w:rPr>
          <w:rFonts w:ascii="宋体" w:eastAsia="宋体" w:hAnsi="宋体" w:cs="宋体"/>
          <w:sz w:val="18"/>
          <w:szCs w:val="18"/>
        </w:rPr>
      </w:pPr>
      <w:r w:rsidRPr="00FC6EB6">
        <w:rPr>
          <w:rFonts w:ascii="宋体" w:eastAsia="宋体" w:hAnsi="宋体" w:cs="宋体" w:hint="eastAsia"/>
          <w:sz w:val="18"/>
          <w:szCs w:val="18"/>
        </w:rPr>
        <w:t>前期第一期、第二期和第三期员工持股计划业绩达到限制性股票解锁条件，减少资本溢价（股本溢价）</w:t>
      </w:r>
      <w:r w:rsidRPr="00FC6EB6">
        <w:rPr>
          <w:rFonts w:ascii="宋体" w:eastAsia="宋体" w:hAnsi="宋体" w:cs="宋体"/>
          <w:sz w:val="18"/>
          <w:szCs w:val="18"/>
        </w:rPr>
        <w:t>84,629,698.75</w:t>
      </w:r>
      <w:r w:rsidRPr="00FC6EB6">
        <w:rPr>
          <w:rFonts w:ascii="宋体" w:eastAsia="宋体" w:hAnsi="宋体" w:cs="宋体" w:hint="eastAsia"/>
          <w:sz w:val="18"/>
          <w:szCs w:val="18"/>
        </w:rPr>
        <w:t>元。</w:t>
      </w:r>
    </w:p>
    <w:p w:rsidR="008D4B2E" w:rsidRPr="00FC6EB6" w:rsidRDefault="008D4B2E" w:rsidP="00AA53DA">
      <w:pPr>
        <w:ind w:firstLineChars="200" w:firstLine="360"/>
        <w:divId w:val="456333119"/>
        <w:rPr>
          <w:rFonts w:ascii="宋体" w:eastAsia="宋体" w:hAnsi="宋体" w:cs="宋体"/>
          <w:sz w:val="18"/>
          <w:szCs w:val="18"/>
        </w:rPr>
      </w:pPr>
      <w:r w:rsidRPr="00FC6EB6">
        <w:rPr>
          <w:rFonts w:ascii="宋体" w:eastAsia="宋体" w:hAnsi="宋体" w:cs="宋体"/>
          <w:sz w:val="18"/>
          <w:szCs w:val="18"/>
        </w:rPr>
        <w:t>2020</w:t>
      </w:r>
      <w:r w:rsidRPr="00FC6EB6">
        <w:rPr>
          <w:rFonts w:ascii="宋体" w:eastAsia="宋体" w:hAnsi="宋体" w:cs="宋体" w:hint="eastAsia"/>
          <w:sz w:val="18"/>
          <w:szCs w:val="18"/>
        </w:rPr>
        <w:t>年</w:t>
      </w:r>
      <w:r w:rsidRPr="00FC6EB6">
        <w:rPr>
          <w:rFonts w:ascii="宋体" w:eastAsia="宋体" w:hAnsi="宋体" w:cs="宋体"/>
          <w:sz w:val="18"/>
          <w:szCs w:val="18"/>
        </w:rPr>
        <w:t>1</w:t>
      </w:r>
      <w:r w:rsidRPr="00FC6EB6">
        <w:rPr>
          <w:rFonts w:ascii="宋体" w:eastAsia="宋体" w:hAnsi="宋体" w:cs="宋体" w:hint="eastAsia"/>
          <w:sz w:val="18"/>
          <w:szCs w:val="18"/>
        </w:rPr>
        <w:t>月</w:t>
      </w:r>
      <w:r w:rsidRPr="00FC6EB6">
        <w:rPr>
          <w:rFonts w:ascii="宋体" w:eastAsia="宋体" w:hAnsi="宋体" w:cs="宋体"/>
          <w:sz w:val="18"/>
          <w:szCs w:val="18"/>
        </w:rPr>
        <w:t>20</w:t>
      </w:r>
      <w:r w:rsidRPr="00FC6EB6">
        <w:rPr>
          <w:rFonts w:ascii="宋体" w:eastAsia="宋体" w:hAnsi="宋体" w:cs="宋体" w:hint="eastAsia"/>
          <w:sz w:val="18"/>
          <w:szCs w:val="18"/>
        </w:rPr>
        <w:t>日，公司第一期员工持股计划已完成股票</w:t>
      </w:r>
      <w:proofErr w:type="gramStart"/>
      <w:r w:rsidRPr="00FC6EB6">
        <w:rPr>
          <w:rFonts w:ascii="宋体" w:eastAsia="宋体" w:hAnsi="宋体" w:cs="宋体" w:hint="eastAsia"/>
          <w:sz w:val="18"/>
          <w:szCs w:val="18"/>
        </w:rPr>
        <w:t>非交易</w:t>
      </w:r>
      <w:proofErr w:type="gramEnd"/>
      <w:r w:rsidRPr="00FC6EB6">
        <w:rPr>
          <w:rFonts w:ascii="宋体" w:eastAsia="宋体" w:hAnsi="宋体" w:cs="宋体" w:hint="eastAsia"/>
          <w:sz w:val="18"/>
          <w:szCs w:val="18"/>
        </w:rPr>
        <w:t>过户。根据《</w:t>
      </w:r>
      <w:r w:rsidRPr="00FC6EB6">
        <w:rPr>
          <w:rFonts w:ascii="宋体" w:eastAsia="宋体" w:hAnsi="宋体" w:cs="宋体"/>
          <w:sz w:val="18"/>
          <w:szCs w:val="18"/>
        </w:rPr>
        <w:t>2019</w:t>
      </w:r>
      <w:r w:rsidRPr="00FC6EB6">
        <w:rPr>
          <w:rFonts w:ascii="宋体" w:eastAsia="宋体" w:hAnsi="宋体" w:cs="宋体" w:hint="eastAsia"/>
          <w:sz w:val="18"/>
          <w:szCs w:val="18"/>
        </w:rPr>
        <w:t>年员工持股计划（草案）》该部分股票将按照规定予以锁定，自公司公告最后一笔标的股票过户至</w:t>
      </w:r>
      <w:proofErr w:type="gramStart"/>
      <w:r w:rsidRPr="00FC6EB6">
        <w:rPr>
          <w:rFonts w:ascii="宋体" w:eastAsia="宋体" w:hAnsi="宋体" w:cs="宋体" w:hint="eastAsia"/>
          <w:sz w:val="18"/>
          <w:szCs w:val="18"/>
        </w:rPr>
        <w:t>本员工</w:t>
      </w:r>
      <w:proofErr w:type="gramEnd"/>
      <w:r w:rsidRPr="00FC6EB6">
        <w:rPr>
          <w:rFonts w:ascii="宋体" w:eastAsia="宋体" w:hAnsi="宋体" w:cs="宋体" w:hint="eastAsia"/>
          <w:sz w:val="18"/>
          <w:szCs w:val="18"/>
        </w:rPr>
        <w:t>持股计划名下之日即</w:t>
      </w:r>
      <w:r w:rsidRPr="00FC6EB6">
        <w:rPr>
          <w:rFonts w:ascii="宋体" w:eastAsia="宋体" w:hAnsi="宋体" w:cs="宋体"/>
          <w:sz w:val="18"/>
          <w:szCs w:val="18"/>
        </w:rPr>
        <w:t>2020</w:t>
      </w:r>
      <w:r w:rsidRPr="00FC6EB6">
        <w:rPr>
          <w:rFonts w:ascii="宋体" w:eastAsia="宋体" w:hAnsi="宋体" w:cs="宋体" w:hint="eastAsia"/>
          <w:sz w:val="18"/>
          <w:szCs w:val="18"/>
        </w:rPr>
        <w:t>年</w:t>
      </w:r>
      <w:r w:rsidRPr="00FC6EB6">
        <w:rPr>
          <w:rFonts w:ascii="宋体" w:eastAsia="宋体" w:hAnsi="宋体" w:cs="宋体"/>
          <w:sz w:val="18"/>
          <w:szCs w:val="18"/>
        </w:rPr>
        <w:t>1</w:t>
      </w:r>
      <w:r w:rsidRPr="00FC6EB6">
        <w:rPr>
          <w:rFonts w:ascii="宋体" w:eastAsia="宋体" w:hAnsi="宋体" w:cs="宋体" w:hint="eastAsia"/>
          <w:sz w:val="18"/>
          <w:szCs w:val="18"/>
        </w:rPr>
        <w:t>月</w:t>
      </w:r>
      <w:r w:rsidRPr="00FC6EB6">
        <w:rPr>
          <w:rFonts w:ascii="宋体" w:eastAsia="宋体" w:hAnsi="宋体" w:cs="宋体"/>
          <w:sz w:val="18"/>
          <w:szCs w:val="18"/>
        </w:rPr>
        <w:t>20</w:t>
      </w:r>
      <w:r w:rsidRPr="00FC6EB6">
        <w:rPr>
          <w:rFonts w:ascii="宋体" w:eastAsia="宋体" w:hAnsi="宋体" w:cs="宋体" w:hint="eastAsia"/>
          <w:sz w:val="18"/>
          <w:szCs w:val="18"/>
        </w:rPr>
        <w:t>日起算，满</w:t>
      </w:r>
      <w:r w:rsidRPr="00FC6EB6">
        <w:rPr>
          <w:rFonts w:ascii="宋体" w:eastAsia="宋体" w:hAnsi="宋体" w:cs="宋体"/>
          <w:sz w:val="18"/>
          <w:szCs w:val="18"/>
        </w:rPr>
        <w:t>12</w:t>
      </w:r>
      <w:r w:rsidRPr="00FC6EB6">
        <w:rPr>
          <w:rFonts w:ascii="宋体" w:eastAsia="宋体" w:hAnsi="宋体" w:cs="宋体" w:hint="eastAsia"/>
          <w:sz w:val="18"/>
          <w:szCs w:val="18"/>
        </w:rPr>
        <w:t>个月、</w:t>
      </w:r>
      <w:r w:rsidRPr="00FC6EB6">
        <w:rPr>
          <w:rFonts w:ascii="宋体" w:eastAsia="宋体" w:hAnsi="宋体" w:cs="宋体"/>
          <w:sz w:val="18"/>
          <w:szCs w:val="18"/>
        </w:rPr>
        <w:t>24</w:t>
      </w:r>
      <w:r w:rsidRPr="00FC6EB6">
        <w:rPr>
          <w:rFonts w:ascii="宋体" w:eastAsia="宋体" w:hAnsi="宋体" w:cs="宋体" w:hint="eastAsia"/>
          <w:sz w:val="18"/>
          <w:szCs w:val="18"/>
        </w:rPr>
        <w:t>个月、</w:t>
      </w:r>
      <w:r w:rsidRPr="00FC6EB6">
        <w:rPr>
          <w:rFonts w:ascii="宋体" w:eastAsia="宋体" w:hAnsi="宋体" w:cs="宋体"/>
          <w:sz w:val="18"/>
          <w:szCs w:val="18"/>
        </w:rPr>
        <w:t>36</w:t>
      </w:r>
      <w:r w:rsidRPr="00FC6EB6">
        <w:rPr>
          <w:rFonts w:ascii="宋体" w:eastAsia="宋体" w:hAnsi="宋体" w:cs="宋体" w:hint="eastAsia"/>
          <w:sz w:val="18"/>
          <w:szCs w:val="18"/>
        </w:rPr>
        <w:t>个月，根据公司预测业绩设定分别解锁本次员工持股计划总数的</w:t>
      </w:r>
      <w:r w:rsidRPr="00FC6EB6">
        <w:rPr>
          <w:rFonts w:ascii="宋体" w:eastAsia="宋体" w:hAnsi="宋体" w:cs="宋体"/>
          <w:sz w:val="18"/>
          <w:szCs w:val="18"/>
        </w:rPr>
        <w:t>40%</w:t>
      </w:r>
      <w:r w:rsidRPr="00FC6EB6">
        <w:rPr>
          <w:rFonts w:ascii="宋体" w:eastAsia="宋体" w:hAnsi="宋体" w:cs="宋体" w:hint="eastAsia"/>
          <w:sz w:val="18"/>
          <w:szCs w:val="18"/>
        </w:rPr>
        <w:t>、</w:t>
      </w:r>
      <w:r w:rsidRPr="00FC6EB6">
        <w:rPr>
          <w:rFonts w:ascii="宋体" w:eastAsia="宋体" w:hAnsi="宋体" w:cs="宋体"/>
          <w:sz w:val="18"/>
          <w:szCs w:val="18"/>
        </w:rPr>
        <w:t>30%</w:t>
      </w:r>
      <w:r w:rsidRPr="00FC6EB6">
        <w:rPr>
          <w:rFonts w:ascii="宋体" w:eastAsia="宋体" w:hAnsi="宋体" w:cs="宋体" w:hint="eastAsia"/>
          <w:sz w:val="18"/>
          <w:szCs w:val="18"/>
        </w:rPr>
        <w:t>、</w:t>
      </w:r>
      <w:r w:rsidRPr="00FC6EB6">
        <w:rPr>
          <w:rFonts w:ascii="宋体" w:eastAsia="宋体" w:hAnsi="宋体" w:cs="宋体"/>
          <w:sz w:val="18"/>
          <w:szCs w:val="18"/>
        </w:rPr>
        <w:t>30%</w:t>
      </w:r>
      <w:r w:rsidRPr="00FC6EB6">
        <w:rPr>
          <w:rFonts w:ascii="宋体" w:eastAsia="宋体" w:hAnsi="宋体" w:cs="宋体" w:hint="eastAsia"/>
          <w:sz w:val="18"/>
          <w:szCs w:val="18"/>
        </w:rPr>
        <w:t>，锁定期最长</w:t>
      </w:r>
      <w:r w:rsidRPr="00FC6EB6">
        <w:rPr>
          <w:rFonts w:ascii="宋体" w:eastAsia="宋体" w:hAnsi="宋体" w:cs="宋体"/>
          <w:sz w:val="18"/>
          <w:szCs w:val="18"/>
        </w:rPr>
        <w:t>36</w:t>
      </w:r>
      <w:r w:rsidRPr="00FC6EB6">
        <w:rPr>
          <w:rFonts w:ascii="宋体" w:eastAsia="宋体" w:hAnsi="宋体" w:cs="宋体" w:hint="eastAsia"/>
          <w:sz w:val="18"/>
          <w:szCs w:val="18"/>
        </w:rPr>
        <w:t>个月。</w:t>
      </w:r>
    </w:p>
    <w:p w:rsidR="008D4B2E" w:rsidRPr="00FC6EB6" w:rsidRDefault="008D4B2E" w:rsidP="00AA53DA">
      <w:pPr>
        <w:ind w:firstLineChars="200" w:firstLine="360"/>
        <w:divId w:val="456333119"/>
        <w:rPr>
          <w:rFonts w:ascii="宋体" w:eastAsia="宋体" w:hAnsi="宋体" w:cs="宋体"/>
          <w:sz w:val="18"/>
          <w:szCs w:val="18"/>
        </w:rPr>
      </w:pPr>
      <w:r w:rsidRPr="00FC6EB6">
        <w:rPr>
          <w:rFonts w:ascii="宋体" w:eastAsia="宋体" w:hAnsi="宋体" w:cs="宋体"/>
          <w:sz w:val="18"/>
          <w:szCs w:val="18"/>
        </w:rPr>
        <w:t>2021</w:t>
      </w:r>
      <w:r w:rsidRPr="00FC6EB6">
        <w:rPr>
          <w:rFonts w:ascii="宋体" w:eastAsia="宋体" w:hAnsi="宋体" w:cs="宋体" w:hint="eastAsia"/>
          <w:sz w:val="18"/>
          <w:szCs w:val="18"/>
        </w:rPr>
        <w:t>年</w:t>
      </w:r>
      <w:r w:rsidRPr="00FC6EB6">
        <w:rPr>
          <w:rFonts w:ascii="宋体" w:eastAsia="宋体" w:hAnsi="宋体" w:cs="宋体"/>
          <w:sz w:val="18"/>
          <w:szCs w:val="18"/>
        </w:rPr>
        <w:t>1</w:t>
      </w:r>
      <w:r w:rsidRPr="00FC6EB6">
        <w:rPr>
          <w:rFonts w:ascii="宋体" w:eastAsia="宋体" w:hAnsi="宋体" w:cs="宋体" w:hint="eastAsia"/>
          <w:sz w:val="18"/>
          <w:szCs w:val="18"/>
        </w:rPr>
        <w:t>月</w:t>
      </w:r>
      <w:r w:rsidRPr="00FC6EB6">
        <w:rPr>
          <w:rFonts w:ascii="宋体" w:eastAsia="宋体" w:hAnsi="宋体" w:cs="宋体"/>
          <w:sz w:val="18"/>
          <w:szCs w:val="18"/>
        </w:rPr>
        <w:t>20</w:t>
      </w:r>
      <w:r w:rsidRPr="00FC6EB6">
        <w:rPr>
          <w:rFonts w:ascii="宋体" w:eastAsia="宋体" w:hAnsi="宋体" w:cs="宋体" w:hint="eastAsia"/>
          <w:sz w:val="18"/>
          <w:szCs w:val="18"/>
        </w:rPr>
        <w:t>日，公司的员工持股计划第一个锁定期届满，由其他资本公积转入资本溢价（股本溢价）</w:t>
      </w:r>
      <w:r w:rsidRPr="00FC6EB6">
        <w:rPr>
          <w:rFonts w:ascii="宋体" w:eastAsia="宋体" w:hAnsi="宋体" w:cs="宋体"/>
          <w:sz w:val="18"/>
          <w:szCs w:val="18"/>
        </w:rPr>
        <w:t>23,092,599.60</w:t>
      </w:r>
      <w:r w:rsidRPr="00FC6EB6">
        <w:rPr>
          <w:rFonts w:ascii="宋体" w:eastAsia="宋体" w:hAnsi="宋体" w:cs="宋体" w:hint="eastAsia"/>
          <w:sz w:val="18"/>
          <w:szCs w:val="18"/>
        </w:rPr>
        <w:t>元。</w:t>
      </w:r>
    </w:p>
    <w:p w:rsidR="008D4B2E" w:rsidRPr="00FC6EB6" w:rsidRDefault="008D4B2E" w:rsidP="00AA53DA">
      <w:pPr>
        <w:ind w:firstLineChars="200" w:firstLine="360"/>
        <w:divId w:val="456333119"/>
        <w:rPr>
          <w:rFonts w:ascii="宋体" w:eastAsia="宋体" w:hAnsi="宋体" w:cs="宋体"/>
          <w:sz w:val="18"/>
          <w:szCs w:val="18"/>
        </w:rPr>
      </w:pPr>
      <w:r w:rsidRPr="00FC6EB6">
        <w:rPr>
          <w:rFonts w:ascii="宋体" w:eastAsia="宋体" w:hAnsi="宋体" w:cs="宋体"/>
          <w:sz w:val="18"/>
          <w:szCs w:val="18"/>
        </w:rPr>
        <w:t>2022</w:t>
      </w:r>
      <w:r w:rsidRPr="00FC6EB6">
        <w:rPr>
          <w:rFonts w:ascii="宋体" w:eastAsia="宋体" w:hAnsi="宋体" w:cs="宋体" w:hint="eastAsia"/>
          <w:sz w:val="18"/>
          <w:szCs w:val="18"/>
        </w:rPr>
        <w:t>年</w:t>
      </w:r>
      <w:r w:rsidRPr="00FC6EB6">
        <w:rPr>
          <w:rFonts w:ascii="宋体" w:eastAsia="宋体" w:hAnsi="宋体" w:cs="宋体"/>
          <w:sz w:val="18"/>
          <w:szCs w:val="18"/>
        </w:rPr>
        <w:t>1</w:t>
      </w:r>
      <w:r w:rsidRPr="00FC6EB6">
        <w:rPr>
          <w:rFonts w:ascii="宋体" w:eastAsia="宋体" w:hAnsi="宋体" w:cs="宋体" w:hint="eastAsia"/>
          <w:sz w:val="18"/>
          <w:szCs w:val="18"/>
        </w:rPr>
        <w:t>月</w:t>
      </w:r>
      <w:r w:rsidRPr="00FC6EB6">
        <w:rPr>
          <w:rFonts w:ascii="宋体" w:eastAsia="宋体" w:hAnsi="宋体" w:cs="宋体"/>
          <w:sz w:val="18"/>
          <w:szCs w:val="18"/>
        </w:rPr>
        <w:t>20</w:t>
      </w:r>
      <w:r w:rsidRPr="00FC6EB6">
        <w:rPr>
          <w:rFonts w:ascii="宋体" w:eastAsia="宋体" w:hAnsi="宋体" w:cs="宋体" w:hint="eastAsia"/>
          <w:sz w:val="18"/>
          <w:szCs w:val="18"/>
        </w:rPr>
        <w:t>日，公司的员工持股计划第二个锁定期届满，由其他资本公积转入资本溢价（股本溢价）</w:t>
      </w:r>
      <w:r w:rsidRPr="00FC6EB6">
        <w:rPr>
          <w:rFonts w:ascii="宋体" w:eastAsia="宋体" w:hAnsi="宋体" w:cs="宋体"/>
          <w:sz w:val="18"/>
          <w:szCs w:val="18"/>
        </w:rPr>
        <w:t>17,319,449.70</w:t>
      </w:r>
      <w:r w:rsidRPr="00FC6EB6">
        <w:rPr>
          <w:rFonts w:ascii="宋体" w:eastAsia="宋体" w:hAnsi="宋体" w:cs="宋体" w:hint="eastAsia"/>
          <w:sz w:val="18"/>
          <w:szCs w:val="18"/>
        </w:rPr>
        <w:t>元。</w:t>
      </w:r>
    </w:p>
    <w:p w:rsidR="008D4B2E" w:rsidRPr="00FC6EB6" w:rsidRDefault="008D4B2E" w:rsidP="00AA53DA">
      <w:pPr>
        <w:ind w:firstLineChars="200" w:firstLine="360"/>
        <w:divId w:val="456333119"/>
        <w:rPr>
          <w:rFonts w:ascii="宋体" w:eastAsia="宋体" w:hAnsi="宋体" w:cs="宋体"/>
          <w:sz w:val="18"/>
          <w:szCs w:val="18"/>
        </w:rPr>
      </w:pPr>
      <w:r w:rsidRPr="00FC6EB6">
        <w:rPr>
          <w:rFonts w:ascii="宋体" w:eastAsia="宋体" w:hAnsi="宋体" w:cs="宋体"/>
          <w:sz w:val="18"/>
          <w:szCs w:val="18"/>
        </w:rPr>
        <w:t>2023</w:t>
      </w:r>
      <w:r w:rsidRPr="00FC6EB6">
        <w:rPr>
          <w:rFonts w:ascii="宋体" w:eastAsia="宋体" w:hAnsi="宋体" w:cs="宋体" w:hint="eastAsia"/>
          <w:sz w:val="18"/>
          <w:szCs w:val="18"/>
        </w:rPr>
        <w:t>年</w:t>
      </w:r>
      <w:r w:rsidRPr="00FC6EB6">
        <w:rPr>
          <w:rFonts w:ascii="宋体" w:eastAsia="宋体" w:hAnsi="宋体" w:cs="宋体"/>
          <w:sz w:val="18"/>
          <w:szCs w:val="18"/>
        </w:rPr>
        <w:t>1</w:t>
      </w:r>
      <w:r w:rsidRPr="00FC6EB6">
        <w:rPr>
          <w:rFonts w:ascii="宋体" w:eastAsia="宋体" w:hAnsi="宋体" w:cs="宋体" w:hint="eastAsia"/>
          <w:sz w:val="18"/>
          <w:szCs w:val="18"/>
        </w:rPr>
        <w:t>月</w:t>
      </w:r>
      <w:r w:rsidRPr="00FC6EB6">
        <w:rPr>
          <w:rFonts w:ascii="宋体" w:eastAsia="宋体" w:hAnsi="宋体" w:cs="宋体"/>
          <w:sz w:val="18"/>
          <w:szCs w:val="18"/>
        </w:rPr>
        <w:t>19</w:t>
      </w:r>
      <w:r w:rsidRPr="00FC6EB6">
        <w:rPr>
          <w:rFonts w:ascii="宋体" w:eastAsia="宋体" w:hAnsi="宋体" w:cs="宋体" w:hint="eastAsia"/>
          <w:sz w:val="18"/>
          <w:szCs w:val="18"/>
        </w:rPr>
        <w:t>日，公司的员工持股计划第三个锁定期届满，由其他资本公积转入资本溢价（股本溢价）</w:t>
      </w:r>
      <w:r w:rsidRPr="00FC6EB6">
        <w:rPr>
          <w:rFonts w:ascii="宋体" w:eastAsia="宋体" w:hAnsi="宋体" w:cs="宋体"/>
          <w:sz w:val="18"/>
          <w:szCs w:val="18"/>
        </w:rPr>
        <w:t>17,319,449.64</w:t>
      </w:r>
      <w:r w:rsidRPr="00FC6EB6">
        <w:rPr>
          <w:rFonts w:ascii="宋体" w:eastAsia="宋体" w:hAnsi="宋体" w:cs="宋体" w:hint="eastAsia"/>
          <w:sz w:val="18"/>
          <w:szCs w:val="18"/>
        </w:rPr>
        <w:t>元。</w:t>
      </w:r>
    </w:p>
    <w:p w:rsidR="008D4B2E" w:rsidRPr="00FC6EB6" w:rsidRDefault="008D4B2E" w:rsidP="00AA53DA">
      <w:pPr>
        <w:ind w:firstLineChars="200" w:firstLine="360"/>
        <w:divId w:val="456333119"/>
        <w:rPr>
          <w:rFonts w:ascii="宋体" w:eastAsia="宋体" w:hAnsi="宋体" w:cs="宋体"/>
          <w:sz w:val="18"/>
          <w:szCs w:val="18"/>
        </w:rPr>
      </w:pPr>
      <w:r w:rsidRPr="00FC6EB6">
        <w:rPr>
          <w:rFonts w:ascii="宋体" w:eastAsia="宋体" w:hAnsi="宋体" w:cs="宋体" w:hint="eastAsia"/>
          <w:sz w:val="18"/>
          <w:szCs w:val="18"/>
        </w:rPr>
        <w:t>②公司于</w:t>
      </w:r>
      <w:r w:rsidRPr="00FC6EB6">
        <w:rPr>
          <w:rFonts w:ascii="宋体" w:eastAsia="宋体" w:hAnsi="宋体" w:cs="宋体"/>
          <w:sz w:val="18"/>
          <w:szCs w:val="18"/>
        </w:rPr>
        <w:t>2021</w:t>
      </w:r>
      <w:r w:rsidRPr="00FC6EB6">
        <w:rPr>
          <w:rFonts w:ascii="宋体" w:eastAsia="宋体" w:hAnsi="宋体" w:cs="宋体" w:hint="eastAsia"/>
          <w:sz w:val="18"/>
          <w:szCs w:val="18"/>
        </w:rPr>
        <w:t>年</w:t>
      </w:r>
      <w:r w:rsidRPr="00FC6EB6">
        <w:rPr>
          <w:rFonts w:ascii="宋体" w:eastAsia="宋体" w:hAnsi="宋体" w:cs="宋体"/>
          <w:sz w:val="18"/>
          <w:szCs w:val="18"/>
        </w:rPr>
        <w:t>10</w:t>
      </w:r>
      <w:r w:rsidRPr="00FC6EB6">
        <w:rPr>
          <w:rFonts w:ascii="宋体" w:eastAsia="宋体" w:hAnsi="宋体" w:cs="宋体" w:hint="eastAsia"/>
          <w:sz w:val="18"/>
          <w:szCs w:val="18"/>
        </w:rPr>
        <w:t>月</w:t>
      </w:r>
      <w:r w:rsidRPr="00FC6EB6">
        <w:rPr>
          <w:rFonts w:ascii="宋体" w:eastAsia="宋体" w:hAnsi="宋体" w:cs="宋体"/>
          <w:sz w:val="18"/>
          <w:szCs w:val="18"/>
        </w:rPr>
        <w:t>22</w:t>
      </w:r>
      <w:r w:rsidRPr="00FC6EB6">
        <w:rPr>
          <w:rFonts w:ascii="宋体" w:eastAsia="宋体" w:hAnsi="宋体" w:cs="宋体" w:hint="eastAsia"/>
          <w:sz w:val="18"/>
          <w:szCs w:val="18"/>
        </w:rPr>
        <w:t>日召开第七届董事会第十八次会议、第七届监事会第十六次会议，审议通过了《关于向激励对象授予限制性股票的议案》，确定对官</w:t>
      </w:r>
      <w:proofErr w:type="gramStart"/>
      <w:r w:rsidRPr="00FC6EB6">
        <w:rPr>
          <w:rFonts w:ascii="宋体" w:eastAsia="宋体" w:hAnsi="宋体" w:cs="宋体" w:hint="eastAsia"/>
          <w:sz w:val="18"/>
          <w:szCs w:val="18"/>
        </w:rPr>
        <w:t>炳</w:t>
      </w:r>
      <w:proofErr w:type="gramEnd"/>
      <w:r w:rsidRPr="00FC6EB6">
        <w:rPr>
          <w:rFonts w:ascii="宋体" w:eastAsia="宋体" w:hAnsi="宋体" w:cs="宋体" w:hint="eastAsia"/>
          <w:sz w:val="18"/>
          <w:szCs w:val="18"/>
        </w:rPr>
        <w:t>政、杨慧丽、张垚等</w:t>
      </w:r>
      <w:r w:rsidRPr="00FC6EB6">
        <w:rPr>
          <w:rFonts w:ascii="宋体" w:eastAsia="宋体" w:hAnsi="宋体" w:cs="宋体"/>
          <w:sz w:val="18"/>
          <w:szCs w:val="18"/>
        </w:rPr>
        <w:t>20</w:t>
      </w:r>
      <w:r w:rsidRPr="00FC6EB6">
        <w:rPr>
          <w:rFonts w:ascii="宋体" w:eastAsia="宋体" w:hAnsi="宋体" w:cs="宋体" w:hint="eastAsia"/>
          <w:sz w:val="18"/>
          <w:szCs w:val="18"/>
        </w:rPr>
        <w:t>名参加对象授予</w:t>
      </w:r>
      <w:r w:rsidRPr="00FC6EB6">
        <w:rPr>
          <w:rFonts w:ascii="宋体" w:eastAsia="宋体" w:hAnsi="宋体" w:cs="宋体"/>
          <w:sz w:val="18"/>
          <w:szCs w:val="18"/>
        </w:rPr>
        <w:t>1,960</w:t>
      </w:r>
      <w:r w:rsidRPr="00FC6EB6">
        <w:rPr>
          <w:rFonts w:ascii="宋体" w:eastAsia="宋体" w:hAnsi="宋体" w:cs="宋体" w:hint="eastAsia"/>
          <w:sz w:val="18"/>
          <w:szCs w:val="18"/>
        </w:rPr>
        <w:t>万股限制性股票，本次实际</w:t>
      </w:r>
      <w:r w:rsidRPr="00FC6EB6">
        <w:rPr>
          <w:rFonts w:ascii="宋体" w:eastAsia="宋体" w:hAnsi="宋体" w:cs="宋体"/>
          <w:sz w:val="18"/>
          <w:szCs w:val="18"/>
        </w:rPr>
        <w:t>20</w:t>
      </w:r>
      <w:r w:rsidRPr="00FC6EB6">
        <w:rPr>
          <w:rFonts w:ascii="宋体" w:eastAsia="宋体" w:hAnsi="宋体" w:cs="宋体" w:hint="eastAsia"/>
          <w:sz w:val="18"/>
          <w:szCs w:val="18"/>
        </w:rPr>
        <w:t>名参加对象认购</w:t>
      </w:r>
      <w:r w:rsidRPr="00FC6EB6">
        <w:rPr>
          <w:rFonts w:ascii="宋体" w:eastAsia="宋体" w:hAnsi="宋体" w:cs="宋体"/>
          <w:sz w:val="18"/>
          <w:szCs w:val="18"/>
        </w:rPr>
        <w:t>19,600,000</w:t>
      </w:r>
      <w:r w:rsidRPr="00FC6EB6">
        <w:rPr>
          <w:rFonts w:ascii="宋体" w:eastAsia="宋体" w:hAnsi="宋体" w:cs="宋体" w:hint="eastAsia"/>
          <w:sz w:val="18"/>
          <w:szCs w:val="18"/>
        </w:rPr>
        <w:t>股限制性股票，股票面值</w:t>
      </w:r>
      <w:r w:rsidRPr="00FC6EB6">
        <w:rPr>
          <w:rFonts w:ascii="宋体" w:eastAsia="宋体" w:hAnsi="宋体" w:cs="宋体"/>
          <w:sz w:val="18"/>
          <w:szCs w:val="18"/>
        </w:rPr>
        <w:t>1</w:t>
      </w:r>
      <w:r w:rsidRPr="00FC6EB6">
        <w:rPr>
          <w:rFonts w:ascii="宋体" w:eastAsia="宋体" w:hAnsi="宋体" w:cs="宋体" w:hint="eastAsia"/>
          <w:sz w:val="18"/>
          <w:szCs w:val="18"/>
        </w:rPr>
        <w:t>元，认购价格为</w:t>
      </w:r>
      <w:r w:rsidRPr="00FC6EB6">
        <w:rPr>
          <w:rFonts w:ascii="宋体" w:eastAsia="宋体" w:hAnsi="宋体" w:cs="宋体"/>
          <w:sz w:val="18"/>
          <w:szCs w:val="18"/>
        </w:rPr>
        <w:t>2.55</w:t>
      </w:r>
      <w:r w:rsidRPr="00FC6EB6">
        <w:rPr>
          <w:rFonts w:ascii="宋体" w:eastAsia="宋体" w:hAnsi="宋体" w:cs="宋体" w:hint="eastAsia"/>
          <w:sz w:val="18"/>
          <w:szCs w:val="18"/>
        </w:rPr>
        <w:t>元</w:t>
      </w:r>
      <w:r w:rsidRPr="00FC6EB6">
        <w:rPr>
          <w:rFonts w:ascii="宋体" w:eastAsia="宋体" w:hAnsi="宋体" w:cs="宋体"/>
          <w:sz w:val="18"/>
          <w:szCs w:val="18"/>
        </w:rPr>
        <w:t>/</w:t>
      </w:r>
      <w:r w:rsidRPr="00FC6EB6">
        <w:rPr>
          <w:rFonts w:ascii="宋体" w:eastAsia="宋体" w:hAnsi="宋体" w:cs="宋体" w:hint="eastAsia"/>
          <w:sz w:val="18"/>
          <w:szCs w:val="18"/>
        </w:rPr>
        <w:t>股，认缴股款人民币</w:t>
      </w:r>
      <w:r w:rsidRPr="00FC6EB6">
        <w:rPr>
          <w:rFonts w:ascii="宋体" w:eastAsia="宋体" w:hAnsi="宋体" w:cs="宋体"/>
          <w:sz w:val="18"/>
          <w:szCs w:val="18"/>
        </w:rPr>
        <w:t>49,980,000.00</w:t>
      </w:r>
      <w:r w:rsidRPr="00FC6EB6">
        <w:rPr>
          <w:rFonts w:ascii="宋体" w:eastAsia="宋体" w:hAnsi="宋体" w:cs="宋体" w:hint="eastAsia"/>
          <w:sz w:val="18"/>
          <w:szCs w:val="18"/>
        </w:rPr>
        <w:t>元，资本溢价（股本溢价）增加额为</w:t>
      </w:r>
      <w:r w:rsidRPr="00FC6EB6">
        <w:rPr>
          <w:rFonts w:ascii="宋体" w:eastAsia="宋体" w:hAnsi="宋体" w:cs="宋体"/>
          <w:sz w:val="18"/>
          <w:szCs w:val="18"/>
        </w:rPr>
        <w:t>30,380,000.00</w:t>
      </w:r>
      <w:r w:rsidRPr="00FC6EB6">
        <w:rPr>
          <w:rFonts w:ascii="宋体" w:eastAsia="宋体" w:hAnsi="宋体" w:cs="宋体" w:hint="eastAsia"/>
          <w:sz w:val="18"/>
          <w:szCs w:val="18"/>
        </w:rPr>
        <w:t>元，本期该笔以权益结算的股份支付确认的费用总额</w:t>
      </w:r>
      <w:r w:rsidRPr="00FC6EB6">
        <w:rPr>
          <w:rFonts w:ascii="宋体" w:eastAsia="宋体" w:hAnsi="宋体" w:cs="宋体"/>
          <w:sz w:val="18"/>
          <w:szCs w:val="18"/>
        </w:rPr>
        <w:t>23,448,950.04</w:t>
      </w:r>
      <w:r w:rsidRPr="00FC6EB6">
        <w:rPr>
          <w:rFonts w:ascii="宋体" w:eastAsia="宋体" w:hAnsi="宋体" w:cs="宋体" w:hint="eastAsia"/>
          <w:sz w:val="18"/>
          <w:szCs w:val="18"/>
        </w:rPr>
        <w:t>元。</w:t>
      </w:r>
    </w:p>
    <w:p w:rsidR="008D4B2E" w:rsidRPr="00FC6EB6" w:rsidRDefault="008D4B2E" w:rsidP="00AA53DA">
      <w:pPr>
        <w:ind w:firstLineChars="200" w:firstLine="360"/>
        <w:divId w:val="456333119"/>
        <w:rPr>
          <w:rFonts w:ascii="宋体" w:eastAsia="宋体" w:hAnsi="宋体" w:cs="宋体"/>
          <w:sz w:val="18"/>
          <w:szCs w:val="18"/>
        </w:rPr>
      </w:pPr>
      <w:r w:rsidRPr="00FC6EB6">
        <w:rPr>
          <w:rFonts w:ascii="宋体" w:eastAsia="宋体" w:hAnsi="宋体" w:cs="宋体"/>
          <w:sz w:val="18"/>
          <w:szCs w:val="18"/>
        </w:rPr>
        <w:t>2022</w:t>
      </w:r>
      <w:r w:rsidRPr="00FC6EB6">
        <w:rPr>
          <w:rFonts w:ascii="宋体" w:eastAsia="宋体" w:hAnsi="宋体" w:cs="宋体" w:hint="eastAsia"/>
          <w:sz w:val="18"/>
          <w:szCs w:val="18"/>
        </w:rPr>
        <w:t>年</w:t>
      </w:r>
      <w:r w:rsidRPr="00FC6EB6">
        <w:rPr>
          <w:rFonts w:ascii="宋体" w:eastAsia="宋体" w:hAnsi="宋体" w:cs="宋体"/>
          <w:sz w:val="18"/>
          <w:szCs w:val="18"/>
        </w:rPr>
        <w:t>11</w:t>
      </w:r>
      <w:r w:rsidRPr="00FC6EB6">
        <w:rPr>
          <w:rFonts w:ascii="宋体" w:eastAsia="宋体" w:hAnsi="宋体" w:cs="宋体" w:hint="eastAsia"/>
          <w:sz w:val="18"/>
          <w:szCs w:val="18"/>
        </w:rPr>
        <w:t>月</w:t>
      </w:r>
      <w:r w:rsidRPr="00FC6EB6">
        <w:rPr>
          <w:rFonts w:ascii="宋体" w:eastAsia="宋体" w:hAnsi="宋体" w:cs="宋体"/>
          <w:sz w:val="18"/>
          <w:szCs w:val="18"/>
        </w:rPr>
        <w:t>17</w:t>
      </w:r>
      <w:r w:rsidRPr="00FC6EB6">
        <w:rPr>
          <w:rFonts w:ascii="宋体" w:eastAsia="宋体" w:hAnsi="宋体" w:cs="宋体" w:hint="eastAsia"/>
          <w:sz w:val="18"/>
          <w:szCs w:val="18"/>
        </w:rPr>
        <w:t>日，公司的</w:t>
      </w:r>
      <w:r w:rsidRPr="00FC6EB6">
        <w:rPr>
          <w:rFonts w:ascii="宋体" w:eastAsia="宋体" w:hAnsi="宋体" w:cs="宋体"/>
          <w:sz w:val="18"/>
          <w:szCs w:val="18"/>
        </w:rPr>
        <w:t>2021</w:t>
      </w:r>
      <w:r w:rsidRPr="00FC6EB6">
        <w:rPr>
          <w:rFonts w:ascii="宋体" w:eastAsia="宋体" w:hAnsi="宋体" w:cs="宋体" w:hint="eastAsia"/>
          <w:sz w:val="18"/>
          <w:szCs w:val="18"/>
        </w:rPr>
        <w:t>年限制性股票激励计划第一个锁定期届满，由其他资本公积转入资本溢价（股本溢价）</w:t>
      </w:r>
      <w:r w:rsidRPr="00FC6EB6">
        <w:rPr>
          <w:rFonts w:ascii="宋体" w:eastAsia="宋体" w:hAnsi="宋体" w:cs="宋体"/>
          <w:sz w:val="18"/>
          <w:szCs w:val="18"/>
        </w:rPr>
        <w:t>44,139,200.00</w:t>
      </w:r>
      <w:r w:rsidRPr="00FC6EB6">
        <w:rPr>
          <w:rFonts w:ascii="宋体" w:eastAsia="宋体" w:hAnsi="宋体" w:cs="宋体" w:hint="eastAsia"/>
          <w:sz w:val="18"/>
          <w:szCs w:val="18"/>
        </w:rPr>
        <w:t>元。</w:t>
      </w:r>
    </w:p>
    <w:p w:rsidR="008D4B2E" w:rsidRPr="00FC6EB6" w:rsidRDefault="008D4B2E" w:rsidP="00AA53DA">
      <w:pPr>
        <w:ind w:firstLineChars="200" w:firstLine="360"/>
        <w:divId w:val="456333119"/>
        <w:rPr>
          <w:rFonts w:ascii="宋体" w:eastAsia="宋体" w:hAnsi="宋体" w:cs="宋体"/>
          <w:sz w:val="18"/>
          <w:szCs w:val="18"/>
        </w:rPr>
      </w:pPr>
      <w:r w:rsidRPr="00FC6EB6">
        <w:rPr>
          <w:rFonts w:ascii="宋体" w:eastAsia="宋体" w:hAnsi="宋体" w:cs="宋体"/>
          <w:sz w:val="18"/>
          <w:szCs w:val="18"/>
        </w:rPr>
        <w:t>2023</w:t>
      </w:r>
      <w:r w:rsidRPr="00FC6EB6">
        <w:rPr>
          <w:rFonts w:ascii="宋体" w:eastAsia="宋体" w:hAnsi="宋体" w:cs="宋体" w:hint="eastAsia"/>
          <w:sz w:val="18"/>
          <w:szCs w:val="18"/>
        </w:rPr>
        <w:t>年</w:t>
      </w:r>
      <w:r w:rsidRPr="00FC6EB6">
        <w:rPr>
          <w:rFonts w:ascii="宋体" w:eastAsia="宋体" w:hAnsi="宋体" w:cs="宋体"/>
          <w:sz w:val="18"/>
          <w:szCs w:val="18"/>
        </w:rPr>
        <w:t>10</w:t>
      </w:r>
      <w:r w:rsidRPr="00FC6EB6">
        <w:rPr>
          <w:rFonts w:ascii="宋体" w:eastAsia="宋体" w:hAnsi="宋体" w:cs="宋体" w:hint="eastAsia"/>
          <w:sz w:val="18"/>
          <w:szCs w:val="18"/>
        </w:rPr>
        <w:t>月</w:t>
      </w:r>
      <w:r w:rsidRPr="00FC6EB6">
        <w:rPr>
          <w:rFonts w:ascii="宋体" w:eastAsia="宋体" w:hAnsi="宋体" w:cs="宋体"/>
          <w:sz w:val="18"/>
          <w:szCs w:val="18"/>
        </w:rPr>
        <w:t>24</w:t>
      </w:r>
      <w:r w:rsidRPr="00FC6EB6">
        <w:rPr>
          <w:rFonts w:ascii="宋体" w:eastAsia="宋体" w:hAnsi="宋体" w:cs="宋体" w:hint="eastAsia"/>
          <w:sz w:val="18"/>
          <w:szCs w:val="18"/>
        </w:rPr>
        <w:t>日，公司的</w:t>
      </w:r>
      <w:r w:rsidRPr="00FC6EB6">
        <w:rPr>
          <w:rFonts w:ascii="宋体" w:eastAsia="宋体" w:hAnsi="宋体" w:cs="宋体"/>
          <w:sz w:val="18"/>
          <w:szCs w:val="18"/>
        </w:rPr>
        <w:t>2021</w:t>
      </w:r>
      <w:r w:rsidRPr="00FC6EB6">
        <w:rPr>
          <w:rFonts w:ascii="宋体" w:eastAsia="宋体" w:hAnsi="宋体" w:cs="宋体" w:hint="eastAsia"/>
          <w:sz w:val="18"/>
          <w:szCs w:val="18"/>
        </w:rPr>
        <w:t>年限制性股票激励计划第二个锁定期届满，由其他资本公积转入资本溢价（股本溢价）</w:t>
      </w:r>
      <w:r w:rsidRPr="00FC6EB6">
        <w:rPr>
          <w:rFonts w:ascii="宋体" w:eastAsia="宋体" w:hAnsi="宋体" w:cs="宋体"/>
          <w:sz w:val="18"/>
          <w:szCs w:val="18"/>
        </w:rPr>
        <w:t>33,104,400.00</w:t>
      </w:r>
      <w:r w:rsidRPr="00FC6EB6">
        <w:rPr>
          <w:rFonts w:ascii="宋体" w:eastAsia="宋体" w:hAnsi="宋体" w:cs="宋体" w:hint="eastAsia"/>
          <w:sz w:val="18"/>
          <w:szCs w:val="18"/>
        </w:rPr>
        <w:t>元。</w:t>
      </w:r>
    </w:p>
    <w:p w:rsidR="008D4B2E" w:rsidRPr="00FC6EB6" w:rsidRDefault="008D4B2E" w:rsidP="00AA53DA">
      <w:pPr>
        <w:ind w:firstLineChars="200" w:firstLine="360"/>
        <w:divId w:val="456333119"/>
        <w:rPr>
          <w:rFonts w:ascii="宋体" w:eastAsia="宋体" w:hAnsi="宋体" w:cs="宋体"/>
          <w:sz w:val="18"/>
          <w:szCs w:val="18"/>
        </w:rPr>
      </w:pPr>
      <w:r w:rsidRPr="00FC6EB6">
        <w:rPr>
          <w:rFonts w:ascii="宋体" w:eastAsia="宋体" w:hAnsi="宋体" w:cs="宋体" w:hint="eastAsia"/>
          <w:sz w:val="18"/>
          <w:szCs w:val="18"/>
        </w:rPr>
        <w:t>③公司于</w:t>
      </w:r>
      <w:r w:rsidRPr="00FC6EB6">
        <w:rPr>
          <w:rFonts w:ascii="宋体" w:eastAsia="宋体" w:hAnsi="宋体" w:cs="宋体"/>
          <w:sz w:val="18"/>
          <w:szCs w:val="18"/>
        </w:rPr>
        <w:t>2022</w:t>
      </w:r>
      <w:r w:rsidRPr="00FC6EB6">
        <w:rPr>
          <w:rFonts w:ascii="宋体" w:eastAsia="宋体" w:hAnsi="宋体" w:cs="宋体" w:hint="eastAsia"/>
          <w:sz w:val="18"/>
          <w:szCs w:val="18"/>
        </w:rPr>
        <w:t>年</w:t>
      </w:r>
      <w:r w:rsidRPr="00FC6EB6">
        <w:rPr>
          <w:rFonts w:ascii="宋体" w:eastAsia="宋体" w:hAnsi="宋体" w:cs="宋体"/>
          <w:sz w:val="18"/>
          <w:szCs w:val="18"/>
        </w:rPr>
        <w:t>8</w:t>
      </w:r>
      <w:r w:rsidRPr="00FC6EB6">
        <w:rPr>
          <w:rFonts w:ascii="宋体" w:eastAsia="宋体" w:hAnsi="宋体" w:cs="宋体" w:hint="eastAsia"/>
          <w:sz w:val="18"/>
          <w:szCs w:val="18"/>
        </w:rPr>
        <w:t>月</w:t>
      </w:r>
      <w:r w:rsidRPr="00FC6EB6">
        <w:rPr>
          <w:rFonts w:ascii="宋体" w:eastAsia="宋体" w:hAnsi="宋体" w:cs="宋体"/>
          <w:sz w:val="18"/>
          <w:szCs w:val="18"/>
        </w:rPr>
        <w:t>22</w:t>
      </w:r>
      <w:r w:rsidRPr="00FC6EB6">
        <w:rPr>
          <w:rFonts w:ascii="宋体" w:eastAsia="宋体" w:hAnsi="宋体" w:cs="宋体" w:hint="eastAsia"/>
          <w:sz w:val="18"/>
          <w:szCs w:val="18"/>
        </w:rPr>
        <w:t>日召开</w:t>
      </w:r>
      <w:r w:rsidRPr="00FC6EB6">
        <w:rPr>
          <w:rFonts w:ascii="宋体" w:eastAsia="宋体" w:hAnsi="宋体" w:cs="宋体"/>
          <w:sz w:val="18"/>
          <w:szCs w:val="18"/>
        </w:rPr>
        <w:t>2022</w:t>
      </w:r>
      <w:r w:rsidRPr="00FC6EB6">
        <w:rPr>
          <w:rFonts w:ascii="宋体" w:eastAsia="宋体" w:hAnsi="宋体" w:cs="宋体" w:hint="eastAsia"/>
          <w:sz w:val="18"/>
          <w:szCs w:val="18"/>
        </w:rPr>
        <w:t>年第一次临时股东大会审议通过了《关于</w:t>
      </w:r>
      <w:r w:rsidRPr="00FC6EB6">
        <w:rPr>
          <w:rFonts w:ascii="宋体" w:eastAsia="宋体" w:hAnsi="宋体" w:cs="宋体"/>
          <w:sz w:val="18"/>
          <w:szCs w:val="18"/>
        </w:rPr>
        <w:t>〈</w:t>
      </w:r>
      <w:r w:rsidRPr="00FC6EB6">
        <w:rPr>
          <w:rFonts w:ascii="宋体" w:eastAsia="宋体" w:hAnsi="宋体" w:cs="宋体" w:hint="eastAsia"/>
          <w:sz w:val="18"/>
          <w:szCs w:val="18"/>
        </w:rPr>
        <w:t>软控股份有限公司</w:t>
      </w:r>
      <w:r w:rsidRPr="00FC6EB6">
        <w:rPr>
          <w:rFonts w:ascii="宋体" w:eastAsia="宋体" w:hAnsi="宋体" w:cs="宋体"/>
          <w:sz w:val="18"/>
          <w:szCs w:val="18"/>
        </w:rPr>
        <w:t>2022</w:t>
      </w:r>
      <w:r w:rsidRPr="00FC6EB6">
        <w:rPr>
          <w:rFonts w:ascii="宋体" w:eastAsia="宋体" w:hAnsi="宋体" w:cs="宋体" w:hint="eastAsia"/>
          <w:sz w:val="18"/>
          <w:szCs w:val="18"/>
        </w:rPr>
        <w:t>年股票期权与限制性股票激励计划（草案）</w:t>
      </w:r>
      <w:r w:rsidRPr="00FC6EB6">
        <w:rPr>
          <w:rFonts w:ascii="宋体" w:eastAsia="宋体" w:hAnsi="宋体" w:cs="宋体"/>
          <w:sz w:val="18"/>
          <w:szCs w:val="18"/>
        </w:rPr>
        <w:t>〉</w:t>
      </w:r>
      <w:r w:rsidRPr="00FC6EB6">
        <w:rPr>
          <w:rFonts w:ascii="宋体" w:eastAsia="宋体" w:hAnsi="宋体" w:cs="宋体" w:hint="eastAsia"/>
          <w:sz w:val="18"/>
          <w:szCs w:val="18"/>
        </w:rPr>
        <w:t>及其摘要的议案》、《关于</w:t>
      </w:r>
      <w:r w:rsidRPr="00FC6EB6">
        <w:rPr>
          <w:rFonts w:ascii="宋体" w:eastAsia="宋体" w:hAnsi="宋体" w:cs="宋体"/>
          <w:sz w:val="18"/>
          <w:szCs w:val="18"/>
        </w:rPr>
        <w:t>〈</w:t>
      </w:r>
      <w:r w:rsidRPr="00FC6EB6">
        <w:rPr>
          <w:rFonts w:ascii="宋体" w:eastAsia="宋体" w:hAnsi="宋体" w:cs="宋体" w:hint="eastAsia"/>
          <w:sz w:val="18"/>
          <w:szCs w:val="18"/>
        </w:rPr>
        <w:t>软控股份有限公司</w:t>
      </w:r>
      <w:r w:rsidRPr="00FC6EB6">
        <w:rPr>
          <w:rFonts w:ascii="宋体" w:eastAsia="宋体" w:hAnsi="宋体" w:cs="宋体"/>
          <w:sz w:val="18"/>
          <w:szCs w:val="18"/>
        </w:rPr>
        <w:t>2022</w:t>
      </w:r>
      <w:r w:rsidRPr="00FC6EB6">
        <w:rPr>
          <w:rFonts w:ascii="宋体" w:eastAsia="宋体" w:hAnsi="宋体" w:cs="宋体" w:hint="eastAsia"/>
          <w:sz w:val="18"/>
          <w:szCs w:val="18"/>
        </w:rPr>
        <w:t>年股票期权与限制性股票激励计划实施考核管理办法</w:t>
      </w:r>
      <w:r w:rsidRPr="00FC6EB6">
        <w:rPr>
          <w:rFonts w:ascii="宋体" w:eastAsia="宋体" w:hAnsi="宋体" w:cs="宋体"/>
          <w:sz w:val="18"/>
          <w:szCs w:val="18"/>
        </w:rPr>
        <w:t>〉</w:t>
      </w:r>
      <w:r w:rsidRPr="00FC6EB6">
        <w:rPr>
          <w:rFonts w:ascii="宋体" w:eastAsia="宋体" w:hAnsi="宋体" w:cs="宋体" w:hint="eastAsia"/>
          <w:sz w:val="18"/>
          <w:szCs w:val="18"/>
        </w:rPr>
        <w:t>的议案》、《关于提请股东大会授权董事会办理股权激励相关事宜的议案》等与本次激励计划相关的议案。</w:t>
      </w:r>
      <w:r w:rsidRPr="00FC6EB6">
        <w:rPr>
          <w:rFonts w:ascii="宋体" w:eastAsia="宋体" w:hAnsi="宋体" w:cs="宋体"/>
          <w:sz w:val="18"/>
          <w:szCs w:val="18"/>
        </w:rPr>
        <w:t>2022</w:t>
      </w:r>
      <w:r w:rsidRPr="00FC6EB6">
        <w:rPr>
          <w:rFonts w:ascii="宋体" w:eastAsia="宋体" w:hAnsi="宋体" w:cs="宋体" w:hint="eastAsia"/>
          <w:sz w:val="18"/>
          <w:szCs w:val="18"/>
        </w:rPr>
        <w:t>年</w:t>
      </w:r>
      <w:r w:rsidRPr="00FC6EB6">
        <w:rPr>
          <w:rFonts w:ascii="宋体" w:eastAsia="宋体" w:hAnsi="宋体" w:cs="宋体"/>
          <w:sz w:val="18"/>
          <w:szCs w:val="18"/>
        </w:rPr>
        <w:t>8</w:t>
      </w:r>
      <w:r w:rsidRPr="00FC6EB6">
        <w:rPr>
          <w:rFonts w:ascii="宋体" w:eastAsia="宋体" w:hAnsi="宋体" w:cs="宋体" w:hint="eastAsia"/>
          <w:sz w:val="18"/>
          <w:szCs w:val="18"/>
        </w:rPr>
        <w:t>月</w:t>
      </w:r>
      <w:r w:rsidRPr="00FC6EB6">
        <w:rPr>
          <w:rFonts w:ascii="宋体" w:eastAsia="宋体" w:hAnsi="宋体" w:cs="宋体"/>
          <w:sz w:val="18"/>
          <w:szCs w:val="18"/>
        </w:rPr>
        <w:t>22</w:t>
      </w:r>
      <w:r w:rsidRPr="00FC6EB6">
        <w:rPr>
          <w:rFonts w:ascii="宋体" w:eastAsia="宋体" w:hAnsi="宋体" w:cs="宋体" w:hint="eastAsia"/>
          <w:sz w:val="18"/>
          <w:szCs w:val="18"/>
        </w:rPr>
        <w:t>日召开第八届董事会第三次会议、第八届监事会第四次会议，审议通过了《关于向激励对象授予股票期权与限制性股票的议案》，确定向符合激励计划的激励对象授予总计</w:t>
      </w:r>
      <w:r w:rsidRPr="00FC6EB6">
        <w:rPr>
          <w:rFonts w:ascii="宋体" w:eastAsia="宋体" w:hAnsi="宋体" w:cs="宋体"/>
          <w:sz w:val="18"/>
          <w:szCs w:val="18"/>
        </w:rPr>
        <w:t>3,980.00</w:t>
      </w:r>
      <w:r w:rsidRPr="00FC6EB6">
        <w:rPr>
          <w:rFonts w:ascii="宋体" w:eastAsia="宋体" w:hAnsi="宋体" w:cs="宋体" w:hint="eastAsia"/>
          <w:sz w:val="18"/>
          <w:szCs w:val="18"/>
        </w:rPr>
        <w:t>万份权益。其中，确定对官</w:t>
      </w:r>
      <w:proofErr w:type="gramStart"/>
      <w:r w:rsidRPr="00FC6EB6">
        <w:rPr>
          <w:rFonts w:ascii="宋体" w:eastAsia="宋体" w:hAnsi="宋体" w:cs="宋体" w:hint="eastAsia"/>
          <w:sz w:val="18"/>
          <w:szCs w:val="18"/>
        </w:rPr>
        <w:t>炳</w:t>
      </w:r>
      <w:proofErr w:type="gramEnd"/>
      <w:r w:rsidRPr="00FC6EB6">
        <w:rPr>
          <w:rFonts w:ascii="宋体" w:eastAsia="宋体" w:hAnsi="宋体" w:cs="宋体" w:hint="eastAsia"/>
          <w:sz w:val="18"/>
          <w:szCs w:val="18"/>
        </w:rPr>
        <w:t>政、张垚、杨慧丽等</w:t>
      </w:r>
      <w:r w:rsidRPr="00FC6EB6">
        <w:rPr>
          <w:rFonts w:ascii="宋体" w:eastAsia="宋体" w:hAnsi="宋体" w:cs="宋体"/>
          <w:sz w:val="18"/>
          <w:szCs w:val="18"/>
        </w:rPr>
        <w:t>251</w:t>
      </w:r>
      <w:r w:rsidRPr="00FC6EB6">
        <w:rPr>
          <w:rFonts w:ascii="宋体" w:eastAsia="宋体" w:hAnsi="宋体" w:cs="宋体" w:hint="eastAsia"/>
          <w:sz w:val="18"/>
          <w:szCs w:val="18"/>
        </w:rPr>
        <w:t>名激励对象授予</w:t>
      </w:r>
      <w:r w:rsidRPr="00FC6EB6">
        <w:rPr>
          <w:rFonts w:ascii="宋体" w:eastAsia="宋体" w:hAnsi="宋体" w:cs="宋体"/>
          <w:sz w:val="18"/>
          <w:szCs w:val="18"/>
        </w:rPr>
        <w:t>2388</w:t>
      </w:r>
      <w:r w:rsidRPr="00FC6EB6">
        <w:rPr>
          <w:rFonts w:ascii="宋体" w:eastAsia="宋体" w:hAnsi="宋体" w:cs="宋体" w:hint="eastAsia"/>
          <w:sz w:val="18"/>
          <w:szCs w:val="18"/>
        </w:rPr>
        <w:t>万份股票期权，期权行权价格为</w:t>
      </w:r>
      <w:r w:rsidRPr="00FC6EB6">
        <w:rPr>
          <w:rFonts w:ascii="宋体" w:eastAsia="宋体" w:hAnsi="宋体" w:cs="宋体"/>
          <w:sz w:val="18"/>
          <w:szCs w:val="18"/>
        </w:rPr>
        <w:t>6.17</w:t>
      </w:r>
      <w:r w:rsidRPr="00FC6EB6">
        <w:rPr>
          <w:rFonts w:ascii="宋体" w:eastAsia="宋体" w:hAnsi="宋体" w:cs="宋体" w:hint="eastAsia"/>
          <w:sz w:val="18"/>
          <w:szCs w:val="18"/>
        </w:rPr>
        <w:t>元</w:t>
      </w:r>
      <w:r w:rsidRPr="00FC6EB6">
        <w:rPr>
          <w:rFonts w:ascii="宋体" w:eastAsia="宋体" w:hAnsi="宋体" w:cs="宋体"/>
          <w:sz w:val="18"/>
          <w:szCs w:val="18"/>
        </w:rPr>
        <w:t>/</w:t>
      </w:r>
      <w:r w:rsidRPr="00FC6EB6">
        <w:rPr>
          <w:rFonts w:ascii="宋体" w:eastAsia="宋体" w:hAnsi="宋体" w:cs="宋体" w:hint="eastAsia"/>
          <w:sz w:val="18"/>
          <w:szCs w:val="18"/>
        </w:rPr>
        <w:t>股；股票期权本期以权益结算的股份支付确认的费用总额</w:t>
      </w:r>
      <w:r w:rsidRPr="00FC6EB6">
        <w:rPr>
          <w:rFonts w:ascii="宋体" w:eastAsia="宋体" w:hAnsi="宋体" w:cs="宋体"/>
          <w:sz w:val="18"/>
          <w:szCs w:val="18"/>
        </w:rPr>
        <w:t>14,442,425.00</w:t>
      </w:r>
      <w:r w:rsidRPr="00FC6EB6">
        <w:rPr>
          <w:rFonts w:ascii="宋体" w:eastAsia="宋体" w:hAnsi="宋体" w:cs="宋体" w:hint="eastAsia"/>
          <w:sz w:val="18"/>
          <w:szCs w:val="18"/>
        </w:rPr>
        <w:t>元；确定对官</w:t>
      </w:r>
      <w:proofErr w:type="gramStart"/>
      <w:r w:rsidRPr="00FC6EB6">
        <w:rPr>
          <w:rFonts w:ascii="宋体" w:eastAsia="宋体" w:hAnsi="宋体" w:cs="宋体" w:hint="eastAsia"/>
          <w:sz w:val="18"/>
          <w:szCs w:val="18"/>
        </w:rPr>
        <w:t>炳</w:t>
      </w:r>
      <w:proofErr w:type="gramEnd"/>
      <w:r w:rsidRPr="00FC6EB6">
        <w:rPr>
          <w:rFonts w:ascii="宋体" w:eastAsia="宋体" w:hAnsi="宋体" w:cs="宋体" w:hint="eastAsia"/>
          <w:sz w:val="18"/>
          <w:szCs w:val="18"/>
        </w:rPr>
        <w:t>政、张垚、杨慧丽等</w:t>
      </w:r>
      <w:r w:rsidRPr="00FC6EB6">
        <w:rPr>
          <w:rFonts w:ascii="宋体" w:eastAsia="宋体" w:hAnsi="宋体" w:cs="宋体"/>
          <w:sz w:val="18"/>
          <w:szCs w:val="18"/>
        </w:rPr>
        <w:t>245</w:t>
      </w:r>
      <w:r w:rsidRPr="00FC6EB6">
        <w:rPr>
          <w:rFonts w:ascii="宋体" w:eastAsia="宋体" w:hAnsi="宋体" w:cs="宋体" w:hint="eastAsia"/>
          <w:sz w:val="18"/>
          <w:szCs w:val="18"/>
        </w:rPr>
        <w:t>名参加对象授予</w:t>
      </w:r>
      <w:r w:rsidRPr="00FC6EB6">
        <w:rPr>
          <w:rFonts w:ascii="宋体" w:eastAsia="宋体" w:hAnsi="宋体" w:cs="宋体"/>
          <w:sz w:val="18"/>
          <w:szCs w:val="18"/>
        </w:rPr>
        <w:t>1,592</w:t>
      </w:r>
      <w:r w:rsidRPr="00FC6EB6">
        <w:rPr>
          <w:rFonts w:ascii="宋体" w:eastAsia="宋体" w:hAnsi="宋体" w:cs="宋体" w:hint="eastAsia"/>
          <w:sz w:val="18"/>
          <w:szCs w:val="18"/>
        </w:rPr>
        <w:t>万股限制性股票，本次实际</w:t>
      </w:r>
      <w:r w:rsidRPr="00FC6EB6">
        <w:rPr>
          <w:rFonts w:ascii="宋体" w:eastAsia="宋体" w:hAnsi="宋体" w:cs="宋体"/>
          <w:sz w:val="18"/>
          <w:szCs w:val="18"/>
        </w:rPr>
        <w:t>245</w:t>
      </w:r>
      <w:r w:rsidRPr="00FC6EB6">
        <w:rPr>
          <w:rFonts w:ascii="宋体" w:eastAsia="宋体" w:hAnsi="宋体" w:cs="宋体" w:hint="eastAsia"/>
          <w:sz w:val="18"/>
          <w:szCs w:val="18"/>
        </w:rPr>
        <w:t>名参加对象认购</w:t>
      </w:r>
      <w:r w:rsidRPr="00FC6EB6">
        <w:rPr>
          <w:rFonts w:ascii="宋体" w:eastAsia="宋体" w:hAnsi="宋体" w:cs="宋体"/>
          <w:sz w:val="18"/>
          <w:szCs w:val="18"/>
        </w:rPr>
        <w:t>15,920,000</w:t>
      </w:r>
      <w:r w:rsidRPr="00FC6EB6">
        <w:rPr>
          <w:rFonts w:ascii="宋体" w:eastAsia="宋体" w:hAnsi="宋体" w:cs="宋体" w:hint="eastAsia"/>
          <w:sz w:val="18"/>
          <w:szCs w:val="18"/>
        </w:rPr>
        <w:t>股限制性股票，股票面值</w:t>
      </w:r>
      <w:r w:rsidRPr="00FC6EB6">
        <w:rPr>
          <w:rFonts w:ascii="宋体" w:eastAsia="宋体" w:hAnsi="宋体" w:cs="宋体"/>
          <w:sz w:val="18"/>
          <w:szCs w:val="18"/>
        </w:rPr>
        <w:t>1</w:t>
      </w:r>
      <w:r w:rsidRPr="00FC6EB6">
        <w:rPr>
          <w:rFonts w:ascii="宋体" w:eastAsia="宋体" w:hAnsi="宋体" w:cs="宋体" w:hint="eastAsia"/>
          <w:sz w:val="18"/>
          <w:szCs w:val="18"/>
        </w:rPr>
        <w:t>元，认购价格为</w:t>
      </w:r>
      <w:r w:rsidRPr="00FC6EB6">
        <w:rPr>
          <w:rFonts w:ascii="宋体" w:eastAsia="宋体" w:hAnsi="宋体" w:cs="宋体"/>
          <w:sz w:val="18"/>
          <w:szCs w:val="18"/>
        </w:rPr>
        <w:t>3.86</w:t>
      </w:r>
      <w:r w:rsidRPr="00FC6EB6">
        <w:rPr>
          <w:rFonts w:ascii="宋体" w:eastAsia="宋体" w:hAnsi="宋体" w:cs="宋体" w:hint="eastAsia"/>
          <w:sz w:val="18"/>
          <w:szCs w:val="18"/>
        </w:rPr>
        <w:t>元</w:t>
      </w:r>
      <w:r w:rsidRPr="00FC6EB6">
        <w:rPr>
          <w:rFonts w:ascii="宋体" w:eastAsia="宋体" w:hAnsi="宋体" w:cs="宋体"/>
          <w:sz w:val="18"/>
          <w:szCs w:val="18"/>
        </w:rPr>
        <w:t>/</w:t>
      </w:r>
      <w:r w:rsidRPr="00FC6EB6">
        <w:rPr>
          <w:rFonts w:ascii="宋体" w:eastAsia="宋体" w:hAnsi="宋体" w:cs="宋体" w:hint="eastAsia"/>
          <w:sz w:val="18"/>
          <w:szCs w:val="18"/>
        </w:rPr>
        <w:t>股。本期以权益结算的股份支付限制</w:t>
      </w:r>
      <w:r w:rsidRPr="00FC6EB6">
        <w:rPr>
          <w:rFonts w:ascii="宋体" w:eastAsia="宋体" w:hAnsi="宋体" w:cs="宋体" w:hint="eastAsia"/>
          <w:sz w:val="18"/>
          <w:szCs w:val="18"/>
        </w:rPr>
        <w:lastRenderedPageBreak/>
        <w:t>性股票确认的费用总额为</w:t>
      </w:r>
      <w:r w:rsidRPr="00FC6EB6">
        <w:rPr>
          <w:rFonts w:ascii="宋体" w:eastAsia="宋体" w:hAnsi="宋体" w:cs="宋体"/>
          <w:sz w:val="18"/>
          <w:szCs w:val="18"/>
        </w:rPr>
        <w:t>32,290,968.75</w:t>
      </w:r>
      <w:r w:rsidRPr="00FC6EB6">
        <w:rPr>
          <w:rFonts w:ascii="宋体" w:eastAsia="宋体" w:hAnsi="宋体" w:cs="宋体" w:hint="eastAsia"/>
          <w:sz w:val="18"/>
          <w:szCs w:val="18"/>
        </w:rPr>
        <w:t>元，股票期权确认的费用总额为</w:t>
      </w:r>
      <w:r w:rsidRPr="00FC6EB6">
        <w:rPr>
          <w:rFonts w:ascii="宋体" w:eastAsia="宋体" w:hAnsi="宋体" w:cs="宋体"/>
          <w:sz w:val="18"/>
          <w:szCs w:val="18"/>
        </w:rPr>
        <w:t>25,672,428.08</w:t>
      </w:r>
      <w:r w:rsidRPr="00FC6EB6">
        <w:rPr>
          <w:rFonts w:ascii="宋体" w:eastAsia="宋体" w:hAnsi="宋体" w:cs="宋体" w:hint="eastAsia"/>
          <w:sz w:val="18"/>
          <w:szCs w:val="18"/>
        </w:rPr>
        <w:t>元。</w:t>
      </w:r>
    </w:p>
    <w:p w:rsidR="008D4B2E" w:rsidRPr="00FC6EB6" w:rsidRDefault="008D4B2E" w:rsidP="00AA53DA">
      <w:pPr>
        <w:ind w:firstLineChars="200" w:firstLine="360"/>
        <w:divId w:val="456333119"/>
        <w:rPr>
          <w:rFonts w:ascii="宋体" w:eastAsia="宋体" w:hAnsi="宋体" w:cs="宋体"/>
          <w:sz w:val="18"/>
          <w:szCs w:val="18"/>
        </w:rPr>
      </w:pPr>
      <w:r w:rsidRPr="00FC6EB6">
        <w:rPr>
          <w:rFonts w:ascii="宋体" w:eastAsia="宋体" w:hAnsi="宋体" w:cs="宋体"/>
          <w:sz w:val="18"/>
          <w:szCs w:val="18"/>
        </w:rPr>
        <w:t>2023</w:t>
      </w:r>
      <w:r w:rsidRPr="00FC6EB6">
        <w:rPr>
          <w:rFonts w:ascii="宋体" w:eastAsia="宋体" w:hAnsi="宋体" w:cs="宋体" w:hint="eastAsia"/>
          <w:sz w:val="18"/>
          <w:szCs w:val="18"/>
        </w:rPr>
        <w:t>年</w:t>
      </w:r>
      <w:r w:rsidRPr="00FC6EB6">
        <w:rPr>
          <w:rFonts w:ascii="宋体" w:eastAsia="宋体" w:hAnsi="宋体" w:cs="宋体"/>
          <w:sz w:val="18"/>
          <w:szCs w:val="18"/>
        </w:rPr>
        <w:t>10</w:t>
      </w:r>
      <w:r w:rsidRPr="00FC6EB6">
        <w:rPr>
          <w:rFonts w:ascii="宋体" w:eastAsia="宋体" w:hAnsi="宋体" w:cs="宋体" w:hint="eastAsia"/>
          <w:sz w:val="18"/>
          <w:szCs w:val="18"/>
        </w:rPr>
        <w:t>月</w:t>
      </w:r>
      <w:r w:rsidRPr="00FC6EB6">
        <w:rPr>
          <w:rFonts w:ascii="宋体" w:eastAsia="宋体" w:hAnsi="宋体" w:cs="宋体"/>
          <w:sz w:val="18"/>
          <w:szCs w:val="18"/>
        </w:rPr>
        <w:t>20</w:t>
      </w:r>
      <w:r w:rsidRPr="00FC6EB6">
        <w:rPr>
          <w:rFonts w:ascii="宋体" w:eastAsia="宋体" w:hAnsi="宋体" w:cs="宋体" w:hint="eastAsia"/>
          <w:sz w:val="18"/>
          <w:szCs w:val="18"/>
        </w:rPr>
        <w:t>日，公司的</w:t>
      </w:r>
      <w:r w:rsidRPr="00FC6EB6">
        <w:rPr>
          <w:rFonts w:ascii="宋体" w:eastAsia="宋体" w:hAnsi="宋体" w:cs="宋体"/>
          <w:sz w:val="18"/>
          <w:szCs w:val="18"/>
        </w:rPr>
        <w:t>2022</w:t>
      </w:r>
      <w:r w:rsidRPr="00FC6EB6">
        <w:rPr>
          <w:rFonts w:ascii="宋体" w:eastAsia="宋体" w:hAnsi="宋体" w:cs="宋体" w:hint="eastAsia"/>
          <w:sz w:val="18"/>
          <w:szCs w:val="18"/>
        </w:rPr>
        <w:t>年限制性股票激励计划第一个锁定期届满，由其他资本公积转入资本溢价（股本溢价）</w:t>
      </w:r>
      <w:r w:rsidRPr="00FC6EB6">
        <w:rPr>
          <w:rFonts w:ascii="宋体" w:eastAsia="宋体" w:hAnsi="宋体" w:cs="宋体"/>
          <w:sz w:val="18"/>
          <w:szCs w:val="18"/>
        </w:rPr>
        <w:t>27,047,000.00</w:t>
      </w:r>
      <w:r w:rsidRPr="00FC6EB6">
        <w:rPr>
          <w:rFonts w:ascii="宋体" w:eastAsia="宋体" w:hAnsi="宋体" w:cs="宋体" w:hint="eastAsia"/>
          <w:sz w:val="18"/>
          <w:szCs w:val="18"/>
        </w:rPr>
        <w:t>元。</w:t>
      </w:r>
    </w:p>
    <w:p w:rsidR="008D4B2E" w:rsidRPr="00FC6EB6" w:rsidRDefault="008D4B2E" w:rsidP="00AA53DA">
      <w:pPr>
        <w:ind w:firstLineChars="200" w:firstLine="360"/>
        <w:divId w:val="456333119"/>
        <w:rPr>
          <w:rFonts w:ascii="宋体" w:eastAsia="宋体" w:hAnsi="宋体" w:cs="宋体"/>
          <w:sz w:val="18"/>
          <w:szCs w:val="18"/>
        </w:rPr>
      </w:pPr>
      <w:r w:rsidRPr="00FC6EB6">
        <w:rPr>
          <w:rFonts w:ascii="宋体" w:eastAsia="宋体" w:hAnsi="宋体" w:cs="宋体"/>
          <w:sz w:val="18"/>
          <w:szCs w:val="18"/>
        </w:rPr>
        <w:t>2023</w:t>
      </w:r>
      <w:r w:rsidRPr="00FC6EB6">
        <w:rPr>
          <w:rFonts w:ascii="宋体" w:eastAsia="宋体" w:hAnsi="宋体" w:cs="宋体" w:hint="eastAsia"/>
          <w:sz w:val="18"/>
          <w:szCs w:val="18"/>
        </w:rPr>
        <w:t>年</w:t>
      </w:r>
      <w:r w:rsidRPr="00FC6EB6">
        <w:rPr>
          <w:rFonts w:ascii="宋体" w:eastAsia="宋体" w:hAnsi="宋体" w:cs="宋体"/>
          <w:sz w:val="18"/>
          <w:szCs w:val="18"/>
        </w:rPr>
        <w:t>10</w:t>
      </w:r>
      <w:r w:rsidRPr="00FC6EB6">
        <w:rPr>
          <w:rFonts w:ascii="宋体" w:eastAsia="宋体" w:hAnsi="宋体" w:cs="宋体" w:hint="eastAsia"/>
          <w:sz w:val="18"/>
          <w:szCs w:val="18"/>
        </w:rPr>
        <w:t>月</w:t>
      </w:r>
      <w:r w:rsidRPr="00FC6EB6">
        <w:rPr>
          <w:rFonts w:ascii="宋体" w:eastAsia="宋体" w:hAnsi="宋体" w:cs="宋体"/>
          <w:sz w:val="18"/>
          <w:szCs w:val="18"/>
        </w:rPr>
        <w:t>20</w:t>
      </w:r>
      <w:r w:rsidRPr="00FC6EB6">
        <w:rPr>
          <w:rFonts w:ascii="宋体" w:eastAsia="宋体" w:hAnsi="宋体" w:cs="宋体" w:hint="eastAsia"/>
          <w:sz w:val="18"/>
          <w:szCs w:val="18"/>
        </w:rPr>
        <w:t>日，公司的</w:t>
      </w:r>
      <w:r w:rsidRPr="00FC6EB6">
        <w:rPr>
          <w:rFonts w:ascii="宋体" w:eastAsia="宋体" w:hAnsi="宋体" w:cs="宋体"/>
          <w:sz w:val="18"/>
          <w:szCs w:val="18"/>
        </w:rPr>
        <w:t>2022</w:t>
      </w:r>
      <w:r w:rsidRPr="00FC6EB6">
        <w:rPr>
          <w:rFonts w:ascii="宋体" w:eastAsia="宋体" w:hAnsi="宋体" w:cs="宋体" w:hint="eastAsia"/>
          <w:sz w:val="18"/>
          <w:szCs w:val="18"/>
        </w:rPr>
        <w:t>年股票期权激励计划第一个锁定期届满，由其他资本公积转入资本溢价（股本溢价）</w:t>
      </w:r>
      <w:r w:rsidRPr="00FC6EB6">
        <w:rPr>
          <w:rFonts w:ascii="宋体" w:eastAsia="宋体" w:hAnsi="宋体" w:cs="宋体"/>
          <w:sz w:val="18"/>
          <w:szCs w:val="18"/>
        </w:rPr>
        <w:t>10,658,644.70</w:t>
      </w:r>
      <w:r w:rsidRPr="00FC6EB6">
        <w:rPr>
          <w:rFonts w:ascii="宋体" w:eastAsia="宋体" w:hAnsi="宋体" w:cs="宋体" w:hint="eastAsia"/>
          <w:sz w:val="18"/>
          <w:szCs w:val="18"/>
        </w:rPr>
        <w:t>元。</w:t>
      </w:r>
    </w:p>
    <w:p w:rsidR="008D4B2E" w:rsidRPr="00FC6EB6" w:rsidRDefault="008D4B2E" w:rsidP="00AA53DA">
      <w:pPr>
        <w:ind w:firstLineChars="200" w:firstLine="360"/>
        <w:divId w:val="456333119"/>
        <w:rPr>
          <w:rFonts w:ascii="宋体" w:eastAsia="宋体" w:hAnsi="宋体" w:cs="宋体"/>
          <w:sz w:val="18"/>
          <w:szCs w:val="18"/>
        </w:rPr>
      </w:pPr>
      <w:r w:rsidRPr="00FC6EB6">
        <w:rPr>
          <w:rFonts w:ascii="宋体" w:eastAsia="宋体" w:hAnsi="宋体" w:cs="宋体"/>
          <w:sz w:val="18"/>
          <w:szCs w:val="18"/>
        </w:rPr>
        <w:t>2023</w:t>
      </w:r>
      <w:r w:rsidRPr="00FC6EB6">
        <w:rPr>
          <w:rFonts w:ascii="宋体" w:eastAsia="宋体" w:hAnsi="宋体" w:cs="宋体" w:hint="eastAsia"/>
          <w:sz w:val="18"/>
          <w:szCs w:val="18"/>
        </w:rPr>
        <w:t>年</w:t>
      </w:r>
      <w:r w:rsidRPr="00FC6EB6">
        <w:rPr>
          <w:rFonts w:ascii="宋体" w:eastAsia="宋体" w:hAnsi="宋体" w:cs="宋体"/>
          <w:sz w:val="18"/>
          <w:szCs w:val="18"/>
        </w:rPr>
        <w:t>9</w:t>
      </w:r>
      <w:r w:rsidRPr="00FC6EB6">
        <w:rPr>
          <w:rFonts w:ascii="宋体" w:eastAsia="宋体" w:hAnsi="宋体" w:cs="宋体" w:hint="eastAsia"/>
          <w:sz w:val="18"/>
          <w:szCs w:val="18"/>
        </w:rPr>
        <w:t>月</w:t>
      </w:r>
      <w:r w:rsidRPr="00FC6EB6">
        <w:rPr>
          <w:rFonts w:ascii="宋体" w:eastAsia="宋体" w:hAnsi="宋体" w:cs="宋体"/>
          <w:sz w:val="18"/>
          <w:szCs w:val="18"/>
        </w:rPr>
        <w:t>20</w:t>
      </w:r>
      <w:r w:rsidRPr="00FC6EB6">
        <w:rPr>
          <w:rFonts w:ascii="宋体" w:eastAsia="宋体" w:hAnsi="宋体" w:cs="宋体" w:hint="eastAsia"/>
          <w:sz w:val="18"/>
          <w:szCs w:val="18"/>
        </w:rPr>
        <w:t>日，公司召开第八届董事会第十二次会议、第八届监事会第十四次会议，审议通过了《关于公司</w:t>
      </w:r>
      <w:r w:rsidRPr="00FC6EB6">
        <w:rPr>
          <w:rFonts w:ascii="宋体" w:eastAsia="宋体" w:hAnsi="宋体" w:cs="宋体"/>
          <w:sz w:val="18"/>
          <w:szCs w:val="18"/>
        </w:rPr>
        <w:t>2022</w:t>
      </w:r>
      <w:r w:rsidRPr="00FC6EB6">
        <w:rPr>
          <w:rFonts w:ascii="宋体" w:eastAsia="宋体" w:hAnsi="宋体" w:cs="宋体" w:hint="eastAsia"/>
          <w:sz w:val="18"/>
          <w:szCs w:val="18"/>
        </w:rPr>
        <w:t>年股票期权与限制性股票激励计划第一个行权期行权条件成就及调整行权价格的议案》，可行权数量为</w:t>
      </w:r>
      <w:r w:rsidRPr="00FC6EB6">
        <w:rPr>
          <w:rFonts w:ascii="宋体" w:eastAsia="宋体" w:hAnsi="宋体" w:cs="宋体"/>
          <w:sz w:val="18"/>
          <w:szCs w:val="18"/>
        </w:rPr>
        <w:t>947.20</w:t>
      </w:r>
      <w:r w:rsidRPr="00FC6EB6">
        <w:rPr>
          <w:rFonts w:ascii="宋体" w:eastAsia="宋体" w:hAnsi="宋体" w:cs="宋体" w:hint="eastAsia"/>
          <w:sz w:val="18"/>
          <w:szCs w:val="18"/>
        </w:rPr>
        <w:t>万份，行权价格</w:t>
      </w:r>
      <w:r w:rsidRPr="00FC6EB6">
        <w:rPr>
          <w:rFonts w:ascii="宋体" w:eastAsia="宋体" w:hAnsi="宋体" w:cs="宋体"/>
          <w:sz w:val="18"/>
          <w:szCs w:val="18"/>
        </w:rPr>
        <w:t>6.124</w:t>
      </w:r>
      <w:r w:rsidRPr="00FC6EB6">
        <w:rPr>
          <w:rFonts w:ascii="宋体" w:eastAsia="宋体" w:hAnsi="宋体" w:cs="宋体" w:hint="eastAsia"/>
          <w:sz w:val="18"/>
          <w:szCs w:val="18"/>
        </w:rPr>
        <w:t>元，采用自主行权模式。</w:t>
      </w:r>
      <w:r w:rsidRPr="00FC6EB6">
        <w:rPr>
          <w:rFonts w:ascii="宋体" w:eastAsia="宋体" w:hAnsi="宋体" w:cs="宋体"/>
          <w:sz w:val="18"/>
          <w:szCs w:val="18"/>
        </w:rPr>
        <w:t>2023</w:t>
      </w:r>
      <w:r w:rsidRPr="00FC6EB6">
        <w:rPr>
          <w:rFonts w:ascii="宋体" w:eastAsia="宋体" w:hAnsi="宋体" w:cs="宋体" w:hint="eastAsia"/>
          <w:sz w:val="18"/>
          <w:szCs w:val="18"/>
        </w:rPr>
        <w:t>年</w:t>
      </w:r>
      <w:r w:rsidRPr="00FC6EB6">
        <w:rPr>
          <w:rFonts w:ascii="宋体" w:eastAsia="宋体" w:hAnsi="宋体" w:cs="宋体"/>
          <w:sz w:val="18"/>
          <w:szCs w:val="18"/>
        </w:rPr>
        <w:t>9</w:t>
      </w:r>
      <w:r w:rsidRPr="00FC6EB6">
        <w:rPr>
          <w:rFonts w:ascii="宋体" w:eastAsia="宋体" w:hAnsi="宋体" w:cs="宋体" w:hint="eastAsia"/>
          <w:sz w:val="18"/>
          <w:szCs w:val="18"/>
        </w:rPr>
        <w:t>月</w:t>
      </w:r>
      <w:r w:rsidRPr="00FC6EB6">
        <w:rPr>
          <w:rFonts w:ascii="宋体" w:eastAsia="宋体" w:hAnsi="宋体" w:cs="宋体"/>
          <w:sz w:val="18"/>
          <w:szCs w:val="18"/>
        </w:rPr>
        <w:t>30</w:t>
      </w:r>
      <w:r w:rsidRPr="00FC6EB6">
        <w:rPr>
          <w:rFonts w:ascii="宋体" w:eastAsia="宋体" w:hAnsi="宋体" w:cs="宋体" w:hint="eastAsia"/>
          <w:sz w:val="18"/>
          <w:szCs w:val="18"/>
        </w:rPr>
        <w:t>日</w:t>
      </w:r>
      <w:r w:rsidRPr="00FC6EB6">
        <w:rPr>
          <w:rFonts w:ascii="宋体" w:eastAsia="宋体" w:hAnsi="宋体" w:cs="宋体"/>
          <w:sz w:val="18"/>
          <w:szCs w:val="18"/>
        </w:rPr>
        <w:t>-2023</w:t>
      </w:r>
      <w:r w:rsidRPr="00FC6EB6">
        <w:rPr>
          <w:rFonts w:ascii="宋体" w:eastAsia="宋体" w:hAnsi="宋体" w:cs="宋体" w:hint="eastAsia"/>
          <w:sz w:val="18"/>
          <w:szCs w:val="18"/>
        </w:rPr>
        <w:t>年</w:t>
      </w:r>
      <w:r w:rsidRPr="00FC6EB6">
        <w:rPr>
          <w:rFonts w:ascii="宋体" w:eastAsia="宋体" w:hAnsi="宋体" w:cs="宋体"/>
          <w:sz w:val="18"/>
          <w:szCs w:val="18"/>
        </w:rPr>
        <w:t>12</w:t>
      </w:r>
      <w:r w:rsidRPr="00FC6EB6">
        <w:rPr>
          <w:rFonts w:ascii="宋体" w:eastAsia="宋体" w:hAnsi="宋体" w:cs="宋体" w:hint="eastAsia"/>
          <w:sz w:val="18"/>
          <w:szCs w:val="18"/>
        </w:rPr>
        <w:t>月</w:t>
      </w:r>
      <w:r w:rsidRPr="00FC6EB6">
        <w:rPr>
          <w:rFonts w:ascii="宋体" w:eastAsia="宋体" w:hAnsi="宋体" w:cs="宋体"/>
          <w:sz w:val="18"/>
          <w:szCs w:val="18"/>
        </w:rPr>
        <w:t>31</w:t>
      </w:r>
      <w:r w:rsidRPr="00FC6EB6">
        <w:rPr>
          <w:rFonts w:ascii="宋体" w:eastAsia="宋体" w:hAnsi="宋体" w:cs="宋体" w:hint="eastAsia"/>
          <w:sz w:val="18"/>
          <w:szCs w:val="18"/>
        </w:rPr>
        <w:t>日，实际行权</w:t>
      </w:r>
      <w:r w:rsidRPr="00FC6EB6">
        <w:rPr>
          <w:rFonts w:ascii="宋体" w:eastAsia="宋体" w:hAnsi="宋体" w:cs="宋体"/>
          <w:sz w:val="18"/>
          <w:szCs w:val="18"/>
        </w:rPr>
        <w:t>131</w:t>
      </w:r>
      <w:r w:rsidRPr="00FC6EB6">
        <w:rPr>
          <w:rFonts w:ascii="宋体" w:eastAsia="宋体" w:hAnsi="宋体" w:cs="宋体" w:hint="eastAsia"/>
          <w:sz w:val="18"/>
          <w:szCs w:val="18"/>
        </w:rPr>
        <w:t>人，行使股票期权</w:t>
      </w:r>
      <w:r w:rsidRPr="00FC6EB6">
        <w:rPr>
          <w:rFonts w:ascii="宋体" w:eastAsia="宋体" w:hAnsi="宋体" w:cs="宋体"/>
          <w:sz w:val="18"/>
          <w:szCs w:val="18"/>
        </w:rPr>
        <w:t>5,099,830</w:t>
      </w:r>
      <w:r w:rsidRPr="00FC6EB6">
        <w:rPr>
          <w:rFonts w:ascii="宋体" w:eastAsia="宋体" w:hAnsi="宋体" w:cs="宋体" w:hint="eastAsia"/>
          <w:sz w:val="18"/>
          <w:szCs w:val="18"/>
        </w:rPr>
        <w:t>份。截至</w:t>
      </w:r>
      <w:r w:rsidRPr="00FC6EB6">
        <w:rPr>
          <w:rFonts w:ascii="宋体" w:eastAsia="宋体" w:hAnsi="宋体" w:cs="宋体"/>
          <w:sz w:val="18"/>
          <w:szCs w:val="18"/>
        </w:rPr>
        <w:t>2023</w:t>
      </w:r>
      <w:r w:rsidRPr="00FC6EB6">
        <w:rPr>
          <w:rFonts w:ascii="宋体" w:eastAsia="宋体" w:hAnsi="宋体" w:cs="宋体" w:hint="eastAsia"/>
          <w:sz w:val="18"/>
          <w:szCs w:val="18"/>
        </w:rPr>
        <w:t>年</w:t>
      </w:r>
      <w:r w:rsidRPr="00FC6EB6">
        <w:rPr>
          <w:rFonts w:ascii="宋体" w:eastAsia="宋体" w:hAnsi="宋体" w:cs="宋体"/>
          <w:sz w:val="18"/>
          <w:szCs w:val="18"/>
        </w:rPr>
        <w:t>12</w:t>
      </w:r>
      <w:r w:rsidRPr="00FC6EB6">
        <w:rPr>
          <w:rFonts w:ascii="宋体" w:eastAsia="宋体" w:hAnsi="宋体" w:cs="宋体" w:hint="eastAsia"/>
          <w:sz w:val="18"/>
          <w:szCs w:val="18"/>
        </w:rPr>
        <w:t>月</w:t>
      </w:r>
      <w:r w:rsidRPr="00FC6EB6">
        <w:rPr>
          <w:rFonts w:ascii="宋体" w:eastAsia="宋体" w:hAnsi="宋体" w:cs="宋体"/>
          <w:sz w:val="18"/>
          <w:szCs w:val="18"/>
        </w:rPr>
        <w:t>31</w:t>
      </w:r>
      <w:r w:rsidRPr="00FC6EB6">
        <w:rPr>
          <w:rFonts w:ascii="宋体" w:eastAsia="宋体" w:hAnsi="宋体" w:cs="宋体" w:hint="eastAsia"/>
          <w:sz w:val="18"/>
          <w:szCs w:val="18"/>
        </w:rPr>
        <w:t>日止，公司已收到</w:t>
      </w:r>
      <w:r w:rsidRPr="00FC6EB6">
        <w:rPr>
          <w:rFonts w:ascii="宋体" w:eastAsia="宋体" w:hAnsi="宋体" w:cs="宋体"/>
          <w:sz w:val="18"/>
          <w:szCs w:val="18"/>
        </w:rPr>
        <w:t>131</w:t>
      </w:r>
      <w:r w:rsidRPr="00FC6EB6">
        <w:rPr>
          <w:rFonts w:ascii="宋体" w:eastAsia="宋体" w:hAnsi="宋体" w:cs="宋体" w:hint="eastAsia"/>
          <w:sz w:val="18"/>
          <w:szCs w:val="18"/>
        </w:rPr>
        <w:t>名参加对象认缴股款人民币</w:t>
      </w:r>
      <w:r w:rsidRPr="00FC6EB6">
        <w:rPr>
          <w:rFonts w:ascii="宋体" w:eastAsia="宋体" w:hAnsi="宋体" w:cs="宋体"/>
          <w:sz w:val="18"/>
          <w:szCs w:val="18"/>
        </w:rPr>
        <w:t>31,231,358.92</w:t>
      </w:r>
      <w:r w:rsidRPr="00FC6EB6">
        <w:rPr>
          <w:rFonts w:ascii="宋体" w:eastAsia="宋体" w:hAnsi="宋体" w:cs="宋体" w:hint="eastAsia"/>
          <w:sz w:val="18"/>
          <w:szCs w:val="18"/>
        </w:rPr>
        <w:t>元，其中新增股本</w:t>
      </w:r>
      <w:r w:rsidRPr="00FC6EB6">
        <w:rPr>
          <w:rFonts w:ascii="宋体" w:eastAsia="宋体" w:hAnsi="宋体" w:cs="宋体"/>
          <w:sz w:val="18"/>
          <w:szCs w:val="18"/>
        </w:rPr>
        <w:t>5,099,830.00</w:t>
      </w:r>
      <w:r w:rsidRPr="00FC6EB6">
        <w:rPr>
          <w:rFonts w:ascii="宋体" w:eastAsia="宋体" w:hAnsi="宋体" w:cs="宋体" w:hint="eastAsia"/>
          <w:sz w:val="18"/>
          <w:szCs w:val="18"/>
        </w:rPr>
        <w:t>元，资本溢价（股本溢价）</w:t>
      </w:r>
      <w:r w:rsidRPr="00FC6EB6">
        <w:rPr>
          <w:rFonts w:ascii="宋体" w:eastAsia="宋体" w:hAnsi="宋体" w:cs="宋体"/>
          <w:sz w:val="18"/>
          <w:szCs w:val="18"/>
        </w:rPr>
        <w:t>26,131,528.92</w:t>
      </w:r>
      <w:r w:rsidRPr="00FC6EB6">
        <w:rPr>
          <w:rFonts w:ascii="宋体" w:eastAsia="宋体" w:hAnsi="宋体" w:cs="宋体" w:hint="eastAsia"/>
          <w:sz w:val="18"/>
          <w:szCs w:val="18"/>
        </w:rPr>
        <w:t>元。</w:t>
      </w:r>
    </w:p>
    <w:p w:rsidR="008D4B2E" w:rsidRPr="00FC6EB6" w:rsidRDefault="008D4B2E" w:rsidP="00AA53DA">
      <w:pPr>
        <w:ind w:firstLineChars="200" w:firstLine="360"/>
        <w:divId w:val="456333119"/>
        <w:rPr>
          <w:rFonts w:ascii="宋体" w:eastAsia="宋体" w:hAnsi="宋体" w:cs="宋体"/>
          <w:sz w:val="18"/>
          <w:szCs w:val="18"/>
        </w:rPr>
      </w:pPr>
      <w:r w:rsidRPr="00FC6EB6">
        <w:rPr>
          <w:rFonts w:ascii="宋体" w:eastAsia="宋体" w:hAnsi="宋体" w:cs="宋体" w:hint="eastAsia"/>
          <w:sz w:val="18"/>
          <w:szCs w:val="18"/>
        </w:rPr>
        <w:t>④公司于</w:t>
      </w:r>
      <w:r w:rsidRPr="00FC6EB6">
        <w:rPr>
          <w:rFonts w:ascii="宋体" w:eastAsia="宋体" w:hAnsi="宋体" w:cs="宋体"/>
          <w:sz w:val="18"/>
          <w:szCs w:val="18"/>
        </w:rPr>
        <w:t>2023</w:t>
      </w:r>
      <w:r w:rsidRPr="00FC6EB6">
        <w:rPr>
          <w:rFonts w:ascii="宋体" w:eastAsia="宋体" w:hAnsi="宋体" w:cs="宋体" w:hint="eastAsia"/>
          <w:sz w:val="18"/>
          <w:szCs w:val="18"/>
        </w:rPr>
        <w:t>年</w:t>
      </w:r>
      <w:r w:rsidRPr="00FC6EB6">
        <w:rPr>
          <w:rFonts w:ascii="宋体" w:eastAsia="宋体" w:hAnsi="宋体" w:cs="宋体"/>
          <w:sz w:val="18"/>
          <w:szCs w:val="18"/>
        </w:rPr>
        <w:t>8</w:t>
      </w:r>
      <w:r w:rsidRPr="00FC6EB6">
        <w:rPr>
          <w:rFonts w:ascii="宋体" w:eastAsia="宋体" w:hAnsi="宋体" w:cs="宋体" w:hint="eastAsia"/>
          <w:sz w:val="18"/>
          <w:szCs w:val="18"/>
        </w:rPr>
        <w:t>月</w:t>
      </w:r>
      <w:r w:rsidRPr="00FC6EB6">
        <w:rPr>
          <w:rFonts w:ascii="宋体" w:eastAsia="宋体" w:hAnsi="宋体" w:cs="宋体"/>
          <w:sz w:val="18"/>
          <w:szCs w:val="18"/>
        </w:rPr>
        <w:t>15</w:t>
      </w:r>
      <w:r w:rsidRPr="00FC6EB6">
        <w:rPr>
          <w:rFonts w:ascii="宋体" w:eastAsia="宋体" w:hAnsi="宋体" w:cs="宋体" w:hint="eastAsia"/>
          <w:sz w:val="18"/>
          <w:szCs w:val="18"/>
        </w:rPr>
        <w:t>日召开</w:t>
      </w:r>
      <w:r w:rsidRPr="00FC6EB6">
        <w:rPr>
          <w:rFonts w:ascii="宋体" w:eastAsia="宋体" w:hAnsi="宋体" w:cs="宋体"/>
          <w:sz w:val="18"/>
          <w:szCs w:val="18"/>
        </w:rPr>
        <w:t>2023</w:t>
      </w:r>
      <w:r w:rsidRPr="00FC6EB6">
        <w:rPr>
          <w:rFonts w:ascii="宋体" w:eastAsia="宋体" w:hAnsi="宋体" w:cs="宋体" w:hint="eastAsia"/>
          <w:sz w:val="18"/>
          <w:szCs w:val="18"/>
        </w:rPr>
        <w:t>年第一次临时股东大会，</w:t>
      </w:r>
      <w:r w:rsidRPr="00FC6EB6">
        <w:rPr>
          <w:rFonts w:ascii="宋体" w:eastAsia="宋体" w:hAnsi="宋体" w:cs="宋体"/>
          <w:sz w:val="18"/>
          <w:szCs w:val="18"/>
        </w:rPr>
        <w:t>2023</w:t>
      </w:r>
      <w:r w:rsidRPr="00FC6EB6">
        <w:rPr>
          <w:rFonts w:ascii="宋体" w:eastAsia="宋体" w:hAnsi="宋体" w:cs="宋体" w:hint="eastAsia"/>
          <w:sz w:val="18"/>
          <w:szCs w:val="18"/>
        </w:rPr>
        <w:t>年</w:t>
      </w:r>
      <w:r w:rsidRPr="00FC6EB6">
        <w:rPr>
          <w:rFonts w:ascii="宋体" w:eastAsia="宋体" w:hAnsi="宋体" w:cs="宋体"/>
          <w:sz w:val="18"/>
          <w:szCs w:val="18"/>
        </w:rPr>
        <w:t>8</w:t>
      </w:r>
      <w:r w:rsidRPr="00FC6EB6">
        <w:rPr>
          <w:rFonts w:ascii="宋体" w:eastAsia="宋体" w:hAnsi="宋体" w:cs="宋体" w:hint="eastAsia"/>
          <w:sz w:val="18"/>
          <w:szCs w:val="18"/>
        </w:rPr>
        <w:t>月</w:t>
      </w:r>
      <w:r w:rsidRPr="00FC6EB6">
        <w:rPr>
          <w:rFonts w:ascii="宋体" w:eastAsia="宋体" w:hAnsi="宋体" w:cs="宋体"/>
          <w:sz w:val="18"/>
          <w:szCs w:val="18"/>
        </w:rPr>
        <w:t>28</w:t>
      </w:r>
      <w:r w:rsidRPr="00FC6EB6">
        <w:rPr>
          <w:rFonts w:ascii="宋体" w:eastAsia="宋体" w:hAnsi="宋体" w:cs="宋体" w:hint="eastAsia"/>
          <w:sz w:val="18"/>
          <w:szCs w:val="18"/>
        </w:rPr>
        <w:t>日召开第八届董事会第十一次会议、第八届监事会第十三次会议，审议通过了《关于向激励对象授予限制性股票的议案》，确定向符合激励计划的激励对象授予总计</w:t>
      </w:r>
      <w:r w:rsidRPr="00FC6EB6">
        <w:rPr>
          <w:rFonts w:ascii="宋体" w:eastAsia="宋体" w:hAnsi="宋体" w:cs="宋体"/>
          <w:sz w:val="18"/>
          <w:szCs w:val="18"/>
        </w:rPr>
        <w:t>3,750.00</w:t>
      </w:r>
      <w:r w:rsidRPr="00FC6EB6">
        <w:rPr>
          <w:rFonts w:ascii="宋体" w:eastAsia="宋体" w:hAnsi="宋体" w:cs="宋体" w:hint="eastAsia"/>
          <w:sz w:val="18"/>
          <w:szCs w:val="18"/>
        </w:rPr>
        <w:t>万份权益。其中，确定对官</w:t>
      </w:r>
      <w:proofErr w:type="gramStart"/>
      <w:r w:rsidRPr="00FC6EB6">
        <w:rPr>
          <w:rFonts w:ascii="宋体" w:eastAsia="宋体" w:hAnsi="宋体" w:cs="宋体" w:hint="eastAsia"/>
          <w:sz w:val="18"/>
          <w:szCs w:val="18"/>
        </w:rPr>
        <w:t>炳</w:t>
      </w:r>
      <w:proofErr w:type="gramEnd"/>
      <w:r w:rsidRPr="00FC6EB6">
        <w:rPr>
          <w:rFonts w:ascii="宋体" w:eastAsia="宋体" w:hAnsi="宋体" w:cs="宋体" w:hint="eastAsia"/>
          <w:sz w:val="18"/>
          <w:szCs w:val="18"/>
        </w:rPr>
        <w:t>政、张垚、杨慧丽等</w:t>
      </w:r>
      <w:r w:rsidRPr="00FC6EB6">
        <w:rPr>
          <w:rFonts w:ascii="宋体" w:eastAsia="宋体" w:hAnsi="宋体" w:cs="宋体"/>
          <w:sz w:val="18"/>
          <w:szCs w:val="18"/>
        </w:rPr>
        <w:t>51</w:t>
      </w:r>
      <w:r w:rsidRPr="00FC6EB6">
        <w:rPr>
          <w:rFonts w:ascii="宋体" w:eastAsia="宋体" w:hAnsi="宋体" w:cs="宋体" w:hint="eastAsia"/>
          <w:sz w:val="18"/>
          <w:szCs w:val="18"/>
        </w:rPr>
        <w:t>名参加对象授予</w:t>
      </w:r>
      <w:r w:rsidRPr="00FC6EB6">
        <w:rPr>
          <w:rFonts w:ascii="宋体" w:eastAsia="宋体" w:hAnsi="宋体" w:cs="宋体"/>
          <w:sz w:val="18"/>
          <w:szCs w:val="18"/>
        </w:rPr>
        <w:t>3,750</w:t>
      </w:r>
      <w:r w:rsidRPr="00FC6EB6">
        <w:rPr>
          <w:rFonts w:ascii="宋体" w:eastAsia="宋体" w:hAnsi="宋体" w:cs="宋体" w:hint="eastAsia"/>
          <w:sz w:val="18"/>
          <w:szCs w:val="18"/>
        </w:rPr>
        <w:t>万股限制性股票，本次实际</w:t>
      </w:r>
      <w:r w:rsidRPr="00FC6EB6">
        <w:rPr>
          <w:rFonts w:ascii="宋体" w:eastAsia="宋体" w:hAnsi="宋体" w:cs="宋体"/>
          <w:sz w:val="18"/>
          <w:szCs w:val="18"/>
        </w:rPr>
        <w:t>51</w:t>
      </w:r>
      <w:r w:rsidRPr="00FC6EB6">
        <w:rPr>
          <w:rFonts w:ascii="宋体" w:eastAsia="宋体" w:hAnsi="宋体" w:cs="宋体" w:hint="eastAsia"/>
          <w:sz w:val="18"/>
          <w:szCs w:val="18"/>
        </w:rPr>
        <w:t>名参加对象认购</w:t>
      </w:r>
      <w:r w:rsidRPr="00FC6EB6">
        <w:rPr>
          <w:rFonts w:ascii="宋体" w:eastAsia="宋体" w:hAnsi="宋体" w:cs="宋体"/>
          <w:sz w:val="18"/>
          <w:szCs w:val="18"/>
        </w:rPr>
        <w:t>37,500,000</w:t>
      </w:r>
      <w:r w:rsidRPr="00FC6EB6">
        <w:rPr>
          <w:rFonts w:ascii="宋体" w:eastAsia="宋体" w:hAnsi="宋体" w:cs="宋体" w:hint="eastAsia"/>
          <w:sz w:val="18"/>
          <w:szCs w:val="18"/>
        </w:rPr>
        <w:t>股限制性股票，股票面值</w:t>
      </w:r>
      <w:r w:rsidRPr="00FC6EB6">
        <w:rPr>
          <w:rFonts w:ascii="宋体" w:eastAsia="宋体" w:hAnsi="宋体" w:cs="宋体"/>
          <w:sz w:val="18"/>
          <w:szCs w:val="18"/>
        </w:rPr>
        <w:t>1</w:t>
      </w:r>
      <w:r w:rsidRPr="00FC6EB6">
        <w:rPr>
          <w:rFonts w:ascii="宋体" w:eastAsia="宋体" w:hAnsi="宋体" w:cs="宋体" w:hint="eastAsia"/>
          <w:sz w:val="18"/>
          <w:szCs w:val="18"/>
        </w:rPr>
        <w:t>元，认购价格为</w:t>
      </w:r>
      <w:r w:rsidRPr="00FC6EB6">
        <w:rPr>
          <w:rFonts w:ascii="宋体" w:eastAsia="宋体" w:hAnsi="宋体" w:cs="宋体"/>
          <w:sz w:val="18"/>
          <w:szCs w:val="18"/>
        </w:rPr>
        <w:t>4.00</w:t>
      </w:r>
      <w:r w:rsidRPr="00FC6EB6">
        <w:rPr>
          <w:rFonts w:ascii="宋体" w:eastAsia="宋体" w:hAnsi="宋体" w:cs="宋体" w:hint="eastAsia"/>
          <w:sz w:val="18"/>
          <w:szCs w:val="18"/>
        </w:rPr>
        <w:t>元</w:t>
      </w:r>
      <w:r w:rsidRPr="00FC6EB6">
        <w:rPr>
          <w:rFonts w:ascii="宋体" w:eastAsia="宋体" w:hAnsi="宋体" w:cs="宋体"/>
          <w:sz w:val="18"/>
          <w:szCs w:val="18"/>
        </w:rPr>
        <w:t>/</w:t>
      </w:r>
      <w:r w:rsidRPr="00FC6EB6">
        <w:rPr>
          <w:rFonts w:ascii="宋体" w:eastAsia="宋体" w:hAnsi="宋体" w:cs="宋体" w:hint="eastAsia"/>
          <w:sz w:val="18"/>
          <w:szCs w:val="18"/>
        </w:rPr>
        <w:t>股，认缴股款人民币</w:t>
      </w:r>
      <w:r w:rsidRPr="00FC6EB6">
        <w:rPr>
          <w:rFonts w:ascii="宋体" w:eastAsia="宋体" w:hAnsi="宋体" w:cs="宋体"/>
          <w:sz w:val="18"/>
          <w:szCs w:val="18"/>
        </w:rPr>
        <w:t>150,000,000.00</w:t>
      </w:r>
      <w:r w:rsidRPr="00FC6EB6">
        <w:rPr>
          <w:rFonts w:ascii="宋体" w:eastAsia="宋体" w:hAnsi="宋体" w:cs="宋体" w:hint="eastAsia"/>
          <w:sz w:val="18"/>
          <w:szCs w:val="18"/>
        </w:rPr>
        <w:t>元，资本溢价（股本溢价）增加额为</w:t>
      </w:r>
      <w:r w:rsidRPr="00FC6EB6">
        <w:rPr>
          <w:rFonts w:ascii="宋体" w:eastAsia="宋体" w:hAnsi="宋体" w:cs="宋体"/>
          <w:sz w:val="18"/>
          <w:szCs w:val="18"/>
        </w:rPr>
        <w:t>112,500,000.00</w:t>
      </w:r>
      <w:r w:rsidRPr="00FC6EB6">
        <w:rPr>
          <w:rFonts w:ascii="宋体" w:eastAsia="宋体" w:hAnsi="宋体" w:cs="宋体" w:hint="eastAsia"/>
          <w:sz w:val="18"/>
          <w:szCs w:val="18"/>
        </w:rPr>
        <w:t>元，本期该笔以权益结算的股份支付确认的费用总额</w:t>
      </w:r>
      <w:r w:rsidRPr="00FC6EB6">
        <w:rPr>
          <w:rFonts w:ascii="宋体" w:eastAsia="宋体" w:hAnsi="宋体" w:cs="宋体"/>
          <w:sz w:val="18"/>
          <w:szCs w:val="18"/>
        </w:rPr>
        <w:t>28,945,312.50</w:t>
      </w:r>
      <w:r w:rsidRPr="00FC6EB6">
        <w:rPr>
          <w:rFonts w:ascii="宋体" w:eastAsia="宋体" w:hAnsi="宋体" w:cs="宋体" w:hint="eastAsia"/>
          <w:sz w:val="18"/>
          <w:szCs w:val="18"/>
        </w:rPr>
        <w:t>元。</w:t>
      </w:r>
    </w:p>
    <w:p w:rsidR="008D4B2E" w:rsidRPr="00FC6EB6" w:rsidRDefault="008D4B2E" w:rsidP="00AA53DA">
      <w:pPr>
        <w:ind w:firstLineChars="200" w:firstLine="360"/>
        <w:divId w:val="456333119"/>
        <w:rPr>
          <w:rFonts w:ascii="宋体" w:eastAsia="宋体" w:hAnsi="宋体" w:cs="宋体"/>
          <w:sz w:val="18"/>
          <w:szCs w:val="18"/>
        </w:rPr>
      </w:pPr>
      <w:r w:rsidRPr="00FC6EB6">
        <w:rPr>
          <w:rFonts w:ascii="宋体" w:eastAsia="宋体" w:hAnsi="宋体" w:cs="宋体" w:hint="eastAsia"/>
          <w:sz w:val="18"/>
          <w:szCs w:val="18"/>
        </w:rPr>
        <w:t>⑤根据关于软控（诸暨）智能装备有限公司部分股权转让协议，“股东软控股份有限公司以总计19,209万元的价格收购诸暨市高盈股权投资合伙企业（有限合伙）持有的软控（诸暨）智能装备有限公司48.9913%股权”。收购后对子公司软控（诸暨）智能装备有限公司持股比例变为100%，本次收购事项冲减资本公积（股本溢价）1,683,126.28元。</w:t>
      </w:r>
    </w:p>
    <w:p w:rsidR="008D4B2E" w:rsidRPr="00FC6EB6" w:rsidRDefault="008D4B2E" w:rsidP="00AA53DA">
      <w:pPr>
        <w:divId w:val="456333119"/>
        <w:rPr>
          <w:rFonts w:ascii="宋体" w:eastAsia="宋体" w:hAnsi="宋体" w:cs="宋体"/>
          <w:sz w:val="18"/>
          <w:szCs w:val="18"/>
        </w:rPr>
      </w:pPr>
      <w:r w:rsidRPr="00FC6EB6">
        <w:rPr>
          <w:rFonts w:ascii="宋体" w:eastAsia="宋体" w:hAnsi="宋体" w:cs="宋体" w:hint="eastAsia"/>
          <w:sz w:val="18"/>
          <w:szCs w:val="18"/>
        </w:rPr>
        <w:t>根据《企业会计准则第33号—合并财务报表》第四十七条规定：母公司购买子公司少数股东拥有的子公司股权，在合并财务报表中，因购买少数股权新取得的长期股权投资与按照新增持股比例计算应享有子公司自购买日或</w:t>
      </w:r>
      <w:proofErr w:type="gramStart"/>
      <w:r w:rsidRPr="00FC6EB6">
        <w:rPr>
          <w:rFonts w:ascii="宋体" w:eastAsia="宋体" w:hAnsi="宋体" w:cs="宋体" w:hint="eastAsia"/>
          <w:sz w:val="18"/>
          <w:szCs w:val="18"/>
        </w:rPr>
        <w:t>合并日</w:t>
      </w:r>
      <w:proofErr w:type="gramEnd"/>
      <w:r w:rsidRPr="00FC6EB6">
        <w:rPr>
          <w:rFonts w:ascii="宋体" w:eastAsia="宋体" w:hAnsi="宋体" w:cs="宋体" w:hint="eastAsia"/>
          <w:sz w:val="18"/>
          <w:szCs w:val="18"/>
        </w:rPr>
        <w:t>开始持续计算的净资产份额之间的差额，应当调整资本公积（资本溢价或股本溢价），资本公</w:t>
      </w:r>
      <w:proofErr w:type="gramStart"/>
      <w:r w:rsidRPr="00FC6EB6">
        <w:rPr>
          <w:rFonts w:ascii="宋体" w:eastAsia="宋体" w:hAnsi="宋体" w:cs="宋体" w:hint="eastAsia"/>
          <w:sz w:val="18"/>
          <w:szCs w:val="18"/>
        </w:rPr>
        <w:t>积不足</w:t>
      </w:r>
      <w:proofErr w:type="gramEnd"/>
      <w:r w:rsidRPr="00FC6EB6">
        <w:rPr>
          <w:rFonts w:ascii="宋体" w:eastAsia="宋体" w:hAnsi="宋体" w:cs="宋体" w:hint="eastAsia"/>
          <w:sz w:val="18"/>
          <w:szCs w:val="18"/>
        </w:rPr>
        <w:t>冲减的，调整留存收益。</w:t>
      </w:r>
    </w:p>
    <w:p w:rsidR="00BA0365" w:rsidRDefault="008D4B2E">
      <w:pPr>
        <w:pStyle w:val="3"/>
        <w:spacing w:line="280" w:lineRule="exact"/>
        <w:jc w:val="left"/>
        <w:rPr>
          <w:rFonts w:ascii="宋体" w:hAnsi="宋体" w:cs="宋体"/>
          <w:b/>
          <w:bCs/>
        </w:rPr>
      </w:pPr>
      <w:bookmarkStart w:id="317" w:name="_Toc989208"/>
      <w:r>
        <w:rPr>
          <w:rFonts w:ascii="宋体" w:hAnsi="宋体" w:cs="宋体"/>
          <w:b/>
          <w:bCs/>
        </w:rPr>
        <w:t>37、库存股</w:t>
      </w:r>
      <w:bookmarkEnd w:id="317"/>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1927"/>
        <w:gridCol w:w="1928"/>
        <w:gridCol w:w="1928"/>
        <w:gridCol w:w="1928"/>
        <w:gridCol w:w="1928"/>
      </w:tblGrid>
      <w:tr w:rsidR="00157EA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157EA0">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库存股</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91,439,200.00</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150,000,000.00</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40,307,696.00</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201,131,504.00</w:t>
            </w:r>
          </w:p>
        </w:tc>
      </w:tr>
      <w:tr w:rsidR="00157EA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91,439,200.00</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150,000,000.00</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40,307,696.00</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201,131,504.00</w:t>
            </w:r>
          </w:p>
        </w:tc>
      </w:tr>
    </w:tbl>
    <w:p w:rsidR="00BA0365" w:rsidRDefault="008D4B2E" w:rsidP="00AA53DA">
      <w:pPr>
        <w:ind w:firstLineChars="200" w:firstLine="360"/>
        <w:rPr>
          <w:rFonts w:ascii="宋体" w:eastAsia="宋体" w:hAnsi="宋体" w:cs="宋体"/>
          <w:sz w:val="18"/>
          <w:szCs w:val="18"/>
        </w:rPr>
      </w:pPr>
      <w:r>
        <w:rPr>
          <w:rFonts w:ascii="宋体" w:eastAsia="宋体" w:hAnsi="宋体" w:cs="宋体"/>
          <w:sz w:val="18"/>
          <w:szCs w:val="18"/>
        </w:rPr>
        <w:t>其他说明，包括本期增减变动情况、变动原因说明：</w:t>
      </w:r>
    </w:p>
    <w:p w:rsidR="008D4B2E" w:rsidRPr="001112C2" w:rsidRDefault="008D4B2E" w:rsidP="00AA53DA">
      <w:pPr>
        <w:ind w:firstLineChars="200" w:firstLine="360"/>
        <w:divId w:val="1680277743"/>
        <w:rPr>
          <w:rFonts w:ascii="宋体" w:eastAsia="宋体" w:hAnsi="宋体" w:cs="宋体"/>
          <w:sz w:val="18"/>
          <w:szCs w:val="18"/>
        </w:rPr>
      </w:pPr>
      <w:r w:rsidRPr="001112C2">
        <w:rPr>
          <w:rFonts w:ascii="宋体" w:eastAsia="宋体" w:hAnsi="宋体" w:cs="宋体" w:hint="eastAsia"/>
          <w:sz w:val="18"/>
          <w:szCs w:val="18"/>
        </w:rPr>
        <w:t>①根据公司《关于</w:t>
      </w:r>
      <w:r w:rsidRPr="001112C2">
        <w:rPr>
          <w:rFonts w:ascii="宋体" w:eastAsia="宋体" w:hAnsi="宋体" w:cs="宋体"/>
          <w:sz w:val="18"/>
          <w:szCs w:val="18"/>
        </w:rPr>
        <w:t>〈2021</w:t>
      </w:r>
      <w:r w:rsidRPr="001112C2">
        <w:rPr>
          <w:rFonts w:ascii="宋体" w:eastAsia="宋体" w:hAnsi="宋体" w:cs="宋体" w:hint="eastAsia"/>
          <w:sz w:val="18"/>
          <w:szCs w:val="18"/>
        </w:rPr>
        <w:t>年限制性股票激励计划（草案）</w:t>
      </w:r>
      <w:r w:rsidRPr="001112C2">
        <w:rPr>
          <w:rFonts w:ascii="宋体" w:eastAsia="宋体" w:hAnsi="宋体" w:cs="宋体"/>
          <w:sz w:val="18"/>
          <w:szCs w:val="18"/>
        </w:rPr>
        <w:t>〉</w:t>
      </w:r>
      <w:r w:rsidRPr="001112C2">
        <w:rPr>
          <w:rFonts w:ascii="宋体" w:eastAsia="宋体" w:hAnsi="宋体" w:cs="宋体" w:hint="eastAsia"/>
          <w:sz w:val="18"/>
          <w:szCs w:val="18"/>
        </w:rPr>
        <w:t>及其摘要的议案》的规定，确定对官</w:t>
      </w:r>
      <w:proofErr w:type="gramStart"/>
      <w:r w:rsidRPr="001112C2">
        <w:rPr>
          <w:rFonts w:ascii="宋体" w:eastAsia="宋体" w:hAnsi="宋体" w:cs="宋体" w:hint="eastAsia"/>
          <w:sz w:val="18"/>
          <w:szCs w:val="18"/>
        </w:rPr>
        <w:t>炳</w:t>
      </w:r>
      <w:proofErr w:type="gramEnd"/>
      <w:r w:rsidRPr="001112C2">
        <w:rPr>
          <w:rFonts w:ascii="宋体" w:eastAsia="宋体" w:hAnsi="宋体" w:cs="宋体" w:hint="eastAsia"/>
          <w:sz w:val="18"/>
          <w:szCs w:val="18"/>
        </w:rPr>
        <w:t>政、杨慧丽、张垚等</w:t>
      </w:r>
      <w:r w:rsidRPr="001112C2">
        <w:rPr>
          <w:rFonts w:ascii="宋体" w:eastAsia="宋体" w:hAnsi="宋体" w:cs="宋体"/>
          <w:sz w:val="18"/>
          <w:szCs w:val="18"/>
        </w:rPr>
        <w:t>20</w:t>
      </w:r>
      <w:r w:rsidRPr="001112C2">
        <w:rPr>
          <w:rFonts w:ascii="宋体" w:eastAsia="宋体" w:hAnsi="宋体" w:cs="宋体" w:hint="eastAsia"/>
          <w:sz w:val="18"/>
          <w:szCs w:val="18"/>
        </w:rPr>
        <w:t>名参加对象授予</w:t>
      </w:r>
      <w:r w:rsidRPr="001112C2">
        <w:rPr>
          <w:rFonts w:ascii="宋体" w:eastAsia="宋体" w:hAnsi="宋体" w:cs="宋体"/>
          <w:sz w:val="18"/>
          <w:szCs w:val="18"/>
        </w:rPr>
        <w:t>1,960</w:t>
      </w:r>
      <w:r w:rsidRPr="001112C2">
        <w:rPr>
          <w:rFonts w:ascii="宋体" w:eastAsia="宋体" w:hAnsi="宋体" w:cs="宋体" w:hint="eastAsia"/>
          <w:sz w:val="18"/>
          <w:szCs w:val="18"/>
        </w:rPr>
        <w:t>万股限制性股票，本次实际</w:t>
      </w:r>
      <w:r w:rsidRPr="001112C2">
        <w:rPr>
          <w:rFonts w:ascii="宋体" w:eastAsia="宋体" w:hAnsi="宋体" w:cs="宋体"/>
          <w:sz w:val="18"/>
          <w:szCs w:val="18"/>
        </w:rPr>
        <w:t>20</w:t>
      </w:r>
      <w:r w:rsidRPr="001112C2">
        <w:rPr>
          <w:rFonts w:ascii="宋体" w:eastAsia="宋体" w:hAnsi="宋体" w:cs="宋体" w:hint="eastAsia"/>
          <w:sz w:val="18"/>
          <w:szCs w:val="18"/>
        </w:rPr>
        <w:t>名参加对象认购</w:t>
      </w:r>
      <w:r w:rsidRPr="001112C2">
        <w:rPr>
          <w:rFonts w:ascii="宋体" w:eastAsia="宋体" w:hAnsi="宋体" w:cs="宋体"/>
          <w:sz w:val="18"/>
          <w:szCs w:val="18"/>
        </w:rPr>
        <w:t>19,600,000</w:t>
      </w:r>
      <w:r w:rsidRPr="001112C2">
        <w:rPr>
          <w:rFonts w:ascii="宋体" w:eastAsia="宋体" w:hAnsi="宋体" w:cs="宋体" w:hint="eastAsia"/>
          <w:sz w:val="18"/>
          <w:szCs w:val="18"/>
        </w:rPr>
        <w:t>股限制性股票，股票面值</w:t>
      </w:r>
      <w:r w:rsidRPr="001112C2">
        <w:rPr>
          <w:rFonts w:ascii="宋体" w:eastAsia="宋体" w:hAnsi="宋体" w:cs="宋体"/>
          <w:sz w:val="18"/>
          <w:szCs w:val="18"/>
        </w:rPr>
        <w:t>1</w:t>
      </w:r>
      <w:r w:rsidRPr="001112C2">
        <w:rPr>
          <w:rFonts w:ascii="宋体" w:eastAsia="宋体" w:hAnsi="宋体" w:cs="宋体" w:hint="eastAsia"/>
          <w:sz w:val="18"/>
          <w:szCs w:val="18"/>
        </w:rPr>
        <w:t>元，认购价格为</w:t>
      </w:r>
      <w:r w:rsidRPr="001112C2">
        <w:rPr>
          <w:rFonts w:ascii="宋体" w:eastAsia="宋体" w:hAnsi="宋体" w:cs="宋体"/>
          <w:sz w:val="18"/>
          <w:szCs w:val="18"/>
        </w:rPr>
        <w:t>2.55</w:t>
      </w:r>
      <w:r w:rsidRPr="001112C2">
        <w:rPr>
          <w:rFonts w:ascii="宋体" w:eastAsia="宋体" w:hAnsi="宋体" w:cs="宋体" w:hint="eastAsia"/>
          <w:sz w:val="18"/>
          <w:szCs w:val="18"/>
        </w:rPr>
        <w:t>元</w:t>
      </w:r>
      <w:r w:rsidRPr="001112C2">
        <w:rPr>
          <w:rFonts w:ascii="宋体" w:eastAsia="宋体" w:hAnsi="宋体" w:cs="宋体"/>
          <w:sz w:val="18"/>
          <w:szCs w:val="18"/>
        </w:rPr>
        <w:t>/</w:t>
      </w:r>
      <w:r w:rsidRPr="001112C2">
        <w:rPr>
          <w:rFonts w:ascii="宋体" w:eastAsia="宋体" w:hAnsi="宋体" w:cs="宋体" w:hint="eastAsia"/>
          <w:sz w:val="18"/>
          <w:szCs w:val="18"/>
        </w:rPr>
        <w:t>股。该员工持股计划业绩已达到第二期限制性股票解锁条件，因此本期冲回已确认库存股</w:t>
      </w:r>
      <w:r w:rsidRPr="001112C2">
        <w:rPr>
          <w:rFonts w:ascii="宋体" w:eastAsia="宋体" w:hAnsi="宋体" w:cs="宋体"/>
          <w:sz w:val="18"/>
          <w:szCs w:val="18"/>
        </w:rPr>
        <w:t>14,994,000.00</w:t>
      </w:r>
      <w:r w:rsidRPr="001112C2">
        <w:rPr>
          <w:rFonts w:ascii="宋体" w:eastAsia="宋体" w:hAnsi="宋体" w:cs="宋体" w:hint="eastAsia"/>
          <w:sz w:val="18"/>
          <w:szCs w:val="18"/>
        </w:rPr>
        <w:t>元。</w:t>
      </w:r>
    </w:p>
    <w:p w:rsidR="008D4B2E" w:rsidRPr="001112C2" w:rsidRDefault="008D4B2E" w:rsidP="00AA53DA">
      <w:pPr>
        <w:ind w:firstLineChars="200" w:firstLine="360"/>
        <w:divId w:val="1680277743"/>
        <w:rPr>
          <w:rFonts w:ascii="宋体" w:eastAsia="宋体" w:hAnsi="宋体" w:cs="宋体"/>
          <w:sz w:val="18"/>
          <w:szCs w:val="18"/>
        </w:rPr>
      </w:pPr>
      <w:r w:rsidRPr="001112C2">
        <w:rPr>
          <w:rFonts w:ascii="宋体" w:eastAsia="宋体" w:hAnsi="宋体" w:cs="宋体" w:hint="eastAsia"/>
          <w:sz w:val="18"/>
          <w:szCs w:val="18"/>
        </w:rPr>
        <w:t>②根据公司《关于</w:t>
      </w:r>
      <w:r w:rsidRPr="001112C2">
        <w:rPr>
          <w:rFonts w:ascii="宋体" w:eastAsia="宋体" w:hAnsi="宋体" w:cs="宋体"/>
          <w:sz w:val="18"/>
          <w:szCs w:val="18"/>
        </w:rPr>
        <w:t>〈</w:t>
      </w:r>
      <w:r w:rsidRPr="001112C2">
        <w:rPr>
          <w:rFonts w:ascii="宋体" w:eastAsia="宋体" w:hAnsi="宋体" w:cs="宋体" w:hint="eastAsia"/>
          <w:sz w:val="18"/>
          <w:szCs w:val="18"/>
        </w:rPr>
        <w:t>软控股份有限公司</w:t>
      </w:r>
      <w:r w:rsidRPr="001112C2">
        <w:rPr>
          <w:rFonts w:ascii="宋体" w:eastAsia="宋体" w:hAnsi="宋体" w:cs="宋体"/>
          <w:sz w:val="18"/>
          <w:szCs w:val="18"/>
        </w:rPr>
        <w:t>2022</w:t>
      </w:r>
      <w:r w:rsidRPr="001112C2">
        <w:rPr>
          <w:rFonts w:ascii="宋体" w:eastAsia="宋体" w:hAnsi="宋体" w:cs="宋体" w:hint="eastAsia"/>
          <w:sz w:val="18"/>
          <w:szCs w:val="18"/>
        </w:rPr>
        <w:t>年股票期权与限制性股票激励计划（草案）</w:t>
      </w:r>
      <w:r w:rsidRPr="001112C2">
        <w:rPr>
          <w:rFonts w:ascii="宋体" w:eastAsia="宋体" w:hAnsi="宋体" w:cs="宋体"/>
          <w:sz w:val="18"/>
          <w:szCs w:val="18"/>
        </w:rPr>
        <w:t>〉</w:t>
      </w:r>
      <w:r w:rsidRPr="001112C2">
        <w:rPr>
          <w:rFonts w:ascii="宋体" w:eastAsia="宋体" w:hAnsi="宋体" w:cs="宋体" w:hint="eastAsia"/>
          <w:sz w:val="18"/>
          <w:szCs w:val="18"/>
        </w:rPr>
        <w:t>及其摘要的议案》的规定，确定向符合激励计划的激励对象授予总计</w:t>
      </w:r>
      <w:r w:rsidRPr="001112C2">
        <w:rPr>
          <w:rFonts w:ascii="宋体" w:eastAsia="宋体" w:hAnsi="宋体" w:cs="宋体"/>
          <w:sz w:val="18"/>
          <w:szCs w:val="18"/>
        </w:rPr>
        <w:t>3,980.00</w:t>
      </w:r>
      <w:r w:rsidRPr="001112C2">
        <w:rPr>
          <w:rFonts w:ascii="宋体" w:eastAsia="宋体" w:hAnsi="宋体" w:cs="宋体" w:hint="eastAsia"/>
          <w:sz w:val="18"/>
          <w:szCs w:val="18"/>
        </w:rPr>
        <w:t>万份权益。其中，确定对官</w:t>
      </w:r>
      <w:proofErr w:type="gramStart"/>
      <w:r w:rsidRPr="001112C2">
        <w:rPr>
          <w:rFonts w:ascii="宋体" w:eastAsia="宋体" w:hAnsi="宋体" w:cs="宋体" w:hint="eastAsia"/>
          <w:sz w:val="18"/>
          <w:szCs w:val="18"/>
        </w:rPr>
        <w:t>炳</w:t>
      </w:r>
      <w:proofErr w:type="gramEnd"/>
      <w:r w:rsidRPr="001112C2">
        <w:rPr>
          <w:rFonts w:ascii="宋体" w:eastAsia="宋体" w:hAnsi="宋体" w:cs="宋体" w:hint="eastAsia"/>
          <w:sz w:val="18"/>
          <w:szCs w:val="18"/>
        </w:rPr>
        <w:t>政、张垚、杨慧丽等</w:t>
      </w:r>
      <w:r w:rsidRPr="001112C2">
        <w:rPr>
          <w:rFonts w:ascii="宋体" w:eastAsia="宋体" w:hAnsi="宋体" w:cs="宋体"/>
          <w:sz w:val="18"/>
          <w:szCs w:val="18"/>
        </w:rPr>
        <w:t>251</w:t>
      </w:r>
      <w:r w:rsidRPr="001112C2">
        <w:rPr>
          <w:rFonts w:ascii="宋体" w:eastAsia="宋体" w:hAnsi="宋体" w:cs="宋体" w:hint="eastAsia"/>
          <w:sz w:val="18"/>
          <w:szCs w:val="18"/>
        </w:rPr>
        <w:t>名激励对象授予</w:t>
      </w:r>
      <w:r w:rsidRPr="001112C2">
        <w:rPr>
          <w:rFonts w:ascii="宋体" w:eastAsia="宋体" w:hAnsi="宋体" w:cs="宋体"/>
          <w:sz w:val="18"/>
          <w:szCs w:val="18"/>
        </w:rPr>
        <w:t>2388</w:t>
      </w:r>
      <w:r w:rsidRPr="001112C2">
        <w:rPr>
          <w:rFonts w:ascii="宋体" w:eastAsia="宋体" w:hAnsi="宋体" w:cs="宋体" w:hint="eastAsia"/>
          <w:sz w:val="18"/>
          <w:szCs w:val="18"/>
        </w:rPr>
        <w:t>万份股票期权，期权行权价格为</w:t>
      </w:r>
      <w:r w:rsidRPr="001112C2">
        <w:rPr>
          <w:rFonts w:ascii="宋体" w:eastAsia="宋体" w:hAnsi="宋体" w:cs="宋体"/>
          <w:sz w:val="18"/>
          <w:szCs w:val="18"/>
        </w:rPr>
        <w:t>6.17</w:t>
      </w:r>
      <w:r w:rsidRPr="001112C2">
        <w:rPr>
          <w:rFonts w:ascii="宋体" w:eastAsia="宋体" w:hAnsi="宋体" w:cs="宋体" w:hint="eastAsia"/>
          <w:sz w:val="18"/>
          <w:szCs w:val="18"/>
        </w:rPr>
        <w:t>元</w:t>
      </w:r>
      <w:r w:rsidRPr="001112C2">
        <w:rPr>
          <w:rFonts w:ascii="宋体" w:eastAsia="宋体" w:hAnsi="宋体" w:cs="宋体"/>
          <w:sz w:val="18"/>
          <w:szCs w:val="18"/>
        </w:rPr>
        <w:t>/</w:t>
      </w:r>
      <w:r w:rsidRPr="001112C2">
        <w:rPr>
          <w:rFonts w:ascii="宋体" w:eastAsia="宋体" w:hAnsi="宋体" w:cs="宋体" w:hint="eastAsia"/>
          <w:sz w:val="18"/>
          <w:szCs w:val="18"/>
        </w:rPr>
        <w:t>股；确定对官</w:t>
      </w:r>
      <w:proofErr w:type="gramStart"/>
      <w:r w:rsidRPr="001112C2">
        <w:rPr>
          <w:rFonts w:ascii="宋体" w:eastAsia="宋体" w:hAnsi="宋体" w:cs="宋体" w:hint="eastAsia"/>
          <w:sz w:val="18"/>
          <w:szCs w:val="18"/>
        </w:rPr>
        <w:t>炳</w:t>
      </w:r>
      <w:proofErr w:type="gramEnd"/>
      <w:r w:rsidRPr="001112C2">
        <w:rPr>
          <w:rFonts w:ascii="宋体" w:eastAsia="宋体" w:hAnsi="宋体" w:cs="宋体" w:hint="eastAsia"/>
          <w:sz w:val="18"/>
          <w:szCs w:val="18"/>
        </w:rPr>
        <w:t>政、张垚、杨慧丽等</w:t>
      </w:r>
      <w:r w:rsidRPr="001112C2">
        <w:rPr>
          <w:rFonts w:ascii="宋体" w:eastAsia="宋体" w:hAnsi="宋体" w:cs="宋体"/>
          <w:sz w:val="18"/>
          <w:szCs w:val="18"/>
        </w:rPr>
        <w:t>245</w:t>
      </w:r>
      <w:r w:rsidRPr="001112C2">
        <w:rPr>
          <w:rFonts w:ascii="宋体" w:eastAsia="宋体" w:hAnsi="宋体" w:cs="宋体" w:hint="eastAsia"/>
          <w:sz w:val="18"/>
          <w:szCs w:val="18"/>
        </w:rPr>
        <w:t>名参加对象授予</w:t>
      </w:r>
      <w:r w:rsidRPr="001112C2">
        <w:rPr>
          <w:rFonts w:ascii="宋体" w:eastAsia="宋体" w:hAnsi="宋体" w:cs="宋体"/>
          <w:sz w:val="18"/>
          <w:szCs w:val="18"/>
        </w:rPr>
        <w:t>1,592</w:t>
      </w:r>
      <w:r w:rsidRPr="001112C2">
        <w:rPr>
          <w:rFonts w:ascii="宋体" w:eastAsia="宋体" w:hAnsi="宋体" w:cs="宋体" w:hint="eastAsia"/>
          <w:sz w:val="18"/>
          <w:szCs w:val="18"/>
        </w:rPr>
        <w:t>万股限制性股票，本次实际</w:t>
      </w:r>
      <w:r w:rsidRPr="001112C2">
        <w:rPr>
          <w:rFonts w:ascii="宋体" w:eastAsia="宋体" w:hAnsi="宋体" w:cs="宋体"/>
          <w:sz w:val="18"/>
          <w:szCs w:val="18"/>
        </w:rPr>
        <w:t>245</w:t>
      </w:r>
      <w:r w:rsidRPr="001112C2">
        <w:rPr>
          <w:rFonts w:ascii="宋体" w:eastAsia="宋体" w:hAnsi="宋体" w:cs="宋体" w:hint="eastAsia"/>
          <w:sz w:val="18"/>
          <w:szCs w:val="18"/>
        </w:rPr>
        <w:t>名参加对象认购</w:t>
      </w:r>
      <w:r w:rsidRPr="001112C2">
        <w:rPr>
          <w:rFonts w:ascii="宋体" w:eastAsia="宋体" w:hAnsi="宋体" w:cs="宋体"/>
          <w:sz w:val="18"/>
          <w:szCs w:val="18"/>
        </w:rPr>
        <w:t>15,920,000</w:t>
      </w:r>
      <w:r w:rsidRPr="001112C2">
        <w:rPr>
          <w:rFonts w:ascii="宋体" w:eastAsia="宋体" w:hAnsi="宋体" w:cs="宋体" w:hint="eastAsia"/>
          <w:sz w:val="18"/>
          <w:szCs w:val="18"/>
        </w:rPr>
        <w:t>股限制性股票，股票面值</w:t>
      </w:r>
      <w:r w:rsidRPr="001112C2">
        <w:rPr>
          <w:rFonts w:ascii="宋体" w:eastAsia="宋体" w:hAnsi="宋体" w:cs="宋体"/>
          <w:sz w:val="18"/>
          <w:szCs w:val="18"/>
        </w:rPr>
        <w:t>1</w:t>
      </w:r>
      <w:r w:rsidRPr="001112C2">
        <w:rPr>
          <w:rFonts w:ascii="宋体" w:eastAsia="宋体" w:hAnsi="宋体" w:cs="宋体" w:hint="eastAsia"/>
          <w:sz w:val="18"/>
          <w:szCs w:val="18"/>
        </w:rPr>
        <w:t>元，认购价格为</w:t>
      </w:r>
      <w:r w:rsidRPr="001112C2">
        <w:rPr>
          <w:rFonts w:ascii="宋体" w:eastAsia="宋体" w:hAnsi="宋体" w:cs="宋体"/>
          <w:sz w:val="18"/>
          <w:szCs w:val="18"/>
        </w:rPr>
        <w:t>3.86</w:t>
      </w:r>
      <w:r w:rsidRPr="001112C2">
        <w:rPr>
          <w:rFonts w:ascii="宋体" w:eastAsia="宋体" w:hAnsi="宋体" w:cs="宋体" w:hint="eastAsia"/>
          <w:sz w:val="18"/>
          <w:szCs w:val="18"/>
        </w:rPr>
        <w:t>元</w:t>
      </w:r>
      <w:r w:rsidRPr="001112C2">
        <w:rPr>
          <w:rFonts w:ascii="宋体" w:eastAsia="宋体" w:hAnsi="宋体" w:cs="宋体"/>
          <w:sz w:val="18"/>
          <w:szCs w:val="18"/>
        </w:rPr>
        <w:t>/</w:t>
      </w:r>
      <w:r w:rsidRPr="001112C2">
        <w:rPr>
          <w:rFonts w:ascii="宋体" w:eastAsia="宋体" w:hAnsi="宋体" w:cs="宋体" w:hint="eastAsia"/>
          <w:sz w:val="18"/>
          <w:szCs w:val="18"/>
        </w:rPr>
        <w:t>股。</w:t>
      </w:r>
    </w:p>
    <w:p w:rsidR="008D4B2E" w:rsidRPr="001112C2" w:rsidRDefault="008D4B2E" w:rsidP="00AA53DA">
      <w:pPr>
        <w:ind w:firstLineChars="200" w:firstLine="360"/>
        <w:divId w:val="1680277743"/>
        <w:rPr>
          <w:rFonts w:ascii="宋体" w:eastAsia="宋体" w:hAnsi="宋体" w:cs="宋体"/>
          <w:sz w:val="18"/>
          <w:szCs w:val="18"/>
        </w:rPr>
      </w:pPr>
      <w:r w:rsidRPr="001112C2">
        <w:rPr>
          <w:rFonts w:ascii="宋体" w:eastAsia="宋体" w:hAnsi="宋体" w:cs="宋体"/>
          <w:sz w:val="18"/>
          <w:szCs w:val="18"/>
        </w:rPr>
        <w:t>2023</w:t>
      </w:r>
      <w:r w:rsidRPr="001112C2">
        <w:rPr>
          <w:rFonts w:ascii="宋体" w:eastAsia="宋体" w:hAnsi="宋体" w:cs="宋体" w:hint="eastAsia"/>
          <w:sz w:val="18"/>
          <w:szCs w:val="18"/>
        </w:rPr>
        <w:t>年</w:t>
      </w:r>
      <w:r w:rsidRPr="001112C2">
        <w:rPr>
          <w:rFonts w:ascii="宋体" w:eastAsia="宋体" w:hAnsi="宋体" w:cs="宋体"/>
          <w:sz w:val="18"/>
          <w:szCs w:val="18"/>
        </w:rPr>
        <w:t>5</w:t>
      </w:r>
      <w:r w:rsidRPr="001112C2">
        <w:rPr>
          <w:rFonts w:ascii="宋体" w:eastAsia="宋体" w:hAnsi="宋体" w:cs="宋体" w:hint="eastAsia"/>
          <w:sz w:val="18"/>
          <w:szCs w:val="18"/>
        </w:rPr>
        <w:t>月</w:t>
      </w:r>
      <w:r w:rsidRPr="001112C2">
        <w:rPr>
          <w:rFonts w:ascii="宋体" w:eastAsia="宋体" w:hAnsi="宋体" w:cs="宋体"/>
          <w:sz w:val="18"/>
          <w:szCs w:val="18"/>
        </w:rPr>
        <w:t>8</w:t>
      </w:r>
      <w:r w:rsidRPr="001112C2">
        <w:rPr>
          <w:rFonts w:ascii="宋体" w:eastAsia="宋体" w:hAnsi="宋体" w:cs="宋体" w:hint="eastAsia"/>
          <w:sz w:val="18"/>
          <w:szCs w:val="18"/>
        </w:rPr>
        <w:t>日召开</w:t>
      </w:r>
      <w:r w:rsidRPr="001112C2">
        <w:rPr>
          <w:rFonts w:ascii="宋体" w:eastAsia="宋体" w:hAnsi="宋体" w:cs="宋体"/>
          <w:sz w:val="18"/>
          <w:szCs w:val="18"/>
        </w:rPr>
        <w:t>2022</w:t>
      </w:r>
      <w:r w:rsidRPr="001112C2">
        <w:rPr>
          <w:rFonts w:ascii="宋体" w:eastAsia="宋体" w:hAnsi="宋体" w:cs="宋体" w:hint="eastAsia"/>
          <w:sz w:val="18"/>
          <w:szCs w:val="18"/>
        </w:rPr>
        <w:t>年度股东大会，审议通过了《关于注销部分股票期权和回购注销部分限制性股票的议案》。确定对</w:t>
      </w:r>
      <w:proofErr w:type="gramStart"/>
      <w:r w:rsidRPr="001112C2">
        <w:rPr>
          <w:rFonts w:ascii="宋体" w:eastAsia="宋体" w:hAnsi="宋体" w:cs="宋体" w:hint="eastAsia"/>
          <w:sz w:val="18"/>
          <w:szCs w:val="18"/>
        </w:rPr>
        <w:t>张颖朝</w:t>
      </w:r>
      <w:proofErr w:type="gramEnd"/>
      <w:r w:rsidRPr="001112C2">
        <w:rPr>
          <w:rFonts w:ascii="宋体" w:eastAsia="宋体" w:hAnsi="宋体" w:cs="宋体"/>
          <w:sz w:val="18"/>
          <w:szCs w:val="18"/>
        </w:rPr>
        <w:t>1</w:t>
      </w:r>
      <w:r w:rsidRPr="001112C2">
        <w:rPr>
          <w:rFonts w:ascii="宋体" w:eastAsia="宋体" w:hAnsi="宋体" w:cs="宋体" w:hint="eastAsia"/>
          <w:sz w:val="18"/>
          <w:szCs w:val="18"/>
        </w:rPr>
        <w:t>人所持</w:t>
      </w:r>
      <w:proofErr w:type="gramStart"/>
      <w:r w:rsidRPr="001112C2">
        <w:rPr>
          <w:rFonts w:ascii="宋体" w:eastAsia="宋体" w:hAnsi="宋体" w:cs="宋体" w:hint="eastAsia"/>
          <w:sz w:val="18"/>
          <w:szCs w:val="18"/>
        </w:rPr>
        <w:t>已获授但尚未</w:t>
      </w:r>
      <w:proofErr w:type="gramEnd"/>
      <w:r w:rsidRPr="001112C2">
        <w:rPr>
          <w:rFonts w:ascii="宋体" w:eastAsia="宋体" w:hAnsi="宋体" w:cs="宋体" w:hint="eastAsia"/>
          <w:sz w:val="18"/>
          <w:szCs w:val="18"/>
        </w:rPr>
        <w:t>解锁的</w:t>
      </w:r>
      <w:r w:rsidRPr="001112C2">
        <w:rPr>
          <w:rFonts w:ascii="宋体" w:eastAsia="宋体" w:hAnsi="宋体" w:cs="宋体"/>
          <w:sz w:val="18"/>
          <w:szCs w:val="18"/>
        </w:rPr>
        <w:t>10,000</w:t>
      </w:r>
      <w:r w:rsidRPr="001112C2">
        <w:rPr>
          <w:rFonts w:ascii="宋体" w:eastAsia="宋体" w:hAnsi="宋体" w:cs="宋体" w:hint="eastAsia"/>
          <w:sz w:val="18"/>
          <w:szCs w:val="18"/>
        </w:rPr>
        <w:t>股限制性股票进行回购注销。冲回库存股</w:t>
      </w:r>
      <w:r w:rsidRPr="001112C2">
        <w:rPr>
          <w:rFonts w:ascii="宋体" w:eastAsia="宋体" w:hAnsi="宋体" w:cs="宋体"/>
          <w:sz w:val="18"/>
          <w:szCs w:val="18"/>
        </w:rPr>
        <w:t>38,600.00</w:t>
      </w:r>
      <w:r w:rsidRPr="001112C2">
        <w:rPr>
          <w:rFonts w:ascii="宋体" w:eastAsia="宋体" w:hAnsi="宋体" w:cs="宋体" w:hint="eastAsia"/>
          <w:sz w:val="18"/>
          <w:szCs w:val="18"/>
        </w:rPr>
        <w:t>元。</w:t>
      </w:r>
    </w:p>
    <w:p w:rsidR="008D4B2E" w:rsidRPr="001112C2" w:rsidRDefault="008D4B2E" w:rsidP="00AA53DA">
      <w:pPr>
        <w:ind w:firstLineChars="200" w:firstLine="360"/>
        <w:divId w:val="1680277743"/>
        <w:rPr>
          <w:rFonts w:ascii="宋体" w:eastAsia="宋体" w:hAnsi="宋体" w:cs="宋体"/>
          <w:sz w:val="18"/>
          <w:szCs w:val="18"/>
        </w:rPr>
      </w:pPr>
      <w:r w:rsidRPr="001112C2">
        <w:rPr>
          <w:rFonts w:ascii="宋体" w:eastAsia="宋体" w:hAnsi="宋体" w:cs="宋体" w:hint="eastAsia"/>
          <w:sz w:val="18"/>
          <w:szCs w:val="18"/>
        </w:rPr>
        <w:t>由于该员工持股计划业绩已达到第一期限制性股票解锁条件，因此本期冲回已确认库存股</w:t>
      </w:r>
      <w:r w:rsidRPr="001112C2">
        <w:rPr>
          <w:rFonts w:ascii="宋体" w:eastAsia="宋体" w:hAnsi="宋体" w:cs="宋体"/>
          <w:sz w:val="18"/>
          <w:szCs w:val="18"/>
        </w:rPr>
        <w:t>24,565,040.00</w:t>
      </w:r>
      <w:r w:rsidRPr="001112C2">
        <w:rPr>
          <w:rFonts w:ascii="宋体" w:eastAsia="宋体" w:hAnsi="宋体" w:cs="宋体" w:hint="eastAsia"/>
          <w:sz w:val="18"/>
          <w:szCs w:val="18"/>
        </w:rPr>
        <w:t>元。</w:t>
      </w:r>
    </w:p>
    <w:p w:rsidR="008D4B2E" w:rsidRPr="001112C2" w:rsidRDefault="008D4B2E" w:rsidP="00AA53DA">
      <w:pPr>
        <w:ind w:firstLineChars="200" w:firstLine="360"/>
        <w:divId w:val="1680277743"/>
        <w:rPr>
          <w:rFonts w:ascii="宋体" w:eastAsia="宋体" w:hAnsi="宋体" w:cs="宋体"/>
          <w:sz w:val="18"/>
          <w:szCs w:val="18"/>
        </w:rPr>
      </w:pPr>
      <w:r w:rsidRPr="001112C2">
        <w:rPr>
          <w:rFonts w:ascii="宋体" w:eastAsia="宋体" w:hAnsi="宋体" w:cs="宋体" w:hint="eastAsia"/>
          <w:sz w:val="18"/>
          <w:szCs w:val="18"/>
        </w:rPr>
        <w:t>③</w:t>
      </w:r>
      <w:r w:rsidRPr="001112C2">
        <w:rPr>
          <w:rFonts w:ascii="宋体" w:eastAsia="宋体" w:hAnsi="宋体" w:cs="宋体"/>
          <w:sz w:val="18"/>
          <w:szCs w:val="18"/>
        </w:rPr>
        <w:t>2023</w:t>
      </w:r>
      <w:r w:rsidRPr="001112C2">
        <w:rPr>
          <w:rFonts w:ascii="宋体" w:eastAsia="宋体" w:hAnsi="宋体" w:cs="宋体" w:hint="eastAsia"/>
          <w:sz w:val="18"/>
          <w:szCs w:val="18"/>
        </w:rPr>
        <w:t>年</w:t>
      </w:r>
      <w:r w:rsidRPr="001112C2">
        <w:rPr>
          <w:rFonts w:ascii="宋体" w:eastAsia="宋体" w:hAnsi="宋体" w:cs="宋体"/>
          <w:sz w:val="18"/>
          <w:szCs w:val="18"/>
        </w:rPr>
        <w:t>5</w:t>
      </w:r>
      <w:r w:rsidRPr="001112C2">
        <w:rPr>
          <w:rFonts w:ascii="宋体" w:eastAsia="宋体" w:hAnsi="宋体" w:cs="宋体" w:hint="eastAsia"/>
          <w:sz w:val="18"/>
          <w:szCs w:val="18"/>
        </w:rPr>
        <w:t>月</w:t>
      </w:r>
      <w:r w:rsidRPr="001112C2">
        <w:rPr>
          <w:rFonts w:ascii="宋体" w:eastAsia="宋体" w:hAnsi="宋体" w:cs="宋体"/>
          <w:sz w:val="18"/>
          <w:szCs w:val="18"/>
        </w:rPr>
        <w:t>8</w:t>
      </w:r>
      <w:r w:rsidRPr="001112C2">
        <w:rPr>
          <w:rFonts w:ascii="宋体" w:eastAsia="宋体" w:hAnsi="宋体" w:cs="宋体" w:hint="eastAsia"/>
          <w:sz w:val="18"/>
          <w:szCs w:val="18"/>
        </w:rPr>
        <w:t>日召开</w:t>
      </w:r>
      <w:r w:rsidRPr="001112C2">
        <w:rPr>
          <w:rFonts w:ascii="宋体" w:eastAsia="宋体" w:hAnsi="宋体" w:cs="宋体"/>
          <w:sz w:val="18"/>
          <w:szCs w:val="18"/>
        </w:rPr>
        <w:t>2022</w:t>
      </w:r>
      <w:r w:rsidRPr="001112C2">
        <w:rPr>
          <w:rFonts w:ascii="宋体" w:eastAsia="宋体" w:hAnsi="宋体" w:cs="宋体" w:hint="eastAsia"/>
          <w:sz w:val="18"/>
          <w:szCs w:val="18"/>
        </w:rPr>
        <w:t>年度股东大会，审议通过了《公司</w:t>
      </w:r>
      <w:r w:rsidRPr="001112C2">
        <w:rPr>
          <w:rFonts w:ascii="宋体" w:eastAsia="宋体" w:hAnsi="宋体" w:cs="宋体"/>
          <w:sz w:val="18"/>
          <w:szCs w:val="18"/>
        </w:rPr>
        <w:t>2022</w:t>
      </w:r>
      <w:r w:rsidRPr="001112C2">
        <w:rPr>
          <w:rFonts w:ascii="宋体" w:eastAsia="宋体" w:hAnsi="宋体" w:cs="宋体" w:hint="eastAsia"/>
          <w:sz w:val="18"/>
          <w:szCs w:val="18"/>
        </w:rPr>
        <w:t>年度利润分配的预案》。以</w:t>
      </w:r>
      <w:r w:rsidRPr="001112C2">
        <w:rPr>
          <w:rFonts w:ascii="宋体" w:eastAsia="宋体" w:hAnsi="宋体" w:cs="宋体"/>
          <w:sz w:val="18"/>
          <w:szCs w:val="18"/>
        </w:rPr>
        <w:t xml:space="preserve"> 2022</w:t>
      </w:r>
      <w:r w:rsidRPr="001112C2">
        <w:rPr>
          <w:rFonts w:ascii="宋体" w:eastAsia="宋体" w:hAnsi="宋体" w:cs="宋体" w:hint="eastAsia"/>
          <w:sz w:val="18"/>
          <w:szCs w:val="18"/>
        </w:rPr>
        <w:t>年</w:t>
      </w:r>
      <w:r w:rsidRPr="001112C2">
        <w:rPr>
          <w:rFonts w:ascii="宋体" w:eastAsia="宋体" w:hAnsi="宋体" w:cs="宋体"/>
          <w:sz w:val="18"/>
          <w:szCs w:val="18"/>
        </w:rPr>
        <w:t>12</w:t>
      </w:r>
      <w:r w:rsidRPr="001112C2">
        <w:rPr>
          <w:rFonts w:ascii="宋体" w:eastAsia="宋体" w:hAnsi="宋体" w:cs="宋体" w:hint="eastAsia"/>
          <w:sz w:val="18"/>
          <w:szCs w:val="18"/>
        </w:rPr>
        <w:t>月</w:t>
      </w:r>
      <w:r w:rsidRPr="001112C2">
        <w:rPr>
          <w:rFonts w:ascii="宋体" w:eastAsia="宋体" w:hAnsi="宋体" w:cs="宋体"/>
          <w:sz w:val="18"/>
          <w:szCs w:val="18"/>
        </w:rPr>
        <w:t>31</w:t>
      </w:r>
      <w:r w:rsidRPr="001112C2">
        <w:rPr>
          <w:rFonts w:ascii="宋体" w:eastAsia="宋体" w:hAnsi="宋体" w:cs="宋体" w:hint="eastAsia"/>
          <w:sz w:val="18"/>
          <w:szCs w:val="18"/>
        </w:rPr>
        <w:t>日的总股本</w:t>
      </w:r>
      <w:r w:rsidRPr="001112C2">
        <w:rPr>
          <w:rFonts w:ascii="宋体" w:eastAsia="宋体" w:hAnsi="宋体" w:cs="宋体"/>
          <w:sz w:val="18"/>
          <w:szCs w:val="18"/>
        </w:rPr>
        <w:t xml:space="preserve">969,506,674 </w:t>
      </w:r>
      <w:r w:rsidRPr="001112C2">
        <w:rPr>
          <w:rFonts w:ascii="宋体" w:eastAsia="宋体" w:hAnsi="宋体" w:cs="宋体" w:hint="eastAsia"/>
          <w:sz w:val="18"/>
          <w:szCs w:val="18"/>
        </w:rPr>
        <w:t>股为基数，向全体股东每</w:t>
      </w:r>
      <w:r w:rsidRPr="001112C2">
        <w:rPr>
          <w:rFonts w:ascii="宋体" w:eastAsia="宋体" w:hAnsi="宋体" w:cs="宋体"/>
          <w:sz w:val="18"/>
          <w:szCs w:val="18"/>
        </w:rPr>
        <w:t>10</w:t>
      </w:r>
      <w:r w:rsidRPr="001112C2">
        <w:rPr>
          <w:rFonts w:ascii="宋体" w:eastAsia="宋体" w:hAnsi="宋体" w:cs="宋体" w:hint="eastAsia"/>
          <w:sz w:val="18"/>
          <w:szCs w:val="18"/>
        </w:rPr>
        <w:t>股派发现金红利</w:t>
      </w:r>
      <w:r w:rsidRPr="001112C2">
        <w:rPr>
          <w:rFonts w:ascii="宋体" w:eastAsia="宋体" w:hAnsi="宋体" w:cs="宋体"/>
          <w:sz w:val="18"/>
          <w:szCs w:val="18"/>
        </w:rPr>
        <w:t xml:space="preserve">0.46 </w:t>
      </w:r>
      <w:r w:rsidRPr="001112C2">
        <w:rPr>
          <w:rFonts w:ascii="宋体" w:eastAsia="宋体" w:hAnsi="宋体" w:cs="宋体" w:hint="eastAsia"/>
          <w:sz w:val="18"/>
          <w:szCs w:val="18"/>
        </w:rPr>
        <w:t>元（含税），不送红股，共派发现金红利</w:t>
      </w:r>
      <w:r w:rsidRPr="001112C2">
        <w:rPr>
          <w:rFonts w:ascii="宋体" w:eastAsia="宋体" w:hAnsi="宋体" w:cs="宋体"/>
          <w:sz w:val="18"/>
          <w:szCs w:val="18"/>
        </w:rPr>
        <w:t>44,597,307.00</w:t>
      </w:r>
      <w:r w:rsidRPr="001112C2">
        <w:rPr>
          <w:rFonts w:ascii="宋体" w:eastAsia="宋体" w:hAnsi="宋体" w:cs="宋体" w:hint="eastAsia"/>
          <w:sz w:val="18"/>
          <w:szCs w:val="18"/>
        </w:rPr>
        <w:t>元。本次限制性股票计提股利冲减库存股</w:t>
      </w:r>
      <w:r w:rsidRPr="001112C2">
        <w:rPr>
          <w:rFonts w:ascii="宋体" w:eastAsia="宋体" w:hAnsi="宋体" w:cs="宋体"/>
          <w:sz w:val="18"/>
          <w:szCs w:val="18"/>
        </w:rPr>
        <w:t>1,273,280.00</w:t>
      </w:r>
      <w:r w:rsidRPr="001112C2">
        <w:rPr>
          <w:rFonts w:ascii="宋体" w:eastAsia="宋体" w:hAnsi="宋体" w:cs="宋体" w:hint="eastAsia"/>
          <w:sz w:val="18"/>
          <w:szCs w:val="18"/>
        </w:rPr>
        <w:t>元，实际行权调整已经确认的股利相应库存股</w:t>
      </w:r>
      <w:r w:rsidRPr="001112C2">
        <w:rPr>
          <w:rFonts w:ascii="宋体" w:eastAsia="宋体" w:hAnsi="宋体" w:cs="宋体"/>
          <w:sz w:val="18"/>
          <w:szCs w:val="18"/>
        </w:rPr>
        <w:t>563,224.00</w:t>
      </w:r>
      <w:r w:rsidRPr="001112C2">
        <w:rPr>
          <w:rFonts w:ascii="宋体" w:eastAsia="宋体" w:hAnsi="宋体" w:cs="宋体" w:hint="eastAsia"/>
          <w:sz w:val="18"/>
          <w:szCs w:val="18"/>
        </w:rPr>
        <w:t>元。</w:t>
      </w:r>
    </w:p>
    <w:p w:rsidR="008D4B2E" w:rsidRPr="001112C2" w:rsidRDefault="008D4B2E" w:rsidP="00AA53DA">
      <w:pPr>
        <w:ind w:firstLineChars="200" w:firstLine="360"/>
        <w:divId w:val="1680277743"/>
        <w:rPr>
          <w:rFonts w:ascii="宋体" w:eastAsia="宋体" w:hAnsi="宋体" w:cs="宋体"/>
          <w:sz w:val="18"/>
          <w:szCs w:val="18"/>
        </w:rPr>
      </w:pPr>
      <w:r w:rsidRPr="001112C2">
        <w:rPr>
          <w:rFonts w:ascii="宋体" w:eastAsia="宋体" w:hAnsi="宋体" w:cs="宋体" w:hint="eastAsia"/>
          <w:sz w:val="18"/>
          <w:szCs w:val="18"/>
        </w:rPr>
        <w:t>④</w:t>
      </w:r>
      <w:r w:rsidRPr="001112C2">
        <w:rPr>
          <w:rFonts w:ascii="宋体" w:eastAsia="宋体" w:hAnsi="宋体" w:cs="宋体"/>
          <w:sz w:val="18"/>
          <w:szCs w:val="18"/>
        </w:rPr>
        <w:t>2023</w:t>
      </w:r>
      <w:r w:rsidRPr="001112C2">
        <w:rPr>
          <w:rFonts w:ascii="宋体" w:eastAsia="宋体" w:hAnsi="宋体" w:cs="宋体" w:hint="eastAsia"/>
          <w:sz w:val="18"/>
          <w:szCs w:val="18"/>
        </w:rPr>
        <w:t>年</w:t>
      </w:r>
      <w:r w:rsidRPr="001112C2">
        <w:rPr>
          <w:rFonts w:ascii="宋体" w:eastAsia="宋体" w:hAnsi="宋体" w:cs="宋体"/>
          <w:sz w:val="18"/>
          <w:szCs w:val="18"/>
        </w:rPr>
        <w:t>8</w:t>
      </w:r>
      <w:r w:rsidRPr="001112C2">
        <w:rPr>
          <w:rFonts w:ascii="宋体" w:eastAsia="宋体" w:hAnsi="宋体" w:cs="宋体" w:hint="eastAsia"/>
          <w:sz w:val="18"/>
          <w:szCs w:val="18"/>
        </w:rPr>
        <w:t>月</w:t>
      </w:r>
      <w:r w:rsidRPr="001112C2">
        <w:rPr>
          <w:rFonts w:ascii="宋体" w:eastAsia="宋体" w:hAnsi="宋体" w:cs="宋体"/>
          <w:sz w:val="18"/>
          <w:szCs w:val="18"/>
        </w:rPr>
        <w:t>15</w:t>
      </w:r>
      <w:r w:rsidRPr="001112C2">
        <w:rPr>
          <w:rFonts w:ascii="宋体" w:eastAsia="宋体" w:hAnsi="宋体" w:cs="宋体" w:hint="eastAsia"/>
          <w:sz w:val="18"/>
          <w:szCs w:val="18"/>
        </w:rPr>
        <w:t>日召开</w:t>
      </w:r>
      <w:r w:rsidRPr="001112C2">
        <w:rPr>
          <w:rFonts w:ascii="宋体" w:eastAsia="宋体" w:hAnsi="宋体" w:cs="宋体"/>
          <w:sz w:val="18"/>
          <w:szCs w:val="18"/>
        </w:rPr>
        <w:t>2023</w:t>
      </w:r>
      <w:r w:rsidRPr="001112C2">
        <w:rPr>
          <w:rFonts w:ascii="宋体" w:eastAsia="宋体" w:hAnsi="宋体" w:cs="宋体" w:hint="eastAsia"/>
          <w:sz w:val="18"/>
          <w:szCs w:val="18"/>
        </w:rPr>
        <w:t>年第一次临时股东大会，</w:t>
      </w:r>
      <w:r w:rsidRPr="001112C2">
        <w:rPr>
          <w:rFonts w:ascii="宋体" w:eastAsia="宋体" w:hAnsi="宋体" w:cs="宋体"/>
          <w:sz w:val="18"/>
          <w:szCs w:val="18"/>
        </w:rPr>
        <w:t>2023</w:t>
      </w:r>
      <w:r w:rsidRPr="001112C2">
        <w:rPr>
          <w:rFonts w:ascii="宋体" w:eastAsia="宋体" w:hAnsi="宋体" w:cs="宋体" w:hint="eastAsia"/>
          <w:sz w:val="18"/>
          <w:szCs w:val="18"/>
        </w:rPr>
        <w:t>年</w:t>
      </w:r>
      <w:r w:rsidRPr="001112C2">
        <w:rPr>
          <w:rFonts w:ascii="宋体" w:eastAsia="宋体" w:hAnsi="宋体" w:cs="宋体"/>
          <w:sz w:val="18"/>
          <w:szCs w:val="18"/>
        </w:rPr>
        <w:t>8</w:t>
      </w:r>
      <w:r w:rsidRPr="001112C2">
        <w:rPr>
          <w:rFonts w:ascii="宋体" w:eastAsia="宋体" w:hAnsi="宋体" w:cs="宋体" w:hint="eastAsia"/>
          <w:sz w:val="18"/>
          <w:szCs w:val="18"/>
        </w:rPr>
        <w:t>月</w:t>
      </w:r>
      <w:r w:rsidRPr="001112C2">
        <w:rPr>
          <w:rFonts w:ascii="宋体" w:eastAsia="宋体" w:hAnsi="宋体" w:cs="宋体"/>
          <w:sz w:val="18"/>
          <w:szCs w:val="18"/>
        </w:rPr>
        <w:t>28</w:t>
      </w:r>
      <w:r w:rsidRPr="001112C2">
        <w:rPr>
          <w:rFonts w:ascii="宋体" w:eastAsia="宋体" w:hAnsi="宋体" w:cs="宋体" w:hint="eastAsia"/>
          <w:sz w:val="18"/>
          <w:szCs w:val="18"/>
        </w:rPr>
        <w:t>日召开第八届董事会第十一次会议、第八届监</w:t>
      </w:r>
      <w:r w:rsidRPr="001112C2">
        <w:rPr>
          <w:rFonts w:ascii="宋体" w:eastAsia="宋体" w:hAnsi="宋体" w:cs="宋体" w:hint="eastAsia"/>
          <w:sz w:val="18"/>
          <w:szCs w:val="18"/>
        </w:rPr>
        <w:lastRenderedPageBreak/>
        <w:t>事会第十三次会议，审议通过了《关于向激励对象授予限制性股票的议案》，确定向符合激励计划的激励对象授予总计</w:t>
      </w:r>
      <w:r w:rsidRPr="001112C2">
        <w:rPr>
          <w:rFonts w:ascii="宋体" w:eastAsia="宋体" w:hAnsi="宋体" w:cs="宋体"/>
          <w:sz w:val="18"/>
          <w:szCs w:val="18"/>
        </w:rPr>
        <w:t>3,750.00</w:t>
      </w:r>
      <w:r w:rsidRPr="001112C2">
        <w:rPr>
          <w:rFonts w:ascii="宋体" w:eastAsia="宋体" w:hAnsi="宋体" w:cs="宋体" w:hint="eastAsia"/>
          <w:sz w:val="18"/>
          <w:szCs w:val="18"/>
        </w:rPr>
        <w:t>万份权益。其中，确定对官</w:t>
      </w:r>
      <w:proofErr w:type="gramStart"/>
      <w:r w:rsidRPr="001112C2">
        <w:rPr>
          <w:rFonts w:ascii="宋体" w:eastAsia="宋体" w:hAnsi="宋体" w:cs="宋体" w:hint="eastAsia"/>
          <w:sz w:val="18"/>
          <w:szCs w:val="18"/>
        </w:rPr>
        <w:t>炳</w:t>
      </w:r>
      <w:proofErr w:type="gramEnd"/>
      <w:r w:rsidRPr="001112C2">
        <w:rPr>
          <w:rFonts w:ascii="宋体" w:eastAsia="宋体" w:hAnsi="宋体" w:cs="宋体" w:hint="eastAsia"/>
          <w:sz w:val="18"/>
          <w:szCs w:val="18"/>
        </w:rPr>
        <w:t>政、张垚、杨慧丽等</w:t>
      </w:r>
      <w:r w:rsidRPr="001112C2">
        <w:rPr>
          <w:rFonts w:ascii="宋体" w:eastAsia="宋体" w:hAnsi="宋体" w:cs="宋体"/>
          <w:sz w:val="18"/>
          <w:szCs w:val="18"/>
        </w:rPr>
        <w:t>51</w:t>
      </w:r>
      <w:r w:rsidRPr="001112C2">
        <w:rPr>
          <w:rFonts w:ascii="宋体" w:eastAsia="宋体" w:hAnsi="宋体" w:cs="宋体" w:hint="eastAsia"/>
          <w:sz w:val="18"/>
          <w:szCs w:val="18"/>
        </w:rPr>
        <w:t>名参加对象授予</w:t>
      </w:r>
      <w:r w:rsidRPr="001112C2">
        <w:rPr>
          <w:rFonts w:ascii="宋体" w:eastAsia="宋体" w:hAnsi="宋体" w:cs="宋体"/>
          <w:sz w:val="18"/>
          <w:szCs w:val="18"/>
        </w:rPr>
        <w:t>3,750</w:t>
      </w:r>
      <w:r w:rsidRPr="001112C2">
        <w:rPr>
          <w:rFonts w:ascii="宋体" w:eastAsia="宋体" w:hAnsi="宋体" w:cs="宋体" w:hint="eastAsia"/>
          <w:sz w:val="18"/>
          <w:szCs w:val="18"/>
        </w:rPr>
        <w:t>万股限制性股票，本次实际</w:t>
      </w:r>
      <w:r w:rsidRPr="001112C2">
        <w:rPr>
          <w:rFonts w:ascii="宋体" w:eastAsia="宋体" w:hAnsi="宋体" w:cs="宋体"/>
          <w:sz w:val="18"/>
          <w:szCs w:val="18"/>
        </w:rPr>
        <w:t>51</w:t>
      </w:r>
      <w:r w:rsidRPr="001112C2">
        <w:rPr>
          <w:rFonts w:ascii="宋体" w:eastAsia="宋体" w:hAnsi="宋体" w:cs="宋体" w:hint="eastAsia"/>
          <w:sz w:val="18"/>
          <w:szCs w:val="18"/>
        </w:rPr>
        <w:t>名参加对象认购</w:t>
      </w:r>
      <w:r w:rsidRPr="001112C2">
        <w:rPr>
          <w:rFonts w:ascii="宋体" w:eastAsia="宋体" w:hAnsi="宋体" w:cs="宋体"/>
          <w:sz w:val="18"/>
          <w:szCs w:val="18"/>
        </w:rPr>
        <w:t>37,500,000</w:t>
      </w:r>
      <w:r w:rsidRPr="001112C2">
        <w:rPr>
          <w:rFonts w:ascii="宋体" w:eastAsia="宋体" w:hAnsi="宋体" w:cs="宋体" w:hint="eastAsia"/>
          <w:sz w:val="18"/>
          <w:szCs w:val="18"/>
        </w:rPr>
        <w:t>股限制性股票，股票面值</w:t>
      </w:r>
      <w:r w:rsidRPr="001112C2">
        <w:rPr>
          <w:rFonts w:ascii="宋体" w:eastAsia="宋体" w:hAnsi="宋体" w:cs="宋体"/>
          <w:sz w:val="18"/>
          <w:szCs w:val="18"/>
        </w:rPr>
        <w:t>1</w:t>
      </w:r>
      <w:r w:rsidRPr="001112C2">
        <w:rPr>
          <w:rFonts w:ascii="宋体" w:eastAsia="宋体" w:hAnsi="宋体" w:cs="宋体" w:hint="eastAsia"/>
          <w:sz w:val="18"/>
          <w:szCs w:val="18"/>
        </w:rPr>
        <w:t>元，认购价格为</w:t>
      </w:r>
      <w:r w:rsidRPr="001112C2">
        <w:rPr>
          <w:rFonts w:ascii="宋体" w:eastAsia="宋体" w:hAnsi="宋体" w:cs="宋体"/>
          <w:sz w:val="18"/>
          <w:szCs w:val="18"/>
        </w:rPr>
        <w:t>4.00</w:t>
      </w:r>
      <w:r w:rsidRPr="001112C2">
        <w:rPr>
          <w:rFonts w:ascii="宋体" w:eastAsia="宋体" w:hAnsi="宋体" w:cs="宋体" w:hint="eastAsia"/>
          <w:sz w:val="18"/>
          <w:szCs w:val="18"/>
        </w:rPr>
        <w:t>元</w:t>
      </w:r>
      <w:r w:rsidRPr="001112C2">
        <w:rPr>
          <w:rFonts w:ascii="宋体" w:eastAsia="宋体" w:hAnsi="宋体" w:cs="宋体"/>
          <w:sz w:val="18"/>
          <w:szCs w:val="18"/>
        </w:rPr>
        <w:t>/</w:t>
      </w:r>
      <w:r w:rsidRPr="001112C2">
        <w:rPr>
          <w:rFonts w:ascii="宋体" w:eastAsia="宋体" w:hAnsi="宋体" w:cs="宋体" w:hint="eastAsia"/>
          <w:sz w:val="18"/>
          <w:szCs w:val="18"/>
        </w:rPr>
        <w:t>股，认缴股款人民币</w:t>
      </w:r>
      <w:r w:rsidRPr="001112C2">
        <w:rPr>
          <w:rFonts w:ascii="宋体" w:eastAsia="宋体" w:hAnsi="宋体" w:cs="宋体"/>
          <w:sz w:val="18"/>
          <w:szCs w:val="18"/>
        </w:rPr>
        <w:t>150,000,000.00</w:t>
      </w:r>
      <w:r w:rsidRPr="001112C2">
        <w:rPr>
          <w:rFonts w:ascii="宋体" w:eastAsia="宋体" w:hAnsi="宋体" w:cs="宋体" w:hint="eastAsia"/>
          <w:sz w:val="18"/>
          <w:szCs w:val="18"/>
        </w:rPr>
        <w:t>元。本期确认增加库存股</w:t>
      </w:r>
      <w:r w:rsidRPr="001112C2">
        <w:rPr>
          <w:rFonts w:ascii="宋体" w:eastAsia="宋体" w:hAnsi="宋体" w:cs="宋体"/>
          <w:sz w:val="18"/>
          <w:szCs w:val="18"/>
        </w:rPr>
        <w:t>150,000,000.00</w:t>
      </w:r>
      <w:r w:rsidRPr="001112C2">
        <w:rPr>
          <w:rFonts w:ascii="宋体" w:eastAsia="宋体" w:hAnsi="宋体" w:cs="宋体" w:hint="eastAsia"/>
          <w:sz w:val="18"/>
          <w:szCs w:val="18"/>
        </w:rPr>
        <w:t>元。</w:t>
      </w:r>
      <w:r w:rsidRPr="001112C2">
        <w:rPr>
          <w:rFonts w:ascii="宋体" w:eastAsia="宋体" w:hAnsi="宋体" w:cs="宋体"/>
          <w:sz w:val="18"/>
          <w:szCs w:val="18"/>
        </w:rPr>
        <w:t xml:space="preserve"> </w:t>
      </w:r>
    </w:p>
    <w:p w:rsidR="00BA0365" w:rsidRDefault="008D4B2E">
      <w:pPr>
        <w:pStyle w:val="3"/>
        <w:spacing w:line="280" w:lineRule="exact"/>
        <w:jc w:val="left"/>
        <w:rPr>
          <w:rFonts w:ascii="宋体" w:hAnsi="宋体" w:cs="宋体"/>
          <w:b/>
          <w:bCs/>
        </w:rPr>
      </w:pPr>
      <w:bookmarkStart w:id="318" w:name="_Toc989209"/>
      <w:r>
        <w:rPr>
          <w:rFonts w:ascii="宋体" w:hAnsi="宋体" w:cs="宋体"/>
          <w:b/>
          <w:bCs/>
        </w:rPr>
        <w:t>38、其他综合收益</w:t>
      </w:r>
      <w:bookmarkEnd w:id="318"/>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1071"/>
        <w:gridCol w:w="1071"/>
        <w:gridCol w:w="1071"/>
        <w:gridCol w:w="1071"/>
        <w:gridCol w:w="1071"/>
        <w:gridCol w:w="1071"/>
        <w:gridCol w:w="1071"/>
        <w:gridCol w:w="1071"/>
        <w:gridCol w:w="1071"/>
      </w:tblGrid>
      <w:tr w:rsidR="00157EA0">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6426"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157EA0">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本期所得税前发生额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减：前期计入其他综合收益当期转入损益</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减：前期计入其他综合收益当期转入留存收益</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减：所得税费用</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税后归属于母公司</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税后归属于少数股东</w:t>
            </w:r>
          </w:p>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r w:rsidR="00157EA0">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一、不能重分类进损益的其他综合收益</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56,773,510.60</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-7,279,137.50</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19,918,932.98</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-7,187,601.63</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-20,010,468.85</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36,763,041.75</w:t>
            </w:r>
          </w:p>
        </w:tc>
      </w:tr>
      <w:tr w:rsidR="00157EA0">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其他权益工具投资公允价值变动</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56,773,510.60</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-7,279,137.50</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19,918,932.98</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-7,187,601.63</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-20,010,468.85</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36,763,041.75</w:t>
            </w:r>
          </w:p>
        </w:tc>
      </w:tr>
      <w:tr w:rsidR="00157EA0">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二、将重分类进损益的其他综合收益</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-3,300,380.74</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-1,037,177.16</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-971,384.41</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-65,792.75</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-4,271,765.15</w:t>
            </w:r>
          </w:p>
        </w:tc>
      </w:tr>
      <w:tr w:rsidR="00157EA0">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外币财务报表折算差额</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-3,300,380.74</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-1,037,177.16</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-971,384.41</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-65,792.75</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-4,271,765.15</w:t>
            </w:r>
          </w:p>
        </w:tc>
      </w:tr>
      <w:tr w:rsidR="00157EA0">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其他综合收益合计</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53,473,129.86</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-8,316,314.66</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19,918,932.98</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-7,187,601.63</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-20,981,853.26</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-65,792.75</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32,491,276.60</w:t>
            </w:r>
          </w:p>
        </w:tc>
      </w:tr>
    </w:tbl>
    <w:p w:rsidR="00BA0365" w:rsidRDefault="008D4B2E">
      <w:pPr>
        <w:pStyle w:val="3"/>
        <w:spacing w:line="280" w:lineRule="exact"/>
        <w:jc w:val="left"/>
        <w:rPr>
          <w:rFonts w:ascii="宋体" w:hAnsi="宋体" w:cs="宋体"/>
          <w:b/>
          <w:bCs/>
        </w:rPr>
      </w:pPr>
      <w:bookmarkStart w:id="319" w:name="_Toc989210"/>
      <w:r>
        <w:rPr>
          <w:rFonts w:ascii="宋体" w:hAnsi="宋体" w:cs="宋体"/>
          <w:b/>
          <w:bCs/>
        </w:rPr>
        <w:t>39、专项储备</w:t>
      </w:r>
      <w:bookmarkEnd w:id="319"/>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1927"/>
        <w:gridCol w:w="1928"/>
        <w:gridCol w:w="1928"/>
        <w:gridCol w:w="1928"/>
        <w:gridCol w:w="1928"/>
      </w:tblGrid>
      <w:tr w:rsidR="00157EA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157EA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安全生产费</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29,324,846.55</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22,725,471.70</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13,594,456.15</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38,455,862.10</w:t>
            </w:r>
          </w:p>
        </w:tc>
      </w:tr>
      <w:tr w:rsidR="00157EA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29,324,846.55</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22,725,471.70</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13,594,456.15</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38,455,862.10</w:t>
            </w:r>
          </w:p>
        </w:tc>
      </w:tr>
    </w:tbl>
    <w:p w:rsidR="00BA0365" w:rsidRDefault="008D4B2E">
      <w:pPr>
        <w:pStyle w:val="3"/>
        <w:spacing w:line="280" w:lineRule="exact"/>
        <w:jc w:val="left"/>
        <w:rPr>
          <w:rFonts w:ascii="宋体" w:hAnsi="宋体" w:cs="宋体"/>
          <w:b/>
          <w:bCs/>
        </w:rPr>
      </w:pPr>
      <w:bookmarkStart w:id="320" w:name="_Toc989211"/>
      <w:r>
        <w:rPr>
          <w:rFonts w:ascii="宋体" w:hAnsi="宋体" w:cs="宋体"/>
          <w:b/>
          <w:bCs/>
        </w:rPr>
        <w:t>40、盈余公积</w:t>
      </w:r>
      <w:bookmarkEnd w:id="320"/>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1927"/>
        <w:gridCol w:w="1928"/>
        <w:gridCol w:w="1928"/>
        <w:gridCol w:w="1928"/>
        <w:gridCol w:w="1928"/>
      </w:tblGrid>
      <w:tr w:rsidR="00157EA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157EA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法定盈余公积</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307,023,374.76</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6,324,385.53</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313,347,760.29</w:t>
            </w:r>
          </w:p>
        </w:tc>
      </w:tr>
      <w:tr w:rsidR="00157EA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任意盈余公积</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24,959,598.78</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24,959,598.78</w:t>
            </w:r>
          </w:p>
        </w:tc>
      </w:tr>
      <w:tr w:rsidR="00157EA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331,982,973.54</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6,324,385.53</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338,307,359.07</w:t>
            </w:r>
          </w:p>
        </w:tc>
      </w:tr>
    </w:tbl>
    <w:p w:rsidR="00BA0365" w:rsidRDefault="008D4B2E">
      <w:pPr>
        <w:pStyle w:val="3"/>
        <w:spacing w:line="280" w:lineRule="exact"/>
        <w:jc w:val="left"/>
        <w:rPr>
          <w:rFonts w:ascii="宋体" w:hAnsi="宋体" w:cs="宋体"/>
          <w:b/>
          <w:bCs/>
        </w:rPr>
      </w:pPr>
      <w:bookmarkStart w:id="321" w:name="_Toc989212"/>
      <w:r>
        <w:rPr>
          <w:rFonts w:ascii="宋体" w:hAnsi="宋体" w:cs="宋体"/>
          <w:b/>
          <w:bCs/>
        </w:rPr>
        <w:lastRenderedPageBreak/>
        <w:t>41、未分配利润</w:t>
      </w:r>
      <w:bookmarkEnd w:id="321"/>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3213"/>
        <w:gridCol w:w="3213"/>
        <w:gridCol w:w="3213"/>
      </w:tblGrid>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上期</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调整前上期末未分配利润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1,494,610,178.30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1,294,264,991.83</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调整后期初未分配利润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1,494,610,178.30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1,294,264,991.83</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加：本期归属于母公司所有者的净利润</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333,149,674.13</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202,651,631.16</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减：提取法定盈余公积</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6,324,385.53</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2,306,444.69</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应付普通股股利</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44,523,155.00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rsidTr="00152E2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加：指定为以公允价值计量且变动计入其他综合收益的</w:t>
            </w:r>
            <w:proofErr w:type="gramStart"/>
            <w:r>
              <w:rPr>
                <w:rFonts w:ascii="宋体" w:eastAsia="宋体" w:hAnsi="宋体" w:cs="宋体"/>
                <w:sz w:val="18"/>
                <w:szCs w:val="18"/>
              </w:rPr>
              <w:t>非交易</w:t>
            </w:r>
            <w:proofErr w:type="gramEnd"/>
            <w:r>
              <w:rPr>
                <w:rFonts w:ascii="宋体" w:eastAsia="宋体" w:hAnsi="宋体" w:cs="宋体"/>
                <w:sz w:val="18"/>
                <w:szCs w:val="18"/>
              </w:rPr>
              <w:t>性权益工具终止确认处置利得</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19,918,932.98</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期末未分配利润</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1,796,831,244.88</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1,494,610,178.30</w:t>
            </w:r>
          </w:p>
        </w:tc>
      </w:tr>
    </w:tbl>
    <w:p w:rsidR="00BA0365" w:rsidRDefault="008D4B2E">
      <w:pPr>
        <w:pStyle w:val="3"/>
        <w:spacing w:line="280" w:lineRule="exact"/>
        <w:jc w:val="left"/>
        <w:rPr>
          <w:rFonts w:ascii="宋体" w:hAnsi="宋体" w:cs="宋体"/>
          <w:b/>
          <w:bCs/>
        </w:rPr>
      </w:pPr>
      <w:bookmarkStart w:id="322" w:name="_Toc989213"/>
      <w:r>
        <w:rPr>
          <w:rFonts w:ascii="宋体" w:hAnsi="宋体" w:cs="宋体"/>
          <w:b/>
          <w:bCs/>
        </w:rPr>
        <w:t>42、营业收入和营业成本</w:t>
      </w:r>
      <w:bookmarkEnd w:id="322"/>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1927"/>
        <w:gridCol w:w="1928"/>
        <w:gridCol w:w="1928"/>
        <w:gridCol w:w="1928"/>
        <w:gridCol w:w="1928"/>
      </w:tblGrid>
      <w:tr w:rsidR="00157EA0">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157EA0">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成本</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成本</w:t>
            </w:r>
          </w:p>
        </w:tc>
      </w:tr>
      <w:tr w:rsidR="00157EA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主营业务</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5,485,228,857.05</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4,095,131,032.36</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5,284,263,744.76</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4,174,993,989.56</w:t>
            </w:r>
          </w:p>
        </w:tc>
      </w:tr>
      <w:tr w:rsidR="00157EA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其他业务</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162,366,308.94</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84,071,216.81</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451,651,212.82</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404,663,031.23</w:t>
            </w:r>
          </w:p>
        </w:tc>
      </w:tr>
      <w:tr w:rsidR="00157EA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5,647,595,165.99</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4,179,202,249.17</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5,735,914,957.58</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4,579,657,020.79</w:t>
            </w:r>
          </w:p>
        </w:tc>
      </w:tr>
    </w:tbl>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经审计扣除非经常损益</w:t>
      </w:r>
      <w:proofErr w:type="gramStart"/>
      <w:r>
        <w:rPr>
          <w:rFonts w:ascii="宋体" w:eastAsia="宋体" w:hAnsi="宋体" w:cs="宋体"/>
          <w:sz w:val="18"/>
          <w:szCs w:val="18"/>
        </w:rPr>
        <w:t>前后净</w:t>
      </w:r>
      <w:proofErr w:type="gramEnd"/>
      <w:r>
        <w:rPr>
          <w:rFonts w:ascii="宋体" w:eastAsia="宋体" w:hAnsi="宋体" w:cs="宋体"/>
          <w:sz w:val="18"/>
          <w:szCs w:val="18"/>
        </w:rPr>
        <w:t>利润孰</w:t>
      </w:r>
      <w:proofErr w:type="gramStart"/>
      <w:r>
        <w:rPr>
          <w:rFonts w:ascii="宋体" w:eastAsia="宋体" w:hAnsi="宋体" w:cs="宋体"/>
          <w:sz w:val="18"/>
          <w:szCs w:val="18"/>
        </w:rPr>
        <w:t>低是否</w:t>
      </w:r>
      <w:proofErr w:type="gramEnd"/>
      <w:r>
        <w:rPr>
          <w:rFonts w:ascii="宋体" w:eastAsia="宋体" w:hAnsi="宋体" w:cs="宋体"/>
          <w:sz w:val="18"/>
          <w:szCs w:val="18"/>
        </w:rPr>
        <w:t>为负值</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BA0365" w:rsidRDefault="008D4B2E">
      <w:pPr>
        <w:spacing w:line="240" w:lineRule="exact"/>
        <w:rPr>
          <w:rFonts w:ascii="宋体" w:eastAsia="宋体" w:hAnsi="宋体" w:cs="宋体"/>
          <w:sz w:val="18"/>
          <w:szCs w:val="18"/>
        </w:rPr>
      </w:pPr>
      <w:r>
        <w:rPr>
          <w:rFonts w:ascii="宋体" w:eastAsia="宋体" w:hAnsi="宋体" w:cs="宋体"/>
          <w:sz w:val="18"/>
          <w:szCs w:val="18"/>
        </w:rPr>
        <w:t>营业收入、营业成本的分解信息：</w:t>
      </w:r>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1840"/>
        <w:gridCol w:w="1985"/>
        <w:gridCol w:w="1984"/>
        <w:gridCol w:w="1985"/>
        <w:gridCol w:w="1845"/>
      </w:tblGrid>
      <w:tr w:rsidR="004E6C26" w:rsidTr="004E6C26">
        <w:trPr>
          <w:trHeight w:val="240"/>
        </w:trPr>
        <w:tc>
          <w:tcPr>
            <w:tcW w:w="184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4E6C26" w:rsidRDefault="004E6C26">
            <w:pPr>
              <w:spacing w:before="40" w:after="40" w:line="240" w:lineRule="exact"/>
              <w:jc w:val="center"/>
              <w:rPr>
                <w:rFonts w:ascii="宋体" w:eastAsia="宋体" w:hAnsi="宋体" w:cs="宋体"/>
                <w:sz w:val="18"/>
                <w:szCs w:val="18"/>
              </w:rPr>
            </w:pPr>
            <w:r>
              <w:rPr>
                <w:rFonts w:ascii="宋体" w:eastAsia="宋体" w:hAnsi="宋体" w:cs="宋体"/>
                <w:sz w:val="18"/>
                <w:szCs w:val="18"/>
              </w:rPr>
              <w:t>合同分类</w:t>
            </w:r>
          </w:p>
        </w:tc>
        <w:tc>
          <w:tcPr>
            <w:tcW w:w="396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4E6C26" w:rsidRDefault="004E6C26">
            <w:pPr>
              <w:spacing w:before="40" w:after="40" w:line="240" w:lineRule="exact"/>
              <w:jc w:val="center"/>
              <w:rPr>
                <w:rFonts w:ascii="宋体" w:eastAsia="宋体" w:hAnsi="宋体" w:cs="宋体"/>
                <w:sz w:val="18"/>
                <w:szCs w:val="18"/>
              </w:rPr>
            </w:pPr>
            <w:r>
              <w:rPr>
                <w:rFonts w:ascii="宋体" w:eastAsia="宋体" w:hAnsi="宋体" w:cs="宋体"/>
                <w:sz w:val="18"/>
                <w:szCs w:val="18"/>
              </w:rPr>
              <w:t>分部1</w:t>
            </w:r>
          </w:p>
        </w:tc>
        <w:tc>
          <w:tcPr>
            <w:tcW w:w="383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4E6C26" w:rsidRDefault="004E6C26">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4E6C26" w:rsidTr="004E6C26">
        <w:trPr>
          <w:trHeight w:val="240"/>
        </w:trPr>
        <w:tc>
          <w:tcPr>
            <w:tcW w:w="184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4E6C26" w:rsidRDefault="004E6C26"/>
        </w:tc>
        <w:tc>
          <w:tcPr>
            <w:tcW w:w="1985" w:type="dxa"/>
            <w:tcBorders>
              <w:top w:val="single" w:sz="2" w:space="0" w:color="auto"/>
              <w:left w:val="single" w:sz="2" w:space="0" w:color="auto"/>
              <w:bottom w:val="single" w:sz="2" w:space="0" w:color="auto"/>
              <w:right w:val="single" w:sz="2" w:space="0" w:color="auto"/>
            </w:tcBorders>
            <w:shd w:val="clear" w:color="auto" w:fill="D3D3D3"/>
            <w:vAlign w:val="center"/>
          </w:tcPr>
          <w:p w:rsidR="004E6C26" w:rsidRDefault="004E6C26">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w:t>
            </w:r>
          </w:p>
        </w:tc>
        <w:tc>
          <w:tcPr>
            <w:tcW w:w="1984" w:type="dxa"/>
            <w:tcBorders>
              <w:top w:val="single" w:sz="2" w:space="0" w:color="auto"/>
              <w:left w:val="single" w:sz="2" w:space="0" w:color="auto"/>
              <w:bottom w:val="single" w:sz="2" w:space="0" w:color="auto"/>
              <w:right w:val="single" w:sz="2" w:space="0" w:color="auto"/>
            </w:tcBorders>
            <w:shd w:val="clear" w:color="auto" w:fill="D3D3D3"/>
            <w:vAlign w:val="center"/>
          </w:tcPr>
          <w:p w:rsidR="004E6C26" w:rsidRDefault="004E6C26">
            <w:pPr>
              <w:spacing w:before="40" w:after="40" w:line="240" w:lineRule="exact"/>
              <w:jc w:val="center"/>
              <w:rPr>
                <w:rFonts w:ascii="宋体" w:eastAsia="宋体" w:hAnsi="宋体" w:cs="宋体"/>
                <w:sz w:val="18"/>
                <w:szCs w:val="18"/>
              </w:rPr>
            </w:pPr>
            <w:r>
              <w:rPr>
                <w:rFonts w:ascii="宋体" w:eastAsia="宋体" w:hAnsi="宋体" w:cs="宋体"/>
                <w:sz w:val="18"/>
                <w:szCs w:val="18"/>
              </w:rPr>
              <w:t>营业成本</w:t>
            </w:r>
          </w:p>
        </w:tc>
        <w:tc>
          <w:tcPr>
            <w:tcW w:w="1985" w:type="dxa"/>
            <w:tcBorders>
              <w:top w:val="single" w:sz="2" w:space="0" w:color="auto"/>
              <w:left w:val="single" w:sz="2" w:space="0" w:color="auto"/>
              <w:bottom w:val="single" w:sz="2" w:space="0" w:color="auto"/>
              <w:right w:val="single" w:sz="2" w:space="0" w:color="auto"/>
            </w:tcBorders>
            <w:shd w:val="clear" w:color="auto" w:fill="D3D3D3"/>
            <w:vAlign w:val="center"/>
          </w:tcPr>
          <w:p w:rsidR="004E6C26" w:rsidRDefault="004E6C26">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w:t>
            </w:r>
          </w:p>
        </w:tc>
        <w:tc>
          <w:tcPr>
            <w:tcW w:w="1845" w:type="dxa"/>
            <w:tcBorders>
              <w:top w:val="single" w:sz="2" w:space="0" w:color="auto"/>
              <w:left w:val="single" w:sz="2" w:space="0" w:color="auto"/>
              <w:bottom w:val="single" w:sz="2" w:space="0" w:color="auto"/>
              <w:right w:val="single" w:sz="2" w:space="0" w:color="auto"/>
            </w:tcBorders>
            <w:shd w:val="clear" w:color="auto" w:fill="D3D3D3"/>
            <w:vAlign w:val="center"/>
          </w:tcPr>
          <w:p w:rsidR="004E6C26" w:rsidRDefault="004E6C26">
            <w:pPr>
              <w:spacing w:before="40" w:after="40" w:line="240" w:lineRule="exact"/>
              <w:jc w:val="center"/>
              <w:rPr>
                <w:rFonts w:ascii="宋体" w:eastAsia="宋体" w:hAnsi="宋体" w:cs="宋体"/>
                <w:sz w:val="18"/>
                <w:szCs w:val="18"/>
              </w:rPr>
            </w:pPr>
            <w:r>
              <w:rPr>
                <w:rFonts w:ascii="宋体" w:eastAsia="宋体" w:hAnsi="宋体" w:cs="宋体"/>
                <w:sz w:val="18"/>
                <w:szCs w:val="18"/>
              </w:rPr>
              <w:t>营业成本</w:t>
            </w:r>
          </w:p>
        </w:tc>
      </w:tr>
      <w:tr w:rsidR="004E6C26" w:rsidTr="004E6C26">
        <w:trPr>
          <w:trHeight w:val="240"/>
        </w:trPr>
        <w:tc>
          <w:tcPr>
            <w:tcW w:w="1840" w:type="dxa"/>
            <w:tcBorders>
              <w:top w:val="single" w:sz="2" w:space="0" w:color="auto"/>
              <w:left w:val="single" w:sz="2" w:space="0" w:color="auto"/>
              <w:bottom w:val="single" w:sz="2" w:space="0" w:color="auto"/>
              <w:right w:val="single" w:sz="2" w:space="0" w:color="auto"/>
            </w:tcBorders>
            <w:shd w:val="clear" w:color="auto" w:fill="D3D3D3"/>
            <w:vAlign w:val="center"/>
          </w:tcPr>
          <w:p w:rsidR="004E6C26" w:rsidRDefault="004E6C26">
            <w:pPr>
              <w:spacing w:before="40" w:after="40" w:line="240" w:lineRule="exact"/>
              <w:rPr>
                <w:rFonts w:ascii="宋体" w:eastAsia="宋体" w:hAnsi="宋体" w:cs="宋体"/>
                <w:sz w:val="18"/>
                <w:szCs w:val="18"/>
              </w:rPr>
            </w:pPr>
            <w:r>
              <w:rPr>
                <w:rFonts w:ascii="宋体" w:eastAsia="宋体" w:hAnsi="宋体" w:cs="宋体"/>
                <w:sz w:val="18"/>
                <w:szCs w:val="18"/>
              </w:rPr>
              <w:t>业务类型</w:t>
            </w:r>
          </w:p>
        </w:tc>
        <w:tc>
          <w:tcPr>
            <w:tcW w:w="1985"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r>
              <w:rPr>
                <w:rFonts w:ascii="宋体" w:eastAsia="宋体" w:hAnsi="宋体" w:cs="宋体"/>
                <w:sz w:val="18"/>
                <w:szCs w:val="18"/>
              </w:rPr>
              <w:t>5,647,595,165.99</w:t>
            </w:r>
          </w:p>
        </w:tc>
        <w:tc>
          <w:tcPr>
            <w:tcW w:w="1984"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r>
              <w:rPr>
                <w:rFonts w:ascii="宋体" w:eastAsia="宋体" w:hAnsi="宋体" w:cs="宋体"/>
                <w:sz w:val="18"/>
                <w:szCs w:val="18"/>
              </w:rPr>
              <w:t>4,179,202,249.17</w:t>
            </w:r>
          </w:p>
        </w:tc>
        <w:tc>
          <w:tcPr>
            <w:tcW w:w="1985"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r>
              <w:rPr>
                <w:rFonts w:ascii="宋体" w:eastAsia="宋体" w:hAnsi="宋体" w:cs="宋体"/>
                <w:sz w:val="18"/>
                <w:szCs w:val="18"/>
              </w:rPr>
              <w:t>5,647,595,165.99</w:t>
            </w:r>
          </w:p>
        </w:tc>
        <w:tc>
          <w:tcPr>
            <w:tcW w:w="1845"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r>
              <w:rPr>
                <w:rFonts w:ascii="宋体" w:eastAsia="宋体" w:hAnsi="宋体" w:cs="宋体"/>
                <w:sz w:val="18"/>
                <w:szCs w:val="18"/>
              </w:rPr>
              <w:t>4,179,202,249.17</w:t>
            </w:r>
          </w:p>
        </w:tc>
      </w:tr>
      <w:tr w:rsidR="004E6C26" w:rsidTr="004E6C26">
        <w:trPr>
          <w:trHeight w:val="240"/>
        </w:trPr>
        <w:tc>
          <w:tcPr>
            <w:tcW w:w="1840" w:type="dxa"/>
            <w:tcBorders>
              <w:top w:val="single" w:sz="2" w:space="0" w:color="auto"/>
              <w:left w:val="single" w:sz="2" w:space="0" w:color="auto"/>
              <w:bottom w:val="single" w:sz="2" w:space="0" w:color="auto"/>
              <w:right w:val="single" w:sz="2" w:space="0" w:color="auto"/>
            </w:tcBorders>
            <w:shd w:val="clear" w:color="auto" w:fill="D3D3D3"/>
            <w:vAlign w:val="center"/>
          </w:tcPr>
          <w:p w:rsidR="004E6C26" w:rsidRDefault="004E6C26">
            <w:pPr>
              <w:spacing w:before="40" w:after="40" w:line="240" w:lineRule="exact"/>
              <w:rPr>
                <w:rFonts w:ascii="宋体" w:eastAsia="宋体" w:hAnsi="宋体" w:cs="宋体"/>
                <w:sz w:val="18"/>
                <w:szCs w:val="18"/>
              </w:rPr>
            </w:pPr>
            <w:r>
              <w:rPr>
                <w:rFonts w:ascii="宋体" w:eastAsia="宋体" w:hAnsi="宋体" w:cs="宋体"/>
                <w:sz w:val="18"/>
                <w:szCs w:val="18"/>
              </w:rPr>
              <w:t>其中：</w:t>
            </w:r>
          </w:p>
        </w:tc>
        <w:tc>
          <w:tcPr>
            <w:tcW w:w="1985" w:type="dxa"/>
            <w:tcBorders>
              <w:top w:val="single" w:sz="2" w:space="0" w:color="auto"/>
              <w:left w:val="single" w:sz="2" w:space="0" w:color="auto"/>
              <w:bottom w:val="single" w:sz="2" w:space="0" w:color="auto"/>
              <w:right w:val="single" w:sz="2" w:space="0" w:color="auto"/>
            </w:tcBorders>
            <w:shd w:val="clear" w:color="auto" w:fill="D3D3D3"/>
            <w:vAlign w:val="center"/>
          </w:tcPr>
          <w:p w:rsidR="004E6C26" w:rsidRDefault="004E6C26"/>
        </w:tc>
        <w:tc>
          <w:tcPr>
            <w:tcW w:w="1984" w:type="dxa"/>
            <w:tcBorders>
              <w:top w:val="single" w:sz="2" w:space="0" w:color="auto"/>
              <w:left w:val="single" w:sz="2" w:space="0" w:color="auto"/>
              <w:bottom w:val="single" w:sz="2" w:space="0" w:color="auto"/>
              <w:right w:val="single" w:sz="2" w:space="0" w:color="auto"/>
            </w:tcBorders>
            <w:shd w:val="clear" w:color="auto" w:fill="D3D3D3"/>
            <w:vAlign w:val="center"/>
          </w:tcPr>
          <w:p w:rsidR="004E6C26" w:rsidRDefault="004E6C26"/>
        </w:tc>
        <w:tc>
          <w:tcPr>
            <w:tcW w:w="1985" w:type="dxa"/>
            <w:tcBorders>
              <w:top w:val="single" w:sz="2" w:space="0" w:color="auto"/>
              <w:left w:val="single" w:sz="2" w:space="0" w:color="auto"/>
              <w:bottom w:val="single" w:sz="2" w:space="0" w:color="auto"/>
              <w:right w:val="single" w:sz="2" w:space="0" w:color="auto"/>
            </w:tcBorders>
            <w:shd w:val="clear" w:color="auto" w:fill="D3D3D3"/>
            <w:vAlign w:val="center"/>
          </w:tcPr>
          <w:p w:rsidR="004E6C26" w:rsidRDefault="004E6C26"/>
        </w:tc>
        <w:tc>
          <w:tcPr>
            <w:tcW w:w="1845" w:type="dxa"/>
            <w:tcBorders>
              <w:top w:val="single" w:sz="2" w:space="0" w:color="auto"/>
              <w:left w:val="single" w:sz="2" w:space="0" w:color="auto"/>
              <w:bottom w:val="single" w:sz="2" w:space="0" w:color="auto"/>
              <w:right w:val="single" w:sz="2" w:space="0" w:color="auto"/>
            </w:tcBorders>
            <w:shd w:val="clear" w:color="auto" w:fill="D3D3D3"/>
            <w:vAlign w:val="center"/>
          </w:tcPr>
          <w:p w:rsidR="004E6C26" w:rsidRDefault="004E6C26"/>
        </w:tc>
      </w:tr>
      <w:tr w:rsidR="004E6C26" w:rsidTr="004E6C26">
        <w:trPr>
          <w:trHeight w:val="240"/>
        </w:trPr>
        <w:tc>
          <w:tcPr>
            <w:tcW w:w="1840"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rPr>
                <w:rFonts w:ascii="宋体" w:eastAsia="宋体" w:hAnsi="宋体" w:cs="宋体"/>
                <w:sz w:val="18"/>
                <w:szCs w:val="18"/>
              </w:rPr>
            </w:pPr>
            <w:r>
              <w:rPr>
                <w:rFonts w:ascii="宋体" w:eastAsia="宋体" w:hAnsi="宋体" w:cs="宋体"/>
                <w:sz w:val="18"/>
                <w:szCs w:val="18"/>
              </w:rPr>
              <w:t>软件业</w:t>
            </w:r>
          </w:p>
        </w:tc>
        <w:tc>
          <w:tcPr>
            <w:tcW w:w="1985"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r>
              <w:rPr>
                <w:rFonts w:ascii="宋体" w:eastAsia="宋体" w:hAnsi="宋体" w:cs="宋体"/>
                <w:sz w:val="18"/>
                <w:szCs w:val="18"/>
              </w:rPr>
              <w:t>214,180,155.25</w:t>
            </w:r>
          </w:p>
        </w:tc>
        <w:tc>
          <w:tcPr>
            <w:tcW w:w="1984"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r>
              <w:rPr>
                <w:rFonts w:ascii="宋体" w:eastAsia="宋体" w:hAnsi="宋体" w:cs="宋体"/>
                <w:sz w:val="18"/>
                <w:szCs w:val="18"/>
              </w:rPr>
              <w:t>14,079,974.00</w:t>
            </w:r>
          </w:p>
        </w:tc>
        <w:tc>
          <w:tcPr>
            <w:tcW w:w="1985"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r>
              <w:rPr>
                <w:rFonts w:ascii="宋体" w:eastAsia="宋体" w:hAnsi="宋体" w:cs="宋体"/>
                <w:sz w:val="18"/>
                <w:szCs w:val="18"/>
              </w:rPr>
              <w:t>214,180,155.25</w:t>
            </w:r>
          </w:p>
        </w:tc>
        <w:tc>
          <w:tcPr>
            <w:tcW w:w="1845"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r>
              <w:rPr>
                <w:rFonts w:ascii="宋体" w:eastAsia="宋体" w:hAnsi="宋体" w:cs="宋体"/>
                <w:sz w:val="18"/>
                <w:szCs w:val="18"/>
              </w:rPr>
              <w:t>14,079,974.00</w:t>
            </w:r>
          </w:p>
        </w:tc>
      </w:tr>
      <w:tr w:rsidR="004E6C26" w:rsidTr="004E6C26">
        <w:trPr>
          <w:trHeight w:val="240"/>
        </w:trPr>
        <w:tc>
          <w:tcPr>
            <w:tcW w:w="1840"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rPr>
                <w:rFonts w:ascii="宋体" w:eastAsia="宋体" w:hAnsi="宋体" w:cs="宋体"/>
                <w:sz w:val="18"/>
                <w:szCs w:val="18"/>
              </w:rPr>
            </w:pPr>
            <w:r>
              <w:rPr>
                <w:rFonts w:ascii="宋体" w:eastAsia="宋体" w:hAnsi="宋体" w:cs="宋体"/>
                <w:sz w:val="18"/>
                <w:szCs w:val="18"/>
              </w:rPr>
              <w:t>制造及安装业</w:t>
            </w:r>
          </w:p>
        </w:tc>
        <w:tc>
          <w:tcPr>
            <w:tcW w:w="1985"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r>
              <w:rPr>
                <w:rFonts w:ascii="宋体" w:eastAsia="宋体" w:hAnsi="宋体" w:cs="宋体"/>
                <w:sz w:val="18"/>
                <w:szCs w:val="18"/>
              </w:rPr>
              <w:t>5,433,415,010.74</w:t>
            </w:r>
          </w:p>
        </w:tc>
        <w:tc>
          <w:tcPr>
            <w:tcW w:w="1984"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r>
              <w:rPr>
                <w:rFonts w:ascii="宋体" w:eastAsia="宋体" w:hAnsi="宋体" w:cs="宋体"/>
                <w:sz w:val="18"/>
                <w:szCs w:val="18"/>
              </w:rPr>
              <w:t>4,165,122,275.17</w:t>
            </w:r>
          </w:p>
        </w:tc>
        <w:tc>
          <w:tcPr>
            <w:tcW w:w="1985"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r>
              <w:rPr>
                <w:rFonts w:ascii="宋体" w:eastAsia="宋体" w:hAnsi="宋体" w:cs="宋体"/>
                <w:sz w:val="18"/>
                <w:szCs w:val="18"/>
              </w:rPr>
              <w:t>5,433,415,010.74</w:t>
            </w:r>
          </w:p>
        </w:tc>
        <w:tc>
          <w:tcPr>
            <w:tcW w:w="1845"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r>
              <w:rPr>
                <w:rFonts w:ascii="宋体" w:eastAsia="宋体" w:hAnsi="宋体" w:cs="宋体"/>
                <w:sz w:val="18"/>
                <w:szCs w:val="18"/>
              </w:rPr>
              <w:t>4,165,122,275.17</w:t>
            </w:r>
          </w:p>
        </w:tc>
      </w:tr>
      <w:tr w:rsidR="004E6C26" w:rsidTr="004E6C26">
        <w:trPr>
          <w:trHeight w:val="240"/>
        </w:trPr>
        <w:tc>
          <w:tcPr>
            <w:tcW w:w="1840" w:type="dxa"/>
            <w:tcBorders>
              <w:top w:val="single" w:sz="2" w:space="0" w:color="auto"/>
              <w:left w:val="single" w:sz="2" w:space="0" w:color="auto"/>
              <w:bottom w:val="single" w:sz="2" w:space="0" w:color="auto"/>
              <w:right w:val="single" w:sz="2" w:space="0" w:color="auto"/>
            </w:tcBorders>
            <w:shd w:val="clear" w:color="auto" w:fill="D3D3D3"/>
            <w:vAlign w:val="center"/>
          </w:tcPr>
          <w:p w:rsidR="004E6C26" w:rsidRDefault="004E6C26">
            <w:pPr>
              <w:spacing w:before="40" w:after="40" w:line="240" w:lineRule="exact"/>
              <w:rPr>
                <w:rFonts w:ascii="宋体" w:eastAsia="宋体" w:hAnsi="宋体" w:cs="宋体"/>
                <w:sz w:val="18"/>
                <w:szCs w:val="18"/>
              </w:rPr>
            </w:pPr>
            <w:r>
              <w:rPr>
                <w:rFonts w:ascii="宋体" w:eastAsia="宋体" w:hAnsi="宋体" w:cs="宋体"/>
                <w:sz w:val="18"/>
                <w:szCs w:val="18"/>
              </w:rPr>
              <w:t>按经营地区分类</w:t>
            </w:r>
          </w:p>
        </w:tc>
        <w:tc>
          <w:tcPr>
            <w:tcW w:w="1985"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r>
              <w:rPr>
                <w:rFonts w:ascii="宋体" w:eastAsia="宋体" w:hAnsi="宋体" w:cs="宋体"/>
                <w:sz w:val="18"/>
                <w:szCs w:val="18"/>
              </w:rPr>
              <w:t>5,647,595,165.99</w:t>
            </w:r>
          </w:p>
        </w:tc>
        <w:tc>
          <w:tcPr>
            <w:tcW w:w="1984"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r>
              <w:rPr>
                <w:rFonts w:ascii="宋体" w:eastAsia="宋体" w:hAnsi="宋体" w:cs="宋体"/>
                <w:sz w:val="18"/>
                <w:szCs w:val="18"/>
              </w:rPr>
              <w:t>4,179,202,249.17</w:t>
            </w:r>
          </w:p>
        </w:tc>
        <w:tc>
          <w:tcPr>
            <w:tcW w:w="1985"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r>
              <w:rPr>
                <w:rFonts w:ascii="宋体" w:eastAsia="宋体" w:hAnsi="宋体" w:cs="宋体"/>
                <w:sz w:val="18"/>
                <w:szCs w:val="18"/>
              </w:rPr>
              <w:t>5,647,595,165.99</w:t>
            </w:r>
          </w:p>
        </w:tc>
        <w:tc>
          <w:tcPr>
            <w:tcW w:w="1845"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r>
              <w:rPr>
                <w:rFonts w:ascii="宋体" w:eastAsia="宋体" w:hAnsi="宋体" w:cs="宋体"/>
                <w:sz w:val="18"/>
                <w:szCs w:val="18"/>
              </w:rPr>
              <w:t>4,179,202,249.17</w:t>
            </w:r>
          </w:p>
        </w:tc>
      </w:tr>
      <w:tr w:rsidR="004E6C26" w:rsidTr="004E6C26">
        <w:trPr>
          <w:trHeight w:val="240"/>
        </w:trPr>
        <w:tc>
          <w:tcPr>
            <w:tcW w:w="1840" w:type="dxa"/>
            <w:tcBorders>
              <w:top w:val="single" w:sz="2" w:space="0" w:color="auto"/>
              <w:left w:val="single" w:sz="2" w:space="0" w:color="auto"/>
              <w:bottom w:val="single" w:sz="2" w:space="0" w:color="auto"/>
              <w:right w:val="single" w:sz="2" w:space="0" w:color="auto"/>
            </w:tcBorders>
            <w:shd w:val="clear" w:color="auto" w:fill="D3D3D3"/>
            <w:vAlign w:val="center"/>
          </w:tcPr>
          <w:p w:rsidR="004E6C26" w:rsidRDefault="004E6C26">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985" w:type="dxa"/>
            <w:tcBorders>
              <w:top w:val="single" w:sz="2" w:space="0" w:color="auto"/>
              <w:left w:val="single" w:sz="2" w:space="0" w:color="auto"/>
              <w:bottom w:val="single" w:sz="2" w:space="0" w:color="auto"/>
              <w:right w:val="single" w:sz="2" w:space="0" w:color="auto"/>
            </w:tcBorders>
            <w:shd w:val="clear" w:color="auto" w:fill="D3D3D3"/>
            <w:vAlign w:val="center"/>
          </w:tcPr>
          <w:p w:rsidR="004E6C26" w:rsidRDefault="004E6C26"/>
        </w:tc>
        <w:tc>
          <w:tcPr>
            <w:tcW w:w="1984" w:type="dxa"/>
            <w:tcBorders>
              <w:top w:val="single" w:sz="2" w:space="0" w:color="auto"/>
              <w:left w:val="single" w:sz="2" w:space="0" w:color="auto"/>
              <w:bottom w:val="single" w:sz="2" w:space="0" w:color="auto"/>
              <w:right w:val="single" w:sz="2" w:space="0" w:color="auto"/>
            </w:tcBorders>
            <w:shd w:val="clear" w:color="auto" w:fill="D3D3D3"/>
            <w:vAlign w:val="center"/>
          </w:tcPr>
          <w:p w:rsidR="004E6C26" w:rsidRDefault="004E6C26"/>
        </w:tc>
        <w:tc>
          <w:tcPr>
            <w:tcW w:w="1985" w:type="dxa"/>
            <w:tcBorders>
              <w:top w:val="single" w:sz="2" w:space="0" w:color="auto"/>
              <w:left w:val="single" w:sz="2" w:space="0" w:color="auto"/>
              <w:bottom w:val="single" w:sz="2" w:space="0" w:color="auto"/>
              <w:right w:val="single" w:sz="2" w:space="0" w:color="auto"/>
            </w:tcBorders>
            <w:shd w:val="clear" w:color="auto" w:fill="D3D3D3"/>
            <w:vAlign w:val="center"/>
          </w:tcPr>
          <w:p w:rsidR="004E6C26" w:rsidRDefault="004E6C26"/>
        </w:tc>
        <w:tc>
          <w:tcPr>
            <w:tcW w:w="1845" w:type="dxa"/>
            <w:tcBorders>
              <w:top w:val="single" w:sz="2" w:space="0" w:color="auto"/>
              <w:left w:val="single" w:sz="2" w:space="0" w:color="auto"/>
              <w:bottom w:val="single" w:sz="2" w:space="0" w:color="auto"/>
              <w:right w:val="single" w:sz="2" w:space="0" w:color="auto"/>
            </w:tcBorders>
            <w:shd w:val="clear" w:color="auto" w:fill="D3D3D3"/>
            <w:vAlign w:val="center"/>
          </w:tcPr>
          <w:p w:rsidR="004E6C26" w:rsidRDefault="004E6C26"/>
        </w:tc>
      </w:tr>
      <w:tr w:rsidR="004E6C26" w:rsidTr="004E6C26">
        <w:trPr>
          <w:trHeight w:val="240"/>
        </w:trPr>
        <w:tc>
          <w:tcPr>
            <w:tcW w:w="1840"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rPr>
                <w:rFonts w:ascii="宋体" w:eastAsia="宋体" w:hAnsi="宋体" w:cs="宋体"/>
                <w:sz w:val="18"/>
                <w:szCs w:val="18"/>
              </w:rPr>
            </w:pPr>
            <w:r>
              <w:rPr>
                <w:rFonts w:ascii="宋体" w:eastAsia="宋体" w:hAnsi="宋体" w:cs="宋体"/>
                <w:sz w:val="18"/>
                <w:szCs w:val="18"/>
              </w:rPr>
              <w:t>国内</w:t>
            </w:r>
          </w:p>
        </w:tc>
        <w:tc>
          <w:tcPr>
            <w:tcW w:w="1985"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r>
              <w:rPr>
                <w:rFonts w:ascii="宋体" w:eastAsia="宋体" w:hAnsi="宋体" w:cs="宋体"/>
                <w:sz w:val="18"/>
                <w:szCs w:val="18"/>
              </w:rPr>
              <w:t>4,250,295,118.06</w:t>
            </w:r>
          </w:p>
        </w:tc>
        <w:tc>
          <w:tcPr>
            <w:tcW w:w="1984"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r>
              <w:rPr>
                <w:rFonts w:ascii="宋体" w:eastAsia="宋体" w:hAnsi="宋体" w:cs="宋体"/>
                <w:sz w:val="18"/>
                <w:szCs w:val="18"/>
              </w:rPr>
              <w:t>3,186,537,760.24</w:t>
            </w:r>
          </w:p>
        </w:tc>
        <w:tc>
          <w:tcPr>
            <w:tcW w:w="1985"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r>
              <w:rPr>
                <w:rFonts w:ascii="宋体" w:eastAsia="宋体" w:hAnsi="宋体" w:cs="宋体"/>
                <w:sz w:val="18"/>
                <w:szCs w:val="18"/>
              </w:rPr>
              <w:t>4,250,295,118.06</w:t>
            </w:r>
          </w:p>
        </w:tc>
        <w:tc>
          <w:tcPr>
            <w:tcW w:w="1845"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r>
              <w:rPr>
                <w:rFonts w:ascii="宋体" w:eastAsia="宋体" w:hAnsi="宋体" w:cs="宋体"/>
                <w:sz w:val="18"/>
                <w:szCs w:val="18"/>
              </w:rPr>
              <w:t>3,186,537,760.25</w:t>
            </w:r>
          </w:p>
        </w:tc>
      </w:tr>
      <w:tr w:rsidR="004E6C26" w:rsidTr="004E6C26">
        <w:trPr>
          <w:trHeight w:val="240"/>
        </w:trPr>
        <w:tc>
          <w:tcPr>
            <w:tcW w:w="1840"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rPr>
                <w:rFonts w:ascii="宋体" w:eastAsia="宋体" w:hAnsi="宋体" w:cs="宋体"/>
                <w:sz w:val="18"/>
                <w:szCs w:val="18"/>
              </w:rPr>
            </w:pPr>
            <w:r>
              <w:rPr>
                <w:rFonts w:ascii="宋体" w:eastAsia="宋体" w:hAnsi="宋体" w:cs="宋体"/>
                <w:sz w:val="18"/>
                <w:szCs w:val="18"/>
              </w:rPr>
              <w:t>国外</w:t>
            </w:r>
          </w:p>
        </w:tc>
        <w:tc>
          <w:tcPr>
            <w:tcW w:w="1985"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r>
              <w:rPr>
                <w:rFonts w:ascii="宋体" w:eastAsia="宋体" w:hAnsi="宋体" w:cs="宋体"/>
                <w:sz w:val="18"/>
                <w:szCs w:val="18"/>
              </w:rPr>
              <w:t>1,397,300,047.93</w:t>
            </w:r>
          </w:p>
        </w:tc>
        <w:tc>
          <w:tcPr>
            <w:tcW w:w="1984"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r>
              <w:rPr>
                <w:rFonts w:ascii="宋体" w:eastAsia="宋体" w:hAnsi="宋体" w:cs="宋体"/>
                <w:sz w:val="18"/>
                <w:szCs w:val="18"/>
              </w:rPr>
              <w:t>992,664,488.93</w:t>
            </w:r>
          </w:p>
        </w:tc>
        <w:tc>
          <w:tcPr>
            <w:tcW w:w="1985"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r>
              <w:rPr>
                <w:rFonts w:ascii="宋体" w:eastAsia="宋体" w:hAnsi="宋体" w:cs="宋体"/>
                <w:sz w:val="18"/>
                <w:szCs w:val="18"/>
              </w:rPr>
              <w:t>1,397,300,047.93</w:t>
            </w:r>
          </w:p>
        </w:tc>
        <w:tc>
          <w:tcPr>
            <w:tcW w:w="1845"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r>
              <w:rPr>
                <w:rFonts w:ascii="宋体" w:eastAsia="宋体" w:hAnsi="宋体" w:cs="宋体"/>
                <w:sz w:val="18"/>
                <w:szCs w:val="18"/>
              </w:rPr>
              <w:t>992,664,488.93</w:t>
            </w:r>
          </w:p>
        </w:tc>
      </w:tr>
      <w:tr w:rsidR="004E6C26" w:rsidTr="004E6C26">
        <w:trPr>
          <w:trHeight w:val="240"/>
        </w:trPr>
        <w:tc>
          <w:tcPr>
            <w:tcW w:w="1840" w:type="dxa"/>
            <w:tcBorders>
              <w:top w:val="single" w:sz="2" w:space="0" w:color="auto"/>
              <w:left w:val="single" w:sz="2" w:space="0" w:color="auto"/>
              <w:bottom w:val="single" w:sz="2" w:space="0" w:color="auto"/>
              <w:right w:val="single" w:sz="2" w:space="0" w:color="auto"/>
            </w:tcBorders>
            <w:shd w:val="clear" w:color="auto" w:fill="D3D3D3"/>
            <w:vAlign w:val="center"/>
          </w:tcPr>
          <w:p w:rsidR="004E6C26" w:rsidRDefault="004E6C26">
            <w:pPr>
              <w:spacing w:before="40" w:after="40" w:line="240" w:lineRule="exact"/>
              <w:rPr>
                <w:rFonts w:ascii="宋体" w:eastAsia="宋体" w:hAnsi="宋体" w:cs="宋体"/>
                <w:sz w:val="18"/>
                <w:szCs w:val="18"/>
              </w:rPr>
            </w:pPr>
            <w:r>
              <w:rPr>
                <w:rFonts w:ascii="宋体" w:eastAsia="宋体" w:hAnsi="宋体" w:cs="宋体"/>
                <w:sz w:val="18"/>
                <w:szCs w:val="18"/>
              </w:rPr>
              <w:t>市场或客户类型</w:t>
            </w:r>
          </w:p>
        </w:tc>
        <w:tc>
          <w:tcPr>
            <w:tcW w:w="1985"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r>
              <w:rPr>
                <w:rFonts w:ascii="宋体" w:eastAsia="宋体" w:hAnsi="宋体" w:cs="宋体"/>
                <w:sz w:val="18"/>
                <w:szCs w:val="18"/>
              </w:rPr>
              <w:t>5,647,595,165.99</w:t>
            </w:r>
          </w:p>
        </w:tc>
        <w:tc>
          <w:tcPr>
            <w:tcW w:w="1984"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r>
              <w:rPr>
                <w:rFonts w:ascii="宋体" w:eastAsia="宋体" w:hAnsi="宋体" w:cs="宋体"/>
                <w:sz w:val="18"/>
                <w:szCs w:val="18"/>
              </w:rPr>
              <w:t>4,179,202,249.17</w:t>
            </w:r>
          </w:p>
        </w:tc>
        <w:tc>
          <w:tcPr>
            <w:tcW w:w="1985"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r>
              <w:rPr>
                <w:rFonts w:ascii="宋体" w:eastAsia="宋体" w:hAnsi="宋体" w:cs="宋体"/>
                <w:sz w:val="18"/>
                <w:szCs w:val="18"/>
              </w:rPr>
              <w:t>5,647,595,165.99</w:t>
            </w:r>
          </w:p>
        </w:tc>
        <w:tc>
          <w:tcPr>
            <w:tcW w:w="1845"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r>
              <w:rPr>
                <w:rFonts w:ascii="宋体" w:eastAsia="宋体" w:hAnsi="宋体" w:cs="宋体"/>
                <w:sz w:val="18"/>
                <w:szCs w:val="18"/>
              </w:rPr>
              <w:t>4,179,202,249.17</w:t>
            </w:r>
          </w:p>
        </w:tc>
      </w:tr>
      <w:tr w:rsidR="004E6C26" w:rsidTr="004E6C26">
        <w:trPr>
          <w:trHeight w:val="240"/>
        </w:trPr>
        <w:tc>
          <w:tcPr>
            <w:tcW w:w="1840" w:type="dxa"/>
            <w:tcBorders>
              <w:top w:val="single" w:sz="2" w:space="0" w:color="auto"/>
              <w:left w:val="single" w:sz="2" w:space="0" w:color="auto"/>
              <w:bottom w:val="single" w:sz="2" w:space="0" w:color="auto"/>
              <w:right w:val="single" w:sz="2" w:space="0" w:color="auto"/>
            </w:tcBorders>
            <w:shd w:val="clear" w:color="auto" w:fill="D3D3D3"/>
            <w:vAlign w:val="center"/>
          </w:tcPr>
          <w:p w:rsidR="004E6C26" w:rsidRDefault="004E6C26">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985" w:type="dxa"/>
            <w:tcBorders>
              <w:top w:val="single" w:sz="2" w:space="0" w:color="auto"/>
              <w:left w:val="single" w:sz="2" w:space="0" w:color="auto"/>
              <w:bottom w:val="single" w:sz="2" w:space="0" w:color="auto"/>
              <w:right w:val="single" w:sz="2" w:space="0" w:color="auto"/>
            </w:tcBorders>
            <w:shd w:val="clear" w:color="auto" w:fill="D3D3D3"/>
            <w:vAlign w:val="center"/>
          </w:tcPr>
          <w:p w:rsidR="004E6C26" w:rsidRDefault="004E6C26"/>
        </w:tc>
        <w:tc>
          <w:tcPr>
            <w:tcW w:w="1984" w:type="dxa"/>
            <w:tcBorders>
              <w:top w:val="single" w:sz="2" w:space="0" w:color="auto"/>
              <w:left w:val="single" w:sz="2" w:space="0" w:color="auto"/>
              <w:bottom w:val="single" w:sz="2" w:space="0" w:color="auto"/>
              <w:right w:val="single" w:sz="2" w:space="0" w:color="auto"/>
            </w:tcBorders>
            <w:shd w:val="clear" w:color="auto" w:fill="D3D3D3"/>
            <w:vAlign w:val="center"/>
          </w:tcPr>
          <w:p w:rsidR="004E6C26" w:rsidRDefault="004E6C26"/>
        </w:tc>
        <w:tc>
          <w:tcPr>
            <w:tcW w:w="1985" w:type="dxa"/>
            <w:tcBorders>
              <w:top w:val="single" w:sz="2" w:space="0" w:color="auto"/>
              <w:left w:val="single" w:sz="2" w:space="0" w:color="auto"/>
              <w:bottom w:val="single" w:sz="2" w:space="0" w:color="auto"/>
              <w:right w:val="single" w:sz="2" w:space="0" w:color="auto"/>
            </w:tcBorders>
            <w:shd w:val="clear" w:color="auto" w:fill="D3D3D3"/>
            <w:vAlign w:val="center"/>
          </w:tcPr>
          <w:p w:rsidR="004E6C26" w:rsidRDefault="004E6C26"/>
        </w:tc>
        <w:tc>
          <w:tcPr>
            <w:tcW w:w="1845" w:type="dxa"/>
            <w:tcBorders>
              <w:top w:val="single" w:sz="2" w:space="0" w:color="auto"/>
              <w:left w:val="single" w:sz="2" w:space="0" w:color="auto"/>
              <w:bottom w:val="single" w:sz="2" w:space="0" w:color="auto"/>
              <w:right w:val="single" w:sz="2" w:space="0" w:color="auto"/>
            </w:tcBorders>
            <w:shd w:val="clear" w:color="auto" w:fill="D3D3D3"/>
            <w:vAlign w:val="center"/>
          </w:tcPr>
          <w:p w:rsidR="004E6C26" w:rsidRDefault="004E6C26"/>
        </w:tc>
      </w:tr>
      <w:tr w:rsidR="004E6C26" w:rsidTr="004E6C26">
        <w:trPr>
          <w:trHeight w:val="240"/>
        </w:trPr>
        <w:tc>
          <w:tcPr>
            <w:tcW w:w="1840"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rPr>
                <w:rFonts w:ascii="宋体" w:eastAsia="宋体" w:hAnsi="宋体" w:cs="宋体"/>
                <w:sz w:val="18"/>
                <w:szCs w:val="18"/>
              </w:rPr>
            </w:pPr>
            <w:r>
              <w:rPr>
                <w:rFonts w:ascii="宋体" w:eastAsia="宋体" w:hAnsi="宋体" w:cs="宋体"/>
                <w:sz w:val="18"/>
                <w:szCs w:val="18"/>
              </w:rPr>
              <w:t>橡胶装备系统</w:t>
            </w:r>
          </w:p>
        </w:tc>
        <w:tc>
          <w:tcPr>
            <w:tcW w:w="1985"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r>
              <w:rPr>
                <w:rFonts w:ascii="宋体" w:eastAsia="宋体" w:hAnsi="宋体" w:cs="宋体"/>
                <w:sz w:val="18"/>
                <w:szCs w:val="18"/>
              </w:rPr>
              <w:t>4,020,909,944.75</w:t>
            </w:r>
          </w:p>
        </w:tc>
        <w:tc>
          <w:tcPr>
            <w:tcW w:w="1984"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r>
              <w:rPr>
                <w:rFonts w:ascii="宋体" w:eastAsia="宋体" w:hAnsi="宋体" w:cs="宋体"/>
                <w:sz w:val="18"/>
                <w:szCs w:val="18"/>
              </w:rPr>
              <w:t>2,837,983,174.72</w:t>
            </w:r>
          </w:p>
        </w:tc>
        <w:tc>
          <w:tcPr>
            <w:tcW w:w="1985"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r>
              <w:rPr>
                <w:rFonts w:ascii="宋体" w:eastAsia="宋体" w:hAnsi="宋体" w:cs="宋体"/>
                <w:sz w:val="18"/>
                <w:szCs w:val="18"/>
              </w:rPr>
              <w:t>4,020,909,944.75</w:t>
            </w:r>
          </w:p>
        </w:tc>
        <w:tc>
          <w:tcPr>
            <w:tcW w:w="1845"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r>
              <w:rPr>
                <w:rFonts w:ascii="宋体" w:eastAsia="宋体" w:hAnsi="宋体" w:cs="宋体"/>
                <w:sz w:val="18"/>
                <w:szCs w:val="18"/>
              </w:rPr>
              <w:t>2,837,983,174.72</w:t>
            </w:r>
          </w:p>
        </w:tc>
      </w:tr>
      <w:tr w:rsidR="004E6C26" w:rsidTr="004E6C26">
        <w:trPr>
          <w:trHeight w:val="240"/>
        </w:trPr>
        <w:tc>
          <w:tcPr>
            <w:tcW w:w="1840"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rPr>
                <w:rFonts w:ascii="宋体" w:eastAsia="宋体" w:hAnsi="宋体" w:cs="宋体"/>
                <w:sz w:val="18"/>
                <w:szCs w:val="18"/>
              </w:rPr>
            </w:pPr>
            <w:r>
              <w:rPr>
                <w:rFonts w:ascii="宋体" w:eastAsia="宋体" w:hAnsi="宋体" w:cs="宋体"/>
                <w:sz w:val="18"/>
                <w:szCs w:val="18"/>
              </w:rPr>
              <w:t>合成橡胶</w:t>
            </w:r>
          </w:p>
        </w:tc>
        <w:tc>
          <w:tcPr>
            <w:tcW w:w="1985"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r>
              <w:rPr>
                <w:rFonts w:ascii="宋体" w:eastAsia="宋体" w:hAnsi="宋体" w:cs="宋体"/>
                <w:sz w:val="18"/>
                <w:szCs w:val="18"/>
              </w:rPr>
              <w:t>1,586,896,743.64</w:t>
            </w:r>
          </w:p>
        </w:tc>
        <w:tc>
          <w:tcPr>
            <w:tcW w:w="1984"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r>
              <w:rPr>
                <w:rFonts w:ascii="宋体" w:eastAsia="宋体" w:hAnsi="宋体" w:cs="宋体"/>
                <w:sz w:val="18"/>
                <w:szCs w:val="18"/>
              </w:rPr>
              <w:t>1,318,944,541.75</w:t>
            </w:r>
          </w:p>
        </w:tc>
        <w:tc>
          <w:tcPr>
            <w:tcW w:w="1985"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r>
              <w:rPr>
                <w:rFonts w:ascii="宋体" w:eastAsia="宋体" w:hAnsi="宋体" w:cs="宋体"/>
                <w:sz w:val="18"/>
                <w:szCs w:val="18"/>
              </w:rPr>
              <w:t>1,586,896,743.64</w:t>
            </w:r>
          </w:p>
        </w:tc>
        <w:tc>
          <w:tcPr>
            <w:tcW w:w="1845"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r>
              <w:rPr>
                <w:rFonts w:ascii="宋体" w:eastAsia="宋体" w:hAnsi="宋体" w:cs="宋体"/>
                <w:sz w:val="18"/>
                <w:szCs w:val="18"/>
              </w:rPr>
              <w:t>1,318,944,541.75</w:t>
            </w:r>
          </w:p>
        </w:tc>
      </w:tr>
      <w:tr w:rsidR="004E6C26" w:rsidTr="004E6C26">
        <w:trPr>
          <w:trHeight w:val="240"/>
        </w:trPr>
        <w:tc>
          <w:tcPr>
            <w:tcW w:w="1840"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rPr>
                <w:rFonts w:ascii="宋体" w:eastAsia="宋体" w:hAnsi="宋体" w:cs="宋体"/>
                <w:sz w:val="18"/>
                <w:szCs w:val="18"/>
              </w:rPr>
            </w:pPr>
            <w:r>
              <w:rPr>
                <w:rFonts w:ascii="宋体" w:eastAsia="宋体" w:hAnsi="宋体" w:cs="宋体"/>
                <w:sz w:val="18"/>
                <w:szCs w:val="18"/>
              </w:rPr>
              <w:t>其他</w:t>
            </w:r>
          </w:p>
        </w:tc>
        <w:tc>
          <w:tcPr>
            <w:tcW w:w="1985"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r>
              <w:rPr>
                <w:rFonts w:ascii="宋体" w:eastAsia="宋体" w:hAnsi="宋体" w:cs="宋体"/>
                <w:sz w:val="18"/>
                <w:szCs w:val="18"/>
              </w:rPr>
              <w:t>39,788,477.60</w:t>
            </w:r>
          </w:p>
        </w:tc>
        <w:tc>
          <w:tcPr>
            <w:tcW w:w="1984"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r>
              <w:rPr>
                <w:rFonts w:ascii="宋体" w:eastAsia="宋体" w:hAnsi="宋体" w:cs="宋体"/>
                <w:sz w:val="18"/>
                <w:szCs w:val="18"/>
              </w:rPr>
              <w:t>22,274,532.70</w:t>
            </w:r>
          </w:p>
        </w:tc>
        <w:tc>
          <w:tcPr>
            <w:tcW w:w="1985"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r>
              <w:rPr>
                <w:rFonts w:ascii="宋体" w:eastAsia="宋体" w:hAnsi="宋体" w:cs="宋体"/>
                <w:sz w:val="18"/>
                <w:szCs w:val="18"/>
              </w:rPr>
              <w:t>39,788,477.60</w:t>
            </w:r>
          </w:p>
        </w:tc>
        <w:tc>
          <w:tcPr>
            <w:tcW w:w="1845"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r>
              <w:rPr>
                <w:rFonts w:ascii="宋体" w:eastAsia="宋体" w:hAnsi="宋体" w:cs="宋体"/>
                <w:sz w:val="18"/>
                <w:szCs w:val="18"/>
              </w:rPr>
              <w:t>22,274,532.70</w:t>
            </w:r>
          </w:p>
        </w:tc>
      </w:tr>
      <w:tr w:rsidR="004E6C26" w:rsidTr="004E6C26">
        <w:trPr>
          <w:trHeight w:val="240"/>
        </w:trPr>
        <w:tc>
          <w:tcPr>
            <w:tcW w:w="1840" w:type="dxa"/>
            <w:tcBorders>
              <w:top w:val="single" w:sz="2" w:space="0" w:color="auto"/>
              <w:left w:val="single" w:sz="2" w:space="0" w:color="auto"/>
              <w:bottom w:val="single" w:sz="2" w:space="0" w:color="auto"/>
              <w:right w:val="single" w:sz="2" w:space="0" w:color="auto"/>
            </w:tcBorders>
            <w:shd w:val="clear" w:color="auto" w:fill="D3D3D3"/>
            <w:vAlign w:val="center"/>
          </w:tcPr>
          <w:p w:rsidR="004E6C26" w:rsidRDefault="004E6C26">
            <w:pPr>
              <w:spacing w:before="40" w:after="40" w:line="240" w:lineRule="exact"/>
              <w:rPr>
                <w:rFonts w:ascii="宋体" w:eastAsia="宋体" w:hAnsi="宋体" w:cs="宋体"/>
                <w:sz w:val="18"/>
                <w:szCs w:val="18"/>
              </w:rPr>
            </w:pPr>
            <w:r>
              <w:rPr>
                <w:rFonts w:ascii="宋体" w:eastAsia="宋体" w:hAnsi="宋体" w:cs="宋体"/>
                <w:sz w:val="18"/>
                <w:szCs w:val="18"/>
              </w:rPr>
              <w:t>合同类型</w:t>
            </w:r>
          </w:p>
        </w:tc>
        <w:tc>
          <w:tcPr>
            <w:tcW w:w="1985"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p>
        </w:tc>
        <w:tc>
          <w:tcPr>
            <w:tcW w:w="1984"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p>
        </w:tc>
        <w:tc>
          <w:tcPr>
            <w:tcW w:w="1985"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p>
        </w:tc>
        <w:tc>
          <w:tcPr>
            <w:tcW w:w="1845"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p>
        </w:tc>
      </w:tr>
      <w:tr w:rsidR="004E6C26" w:rsidTr="004E6C26">
        <w:trPr>
          <w:trHeight w:val="240"/>
        </w:trPr>
        <w:tc>
          <w:tcPr>
            <w:tcW w:w="1840" w:type="dxa"/>
            <w:tcBorders>
              <w:top w:val="single" w:sz="2" w:space="0" w:color="auto"/>
              <w:left w:val="single" w:sz="2" w:space="0" w:color="auto"/>
              <w:bottom w:val="single" w:sz="2" w:space="0" w:color="auto"/>
              <w:right w:val="single" w:sz="2" w:space="0" w:color="auto"/>
            </w:tcBorders>
            <w:shd w:val="clear" w:color="auto" w:fill="D3D3D3"/>
            <w:vAlign w:val="center"/>
          </w:tcPr>
          <w:p w:rsidR="004E6C26" w:rsidRDefault="004E6C26">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985" w:type="dxa"/>
            <w:tcBorders>
              <w:top w:val="single" w:sz="2" w:space="0" w:color="auto"/>
              <w:left w:val="single" w:sz="2" w:space="0" w:color="auto"/>
              <w:bottom w:val="single" w:sz="2" w:space="0" w:color="auto"/>
              <w:right w:val="single" w:sz="2" w:space="0" w:color="auto"/>
            </w:tcBorders>
            <w:shd w:val="clear" w:color="auto" w:fill="D3D3D3"/>
            <w:vAlign w:val="center"/>
          </w:tcPr>
          <w:p w:rsidR="004E6C26" w:rsidRDefault="004E6C26"/>
        </w:tc>
        <w:tc>
          <w:tcPr>
            <w:tcW w:w="1984" w:type="dxa"/>
            <w:tcBorders>
              <w:top w:val="single" w:sz="2" w:space="0" w:color="auto"/>
              <w:left w:val="single" w:sz="2" w:space="0" w:color="auto"/>
              <w:bottom w:val="single" w:sz="2" w:space="0" w:color="auto"/>
              <w:right w:val="single" w:sz="2" w:space="0" w:color="auto"/>
            </w:tcBorders>
            <w:shd w:val="clear" w:color="auto" w:fill="D3D3D3"/>
            <w:vAlign w:val="center"/>
          </w:tcPr>
          <w:p w:rsidR="004E6C26" w:rsidRDefault="004E6C26"/>
        </w:tc>
        <w:tc>
          <w:tcPr>
            <w:tcW w:w="1985" w:type="dxa"/>
            <w:tcBorders>
              <w:top w:val="single" w:sz="2" w:space="0" w:color="auto"/>
              <w:left w:val="single" w:sz="2" w:space="0" w:color="auto"/>
              <w:bottom w:val="single" w:sz="2" w:space="0" w:color="auto"/>
              <w:right w:val="single" w:sz="2" w:space="0" w:color="auto"/>
            </w:tcBorders>
            <w:shd w:val="clear" w:color="auto" w:fill="D3D3D3"/>
            <w:vAlign w:val="center"/>
          </w:tcPr>
          <w:p w:rsidR="004E6C26" w:rsidRDefault="004E6C26"/>
        </w:tc>
        <w:tc>
          <w:tcPr>
            <w:tcW w:w="1845" w:type="dxa"/>
            <w:tcBorders>
              <w:top w:val="single" w:sz="2" w:space="0" w:color="auto"/>
              <w:left w:val="single" w:sz="2" w:space="0" w:color="auto"/>
              <w:bottom w:val="single" w:sz="2" w:space="0" w:color="auto"/>
              <w:right w:val="single" w:sz="2" w:space="0" w:color="auto"/>
            </w:tcBorders>
            <w:shd w:val="clear" w:color="auto" w:fill="D3D3D3"/>
            <w:vAlign w:val="center"/>
          </w:tcPr>
          <w:p w:rsidR="004E6C26" w:rsidRDefault="004E6C26"/>
        </w:tc>
      </w:tr>
      <w:tr w:rsidR="004E6C26" w:rsidTr="004E6C26">
        <w:trPr>
          <w:trHeight w:val="240"/>
        </w:trPr>
        <w:tc>
          <w:tcPr>
            <w:tcW w:w="1840"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rPr>
                <w:rFonts w:ascii="宋体" w:eastAsia="宋体" w:hAnsi="宋体" w:cs="宋体"/>
                <w:sz w:val="18"/>
                <w:szCs w:val="18"/>
              </w:rPr>
            </w:pPr>
          </w:p>
        </w:tc>
        <w:tc>
          <w:tcPr>
            <w:tcW w:w="1985"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p>
        </w:tc>
        <w:tc>
          <w:tcPr>
            <w:tcW w:w="1984"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p>
        </w:tc>
        <w:tc>
          <w:tcPr>
            <w:tcW w:w="1985"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p>
        </w:tc>
        <w:tc>
          <w:tcPr>
            <w:tcW w:w="1845"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p>
        </w:tc>
      </w:tr>
      <w:tr w:rsidR="004E6C26" w:rsidTr="004E6C26">
        <w:trPr>
          <w:trHeight w:val="240"/>
        </w:trPr>
        <w:tc>
          <w:tcPr>
            <w:tcW w:w="1840" w:type="dxa"/>
            <w:tcBorders>
              <w:top w:val="single" w:sz="2" w:space="0" w:color="auto"/>
              <w:left w:val="single" w:sz="2" w:space="0" w:color="auto"/>
              <w:bottom w:val="single" w:sz="2" w:space="0" w:color="auto"/>
              <w:right w:val="single" w:sz="2" w:space="0" w:color="auto"/>
            </w:tcBorders>
            <w:shd w:val="clear" w:color="auto" w:fill="D3D3D3"/>
            <w:vAlign w:val="center"/>
          </w:tcPr>
          <w:p w:rsidR="004E6C26" w:rsidRDefault="004E6C26">
            <w:pPr>
              <w:spacing w:before="40" w:after="40" w:line="240" w:lineRule="exact"/>
              <w:rPr>
                <w:rFonts w:ascii="宋体" w:eastAsia="宋体" w:hAnsi="宋体" w:cs="宋体"/>
                <w:sz w:val="18"/>
                <w:szCs w:val="18"/>
              </w:rPr>
            </w:pPr>
            <w:r>
              <w:rPr>
                <w:rFonts w:ascii="宋体" w:eastAsia="宋体" w:hAnsi="宋体" w:cs="宋体"/>
                <w:sz w:val="18"/>
                <w:szCs w:val="18"/>
              </w:rPr>
              <w:t>按商品转让的时间分</w:t>
            </w:r>
            <w:r>
              <w:rPr>
                <w:rFonts w:ascii="宋体" w:eastAsia="宋体" w:hAnsi="宋体" w:cs="宋体"/>
                <w:sz w:val="18"/>
                <w:szCs w:val="18"/>
              </w:rPr>
              <w:lastRenderedPageBreak/>
              <w:t>类</w:t>
            </w:r>
          </w:p>
        </w:tc>
        <w:tc>
          <w:tcPr>
            <w:tcW w:w="1985"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p>
        </w:tc>
        <w:tc>
          <w:tcPr>
            <w:tcW w:w="1984"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p>
        </w:tc>
        <w:tc>
          <w:tcPr>
            <w:tcW w:w="1985"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p>
        </w:tc>
        <w:tc>
          <w:tcPr>
            <w:tcW w:w="1845"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p>
        </w:tc>
      </w:tr>
      <w:tr w:rsidR="004E6C26" w:rsidTr="004E6C26">
        <w:trPr>
          <w:trHeight w:val="240"/>
        </w:trPr>
        <w:tc>
          <w:tcPr>
            <w:tcW w:w="1840" w:type="dxa"/>
            <w:tcBorders>
              <w:top w:val="single" w:sz="2" w:space="0" w:color="auto"/>
              <w:left w:val="single" w:sz="2" w:space="0" w:color="auto"/>
              <w:bottom w:val="single" w:sz="2" w:space="0" w:color="auto"/>
              <w:right w:val="single" w:sz="2" w:space="0" w:color="auto"/>
            </w:tcBorders>
            <w:shd w:val="clear" w:color="auto" w:fill="D3D3D3"/>
            <w:vAlign w:val="center"/>
          </w:tcPr>
          <w:p w:rsidR="004E6C26" w:rsidRDefault="004E6C26">
            <w:pPr>
              <w:spacing w:before="40" w:after="40" w:line="240" w:lineRule="exact"/>
              <w:rPr>
                <w:rFonts w:ascii="宋体" w:eastAsia="宋体" w:hAnsi="宋体" w:cs="宋体"/>
                <w:sz w:val="18"/>
                <w:szCs w:val="18"/>
              </w:rPr>
            </w:pPr>
            <w:r>
              <w:rPr>
                <w:rFonts w:ascii="宋体" w:eastAsia="宋体" w:hAnsi="宋体" w:cs="宋体"/>
                <w:sz w:val="18"/>
                <w:szCs w:val="18"/>
              </w:rPr>
              <w:lastRenderedPageBreak/>
              <w:t xml:space="preserve">　其中：</w:t>
            </w:r>
          </w:p>
        </w:tc>
        <w:tc>
          <w:tcPr>
            <w:tcW w:w="1985" w:type="dxa"/>
            <w:tcBorders>
              <w:top w:val="single" w:sz="2" w:space="0" w:color="auto"/>
              <w:left w:val="single" w:sz="2" w:space="0" w:color="auto"/>
              <w:bottom w:val="single" w:sz="2" w:space="0" w:color="auto"/>
              <w:right w:val="single" w:sz="2" w:space="0" w:color="auto"/>
            </w:tcBorders>
            <w:shd w:val="clear" w:color="auto" w:fill="D3D3D3"/>
            <w:vAlign w:val="center"/>
          </w:tcPr>
          <w:p w:rsidR="004E6C26" w:rsidRDefault="004E6C26"/>
        </w:tc>
        <w:tc>
          <w:tcPr>
            <w:tcW w:w="1984" w:type="dxa"/>
            <w:tcBorders>
              <w:top w:val="single" w:sz="2" w:space="0" w:color="auto"/>
              <w:left w:val="single" w:sz="2" w:space="0" w:color="auto"/>
              <w:bottom w:val="single" w:sz="2" w:space="0" w:color="auto"/>
              <w:right w:val="single" w:sz="2" w:space="0" w:color="auto"/>
            </w:tcBorders>
            <w:shd w:val="clear" w:color="auto" w:fill="D3D3D3"/>
            <w:vAlign w:val="center"/>
          </w:tcPr>
          <w:p w:rsidR="004E6C26" w:rsidRDefault="004E6C26"/>
        </w:tc>
        <w:tc>
          <w:tcPr>
            <w:tcW w:w="1985" w:type="dxa"/>
            <w:tcBorders>
              <w:top w:val="single" w:sz="2" w:space="0" w:color="auto"/>
              <w:left w:val="single" w:sz="2" w:space="0" w:color="auto"/>
              <w:bottom w:val="single" w:sz="2" w:space="0" w:color="auto"/>
              <w:right w:val="single" w:sz="2" w:space="0" w:color="auto"/>
            </w:tcBorders>
            <w:shd w:val="clear" w:color="auto" w:fill="D3D3D3"/>
            <w:vAlign w:val="center"/>
          </w:tcPr>
          <w:p w:rsidR="004E6C26" w:rsidRDefault="004E6C26"/>
        </w:tc>
        <w:tc>
          <w:tcPr>
            <w:tcW w:w="1845" w:type="dxa"/>
            <w:tcBorders>
              <w:top w:val="single" w:sz="2" w:space="0" w:color="auto"/>
              <w:left w:val="single" w:sz="2" w:space="0" w:color="auto"/>
              <w:bottom w:val="single" w:sz="2" w:space="0" w:color="auto"/>
              <w:right w:val="single" w:sz="2" w:space="0" w:color="auto"/>
            </w:tcBorders>
            <w:shd w:val="clear" w:color="auto" w:fill="D3D3D3"/>
            <w:vAlign w:val="center"/>
          </w:tcPr>
          <w:p w:rsidR="004E6C26" w:rsidRDefault="004E6C26"/>
        </w:tc>
      </w:tr>
      <w:tr w:rsidR="004E6C26" w:rsidTr="004E6C26">
        <w:trPr>
          <w:trHeight w:val="240"/>
        </w:trPr>
        <w:tc>
          <w:tcPr>
            <w:tcW w:w="1840"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rPr>
                <w:rFonts w:ascii="宋体" w:eastAsia="宋体" w:hAnsi="宋体" w:cs="宋体"/>
                <w:sz w:val="18"/>
                <w:szCs w:val="18"/>
              </w:rPr>
            </w:pPr>
          </w:p>
        </w:tc>
        <w:tc>
          <w:tcPr>
            <w:tcW w:w="1985"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p>
        </w:tc>
        <w:tc>
          <w:tcPr>
            <w:tcW w:w="1984"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p>
        </w:tc>
        <w:tc>
          <w:tcPr>
            <w:tcW w:w="1985"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p>
        </w:tc>
        <w:tc>
          <w:tcPr>
            <w:tcW w:w="1845"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p>
        </w:tc>
      </w:tr>
      <w:tr w:rsidR="004E6C26" w:rsidTr="004E6C26">
        <w:trPr>
          <w:trHeight w:val="240"/>
        </w:trPr>
        <w:tc>
          <w:tcPr>
            <w:tcW w:w="1840" w:type="dxa"/>
            <w:tcBorders>
              <w:top w:val="single" w:sz="2" w:space="0" w:color="auto"/>
              <w:left w:val="single" w:sz="2" w:space="0" w:color="auto"/>
              <w:bottom w:val="single" w:sz="2" w:space="0" w:color="auto"/>
              <w:right w:val="single" w:sz="2" w:space="0" w:color="auto"/>
            </w:tcBorders>
            <w:shd w:val="clear" w:color="auto" w:fill="D3D3D3"/>
            <w:vAlign w:val="center"/>
          </w:tcPr>
          <w:p w:rsidR="004E6C26" w:rsidRDefault="004E6C26">
            <w:pPr>
              <w:spacing w:before="40" w:after="40" w:line="240" w:lineRule="exact"/>
              <w:rPr>
                <w:rFonts w:ascii="宋体" w:eastAsia="宋体" w:hAnsi="宋体" w:cs="宋体"/>
                <w:sz w:val="18"/>
                <w:szCs w:val="18"/>
              </w:rPr>
            </w:pPr>
            <w:r>
              <w:rPr>
                <w:rFonts w:ascii="宋体" w:eastAsia="宋体" w:hAnsi="宋体" w:cs="宋体"/>
                <w:sz w:val="18"/>
                <w:szCs w:val="18"/>
              </w:rPr>
              <w:t>按合同期限分类</w:t>
            </w:r>
          </w:p>
        </w:tc>
        <w:tc>
          <w:tcPr>
            <w:tcW w:w="1985"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p>
        </w:tc>
        <w:tc>
          <w:tcPr>
            <w:tcW w:w="1984"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p>
        </w:tc>
        <w:tc>
          <w:tcPr>
            <w:tcW w:w="1985"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p>
        </w:tc>
        <w:tc>
          <w:tcPr>
            <w:tcW w:w="1845"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p>
        </w:tc>
      </w:tr>
      <w:tr w:rsidR="004E6C26" w:rsidTr="004E6C26">
        <w:trPr>
          <w:trHeight w:val="240"/>
        </w:trPr>
        <w:tc>
          <w:tcPr>
            <w:tcW w:w="1840" w:type="dxa"/>
            <w:tcBorders>
              <w:top w:val="single" w:sz="2" w:space="0" w:color="auto"/>
              <w:left w:val="single" w:sz="2" w:space="0" w:color="auto"/>
              <w:bottom w:val="single" w:sz="2" w:space="0" w:color="auto"/>
              <w:right w:val="single" w:sz="2" w:space="0" w:color="auto"/>
            </w:tcBorders>
            <w:shd w:val="clear" w:color="auto" w:fill="D3D3D3"/>
            <w:vAlign w:val="center"/>
          </w:tcPr>
          <w:p w:rsidR="004E6C26" w:rsidRDefault="004E6C26">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985" w:type="dxa"/>
            <w:tcBorders>
              <w:top w:val="single" w:sz="2" w:space="0" w:color="auto"/>
              <w:left w:val="single" w:sz="2" w:space="0" w:color="auto"/>
              <w:bottom w:val="single" w:sz="2" w:space="0" w:color="auto"/>
              <w:right w:val="single" w:sz="2" w:space="0" w:color="auto"/>
            </w:tcBorders>
            <w:shd w:val="clear" w:color="auto" w:fill="D3D3D3"/>
            <w:vAlign w:val="center"/>
          </w:tcPr>
          <w:p w:rsidR="004E6C26" w:rsidRDefault="004E6C26"/>
        </w:tc>
        <w:tc>
          <w:tcPr>
            <w:tcW w:w="1984" w:type="dxa"/>
            <w:tcBorders>
              <w:top w:val="single" w:sz="2" w:space="0" w:color="auto"/>
              <w:left w:val="single" w:sz="2" w:space="0" w:color="auto"/>
              <w:bottom w:val="single" w:sz="2" w:space="0" w:color="auto"/>
              <w:right w:val="single" w:sz="2" w:space="0" w:color="auto"/>
            </w:tcBorders>
            <w:shd w:val="clear" w:color="auto" w:fill="D3D3D3"/>
            <w:vAlign w:val="center"/>
          </w:tcPr>
          <w:p w:rsidR="004E6C26" w:rsidRDefault="004E6C26"/>
        </w:tc>
        <w:tc>
          <w:tcPr>
            <w:tcW w:w="1985" w:type="dxa"/>
            <w:tcBorders>
              <w:top w:val="single" w:sz="2" w:space="0" w:color="auto"/>
              <w:left w:val="single" w:sz="2" w:space="0" w:color="auto"/>
              <w:bottom w:val="single" w:sz="2" w:space="0" w:color="auto"/>
              <w:right w:val="single" w:sz="2" w:space="0" w:color="auto"/>
            </w:tcBorders>
            <w:shd w:val="clear" w:color="auto" w:fill="D3D3D3"/>
            <w:vAlign w:val="center"/>
          </w:tcPr>
          <w:p w:rsidR="004E6C26" w:rsidRDefault="004E6C26"/>
        </w:tc>
        <w:tc>
          <w:tcPr>
            <w:tcW w:w="1845" w:type="dxa"/>
            <w:tcBorders>
              <w:top w:val="single" w:sz="2" w:space="0" w:color="auto"/>
              <w:left w:val="single" w:sz="2" w:space="0" w:color="auto"/>
              <w:bottom w:val="single" w:sz="2" w:space="0" w:color="auto"/>
              <w:right w:val="single" w:sz="2" w:space="0" w:color="auto"/>
            </w:tcBorders>
            <w:shd w:val="clear" w:color="auto" w:fill="D3D3D3"/>
            <w:vAlign w:val="center"/>
          </w:tcPr>
          <w:p w:rsidR="004E6C26" w:rsidRDefault="004E6C26"/>
        </w:tc>
      </w:tr>
      <w:tr w:rsidR="004E6C26" w:rsidTr="004E6C26">
        <w:trPr>
          <w:trHeight w:val="240"/>
        </w:trPr>
        <w:tc>
          <w:tcPr>
            <w:tcW w:w="1840"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rPr>
                <w:rFonts w:ascii="宋体" w:eastAsia="宋体" w:hAnsi="宋体" w:cs="宋体"/>
                <w:sz w:val="18"/>
                <w:szCs w:val="18"/>
              </w:rPr>
            </w:pPr>
          </w:p>
        </w:tc>
        <w:tc>
          <w:tcPr>
            <w:tcW w:w="1985"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p>
        </w:tc>
        <w:tc>
          <w:tcPr>
            <w:tcW w:w="1984"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p>
        </w:tc>
        <w:tc>
          <w:tcPr>
            <w:tcW w:w="1985"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p>
        </w:tc>
        <w:tc>
          <w:tcPr>
            <w:tcW w:w="1845"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p>
        </w:tc>
      </w:tr>
      <w:tr w:rsidR="004E6C26" w:rsidTr="004E6C26">
        <w:trPr>
          <w:trHeight w:val="240"/>
        </w:trPr>
        <w:tc>
          <w:tcPr>
            <w:tcW w:w="1840" w:type="dxa"/>
            <w:tcBorders>
              <w:top w:val="single" w:sz="2" w:space="0" w:color="auto"/>
              <w:left w:val="single" w:sz="2" w:space="0" w:color="auto"/>
              <w:bottom w:val="single" w:sz="2" w:space="0" w:color="auto"/>
              <w:right w:val="single" w:sz="2" w:space="0" w:color="auto"/>
            </w:tcBorders>
            <w:shd w:val="clear" w:color="auto" w:fill="D3D3D3"/>
            <w:vAlign w:val="center"/>
          </w:tcPr>
          <w:p w:rsidR="004E6C26" w:rsidRDefault="004E6C26">
            <w:pPr>
              <w:spacing w:before="40" w:after="40" w:line="240" w:lineRule="exact"/>
              <w:rPr>
                <w:rFonts w:ascii="宋体" w:eastAsia="宋体" w:hAnsi="宋体" w:cs="宋体"/>
                <w:sz w:val="18"/>
                <w:szCs w:val="18"/>
              </w:rPr>
            </w:pPr>
            <w:r>
              <w:rPr>
                <w:rFonts w:ascii="宋体" w:eastAsia="宋体" w:hAnsi="宋体" w:cs="宋体"/>
                <w:sz w:val="18"/>
                <w:szCs w:val="18"/>
              </w:rPr>
              <w:t>按销售渠道分类</w:t>
            </w:r>
          </w:p>
        </w:tc>
        <w:tc>
          <w:tcPr>
            <w:tcW w:w="1985"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p>
        </w:tc>
        <w:tc>
          <w:tcPr>
            <w:tcW w:w="1984"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p>
        </w:tc>
        <w:tc>
          <w:tcPr>
            <w:tcW w:w="1985"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p>
        </w:tc>
        <w:tc>
          <w:tcPr>
            <w:tcW w:w="1845"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p>
        </w:tc>
      </w:tr>
      <w:tr w:rsidR="004E6C26" w:rsidTr="004E6C26">
        <w:trPr>
          <w:trHeight w:val="240"/>
        </w:trPr>
        <w:tc>
          <w:tcPr>
            <w:tcW w:w="1840" w:type="dxa"/>
            <w:tcBorders>
              <w:top w:val="single" w:sz="2" w:space="0" w:color="auto"/>
              <w:left w:val="single" w:sz="2" w:space="0" w:color="auto"/>
              <w:bottom w:val="single" w:sz="2" w:space="0" w:color="auto"/>
              <w:right w:val="single" w:sz="2" w:space="0" w:color="auto"/>
            </w:tcBorders>
            <w:shd w:val="clear" w:color="auto" w:fill="D3D3D3"/>
            <w:vAlign w:val="center"/>
          </w:tcPr>
          <w:p w:rsidR="004E6C26" w:rsidRDefault="004E6C26">
            <w:pPr>
              <w:spacing w:before="40" w:after="40" w:line="240" w:lineRule="exact"/>
              <w:rPr>
                <w:rFonts w:ascii="宋体" w:eastAsia="宋体" w:hAnsi="宋体" w:cs="宋体"/>
                <w:sz w:val="18"/>
                <w:szCs w:val="18"/>
              </w:rPr>
            </w:pPr>
            <w:r>
              <w:rPr>
                <w:rFonts w:ascii="宋体" w:eastAsia="宋体" w:hAnsi="宋体" w:cs="宋体"/>
                <w:sz w:val="18"/>
                <w:szCs w:val="18"/>
              </w:rPr>
              <w:t xml:space="preserve">　其中：</w:t>
            </w:r>
          </w:p>
        </w:tc>
        <w:tc>
          <w:tcPr>
            <w:tcW w:w="1985" w:type="dxa"/>
            <w:tcBorders>
              <w:top w:val="single" w:sz="2" w:space="0" w:color="auto"/>
              <w:left w:val="single" w:sz="2" w:space="0" w:color="auto"/>
              <w:bottom w:val="single" w:sz="2" w:space="0" w:color="auto"/>
              <w:right w:val="single" w:sz="2" w:space="0" w:color="auto"/>
            </w:tcBorders>
            <w:shd w:val="clear" w:color="auto" w:fill="D3D3D3"/>
            <w:vAlign w:val="center"/>
          </w:tcPr>
          <w:p w:rsidR="004E6C26" w:rsidRDefault="004E6C26"/>
        </w:tc>
        <w:tc>
          <w:tcPr>
            <w:tcW w:w="1984" w:type="dxa"/>
            <w:tcBorders>
              <w:top w:val="single" w:sz="2" w:space="0" w:color="auto"/>
              <w:left w:val="single" w:sz="2" w:space="0" w:color="auto"/>
              <w:bottom w:val="single" w:sz="2" w:space="0" w:color="auto"/>
              <w:right w:val="single" w:sz="2" w:space="0" w:color="auto"/>
            </w:tcBorders>
            <w:shd w:val="clear" w:color="auto" w:fill="D3D3D3"/>
            <w:vAlign w:val="center"/>
          </w:tcPr>
          <w:p w:rsidR="004E6C26" w:rsidRDefault="004E6C26"/>
        </w:tc>
        <w:tc>
          <w:tcPr>
            <w:tcW w:w="1985" w:type="dxa"/>
            <w:tcBorders>
              <w:top w:val="single" w:sz="2" w:space="0" w:color="auto"/>
              <w:left w:val="single" w:sz="2" w:space="0" w:color="auto"/>
              <w:bottom w:val="single" w:sz="2" w:space="0" w:color="auto"/>
              <w:right w:val="single" w:sz="2" w:space="0" w:color="auto"/>
            </w:tcBorders>
            <w:shd w:val="clear" w:color="auto" w:fill="D3D3D3"/>
            <w:vAlign w:val="center"/>
          </w:tcPr>
          <w:p w:rsidR="004E6C26" w:rsidRDefault="004E6C26"/>
        </w:tc>
        <w:tc>
          <w:tcPr>
            <w:tcW w:w="1845" w:type="dxa"/>
            <w:tcBorders>
              <w:top w:val="single" w:sz="2" w:space="0" w:color="auto"/>
              <w:left w:val="single" w:sz="2" w:space="0" w:color="auto"/>
              <w:bottom w:val="single" w:sz="2" w:space="0" w:color="auto"/>
              <w:right w:val="single" w:sz="2" w:space="0" w:color="auto"/>
            </w:tcBorders>
            <w:shd w:val="clear" w:color="auto" w:fill="D3D3D3"/>
            <w:vAlign w:val="center"/>
          </w:tcPr>
          <w:p w:rsidR="004E6C26" w:rsidRDefault="004E6C26"/>
        </w:tc>
      </w:tr>
      <w:tr w:rsidR="004E6C26" w:rsidTr="004E6C26">
        <w:trPr>
          <w:trHeight w:val="240"/>
        </w:trPr>
        <w:tc>
          <w:tcPr>
            <w:tcW w:w="1840"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rPr>
                <w:rFonts w:ascii="宋体" w:eastAsia="宋体" w:hAnsi="宋体" w:cs="宋体"/>
                <w:sz w:val="18"/>
                <w:szCs w:val="18"/>
              </w:rPr>
            </w:pPr>
          </w:p>
        </w:tc>
        <w:tc>
          <w:tcPr>
            <w:tcW w:w="1985"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p>
        </w:tc>
        <w:tc>
          <w:tcPr>
            <w:tcW w:w="1984"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p>
        </w:tc>
        <w:tc>
          <w:tcPr>
            <w:tcW w:w="1985"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p>
        </w:tc>
        <w:tc>
          <w:tcPr>
            <w:tcW w:w="1845"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p>
        </w:tc>
      </w:tr>
      <w:tr w:rsidR="004E6C26" w:rsidTr="004E6C26">
        <w:trPr>
          <w:trHeight w:val="240"/>
        </w:trPr>
        <w:tc>
          <w:tcPr>
            <w:tcW w:w="1840" w:type="dxa"/>
            <w:tcBorders>
              <w:top w:val="single" w:sz="2" w:space="0" w:color="auto"/>
              <w:left w:val="single" w:sz="2" w:space="0" w:color="auto"/>
              <w:bottom w:val="single" w:sz="2" w:space="0" w:color="auto"/>
              <w:right w:val="single" w:sz="2" w:space="0" w:color="auto"/>
            </w:tcBorders>
            <w:shd w:val="clear" w:color="auto" w:fill="D3D3D3"/>
            <w:vAlign w:val="center"/>
          </w:tcPr>
          <w:p w:rsidR="004E6C26" w:rsidRDefault="004E6C26">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85"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p>
        </w:tc>
        <w:tc>
          <w:tcPr>
            <w:tcW w:w="1984"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p>
        </w:tc>
        <w:tc>
          <w:tcPr>
            <w:tcW w:w="1985"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p>
        </w:tc>
        <w:tc>
          <w:tcPr>
            <w:tcW w:w="1845" w:type="dxa"/>
            <w:tcBorders>
              <w:top w:val="single" w:sz="2" w:space="0" w:color="auto"/>
              <w:left w:val="single" w:sz="2" w:space="0" w:color="auto"/>
              <w:bottom w:val="single" w:sz="2" w:space="0" w:color="auto"/>
              <w:right w:val="single" w:sz="2" w:space="0" w:color="auto"/>
            </w:tcBorders>
            <w:vAlign w:val="center"/>
          </w:tcPr>
          <w:p w:rsidR="004E6C26" w:rsidRDefault="004E6C26">
            <w:pPr>
              <w:spacing w:line="240" w:lineRule="exact"/>
              <w:jc w:val="right"/>
              <w:rPr>
                <w:rFonts w:ascii="宋体" w:eastAsia="宋体" w:hAnsi="宋体" w:cs="宋体"/>
                <w:sz w:val="18"/>
                <w:szCs w:val="18"/>
              </w:rPr>
            </w:pPr>
          </w:p>
        </w:tc>
      </w:tr>
    </w:tbl>
    <w:p w:rsidR="00BA0365" w:rsidRDefault="008D4B2E">
      <w:pPr>
        <w:pStyle w:val="3"/>
        <w:spacing w:line="280" w:lineRule="exact"/>
        <w:jc w:val="left"/>
        <w:rPr>
          <w:rFonts w:ascii="宋体" w:hAnsi="宋体" w:cs="宋体"/>
          <w:b/>
          <w:bCs/>
        </w:rPr>
      </w:pPr>
      <w:bookmarkStart w:id="323" w:name="_Toc989214"/>
      <w:r>
        <w:rPr>
          <w:rFonts w:ascii="宋体" w:hAnsi="宋体" w:cs="宋体"/>
          <w:b/>
          <w:bCs/>
        </w:rPr>
        <w:t>43、税金及附加</w:t>
      </w:r>
      <w:bookmarkEnd w:id="323"/>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3213"/>
        <w:gridCol w:w="3213"/>
        <w:gridCol w:w="3213"/>
      </w:tblGrid>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城市维护建设税</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8,821,950.70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9,780,138.40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教育费附加</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6,386,892.44</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6,685,728.19</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房产税</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8,587,268.26</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6,180,113.67</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土地使用税</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7,916,062.58</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6,650,699.16</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印花税</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4,007,979.39</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3,697,155.84</w:t>
            </w:r>
          </w:p>
        </w:tc>
      </w:tr>
      <w:tr w:rsidR="00157EA0" w:rsidTr="00152E2B">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其他税费</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103,683.57</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476,704.43</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35,823,836.94</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33,470,539.69</w:t>
            </w:r>
          </w:p>
        </w:tc>
      </w:tr>
    </w:tbl>
    <w:p w:rsidR="008D4B2E" w:rsidRPr="001112C2" w:rsidRDefault="008D4B2E" w:rsidP="001112C2">
      <w:pPr>
        <w:spacing w:before="100" w:after="100" w:line="240" w:lineRule="exact"/>
        <w:rPr>
          <w:rFonts w:ascii="宋体" w:eastAsia="宋体" w:hAnsi="宋体" w:cs="宋体"/>
          <w:sz w:val="18"/>
          <w:szCs w:val="18"/>
        </w:rPr>
      </w:pPr>
      <w:r>
        <w:rPr>
          <w:rFonts w:ascii="宋体" w:eastAsia="宋体" w:hAnsi="宋体" w:cs="宋体"/>
          <w:sz w:val="18"/>
          <w:szCs w:val="18"/>
        </w:rPr>
        <w:t>其他说明：</w:t>
      </w:r>
      <w:r>
        <w:rPr>
          <w:rFonts w:cs="Arial" w:hint="eastAsia"/>
          <w:sz w:val="18"/>
          <w:szCs w:val="18"/>
        </w:rPr>
        <w:t>注：各项税金及附加的计缴标准详见附注五、税项。</w:t>
      </w:r>
    </w:p>
    <w:p w:rsidR="00BA0365" w:rsidRDefault="008D4B2E">
      <w:pPr>
        <w:pStyle w:val="3"/>
        <w:spacing w:line="280" w:lineRule="exact"/>
        <w:jc w:val="left"/>
        <w:rPr>
          <w:rFonts w:ascii="宋体" w:hAnsi="宋体" w:cs="宋体"/>
          <w:b/>
          <w:bCs/>
        </w:rPr>
      </w:pPr>
      <w:bookmarkStart w:id="324" w:name="_Toc989215"/>
      <w:r>
        <w:rPr>
          <w:rFonts w:ascii="宋体" w:hAnsi="宋体" w:cs="宋体"/>
          <w:b/>
          <w:bCs/>
        </w:rPr>
        <w:t>44、管理费用</w:t>
      </w:r>
      <w:bookmarkEnd w:id="324"/>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3213"/>
        <w:gridCol w:w="3213"/>
        <w:gridCol w:w="3213"/>
      </w:tblGrid>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工资薪金</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304,111,042.98</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271,258,987.61</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折旧与摊销</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36,117,012.76</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29,561,273.91</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中介代理费</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10,203,903.91</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12,998,540.11</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办公及劳动保护费</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13,908,643.27</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10,779,317.88</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行政费用</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9,366,641.11</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8,911,273.99</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维修/租赁费</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29,317,584.97</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14,159,571.41</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业务招待费</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4,290,079.32</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3,129,993.95</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水/电/蒸汽费</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4,114,940.84</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3,531,113.07</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网络通讯费</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2,641,141.00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2,879,234.54</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保险费</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3,388,547.14</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3,404,803.65</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40,659,489.74</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46,703,056.07</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458,119,027.04</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407,317,166.19</w:t>
            </w:r>
          </w:p>
        </w:tc>
      </w:tr>
    </w:tbl>
    <w:p w:rsidR="00BA0365" w:rsidRDefault="008D4B2E">
      <w:pPr>
        <w:pStyle w:val="3"/>
        <w:spacing w:line="280" w:lineRule="exact"/>
        <w:jc w:val="left"/>
        <w:rPr>
          <w:rFonts w:ascii="宋体" w:hAnsi="宋体" w:cs="宋体"/>
          <w:b/>
          <w:bCs/>
        </w:rPr>
      </w:pPr>
      <w:bookmarkStart w:id="325" w:name="_Toc989216"/>
      <w:r>
        <w:rPr>
          <w:rFonts w:ascii="宋体" w:hAnsi="宋体" w:cs="宋体"/>
          <w:b/>
          <w:bCs/>
        </w:rPr>
        <w:t>45、销售费用</w:t>
      </w:r>
      <w:bookmarkEnd w:id="325"/>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3213"/>
        <w:gridCol w:w="3213"/>
        <w:gridCol w:w="3213"/>
      </w:tblGrid>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工资及附加</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71,825,480.62</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61,487,692.90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售后服务费</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25,472,637.92</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26,931,783.20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装卸/运输费</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1,173,821.80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2,755,660.51</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lastRenderedPageBreak/>
              <w:t>交通/差旅/会议费</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12,991,131.73</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8,205,083.68</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业务招待费</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8,017,420.02</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5,105,797.83</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广告/宣传/中介</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4,903,001.09</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4,560,240.57</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办公及劳保费</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1,183,816.56</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1,129,260.19</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31,421,051.88</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27,662,813.93</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156,988,361.62</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137,838,332.81</w:t>
            </w:r>
          </w:p>
        </w:tc>
      </w:tr>
    </w:tbl>
    <w:p w:rsidR="00BA0365" w:rsidRDefault="008D4B2E">
      <w:pPr>
        <w:pStyle w:val="3"/>
        <w:spacing w:line="280" w:lineRule="exact"/>
        <w:jc w:val="left"/>
        <w:rPr>
          <w:rFonts w:ascii="宋体" w:hAnsi="宋体" w:cs="宋体"/>
          <w:b/>
          <w:bCs/>
        </w:rPr>
      </w:pPr>
      <w:bookmarkStart w:id="326" w:name="_Toc989217"/>
      <w:r>
        <w:rPr>
          <w:rFonts w:ascii="宋体" w:hAnsi="宋体" w:cs="宋体"/>
          <w:b/>
          <w:bCs/>
        </w:rPr>
        <w:t>46、研发费用</w:t>
      </w:r>
      <w:bookmarkEnd w:id="326"/>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3213"/>
        <w:gridCol w:w="3213"/>
        <w:gridCol w:w="3213"/>
      </w:tblGrid>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工资薪金及劳务费</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184,144,921.87</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149,870,836.54</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折旧及摊销</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12,510,201.05</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10,032,005.36</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交通/差旅/会议费</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6,035,123.50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3,925,949.88</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中介代理费</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4,563,712.73</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5,495,037.77</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物料消耗费</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133,301,805.38</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113,256,816.02</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租赁费/修理费</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1,944,492.49</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1,380,131.07</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16,084,811.81</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18,978,879.55</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358,585,068.83</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302,939,656.19</w:t>
            </w:r>
          </w:p>
        </w:tc>
      </w:tr>
    </w:tbl>
    <w:p w:rsidR="00BA0365" w:rsidRDefault="008D4B2E">
      <w:pPr>
        <w:pStyle w:val="3"/>
        <w:spacing w:line="280" w:lineRule="exact"/>
        <w:jc w:val="left"/>
        <w:rPr>
          <w:rFonts w:ascii="宋体" w:hAnsi="宋体" w:cs="宋体"/>
          <w:b/>
          <w:bCs/>
        </w:rPr>
      </w:pPr>
      <w:bookmarkStart w:id="327" w:name="_Toc989218"/>
      <w:r>
        <w:rPr>
          <w:rFonts w:ascii="宋体" w:hAnsi="宋体" w:cs="宋体"/>
          <w:b/>
          <w:bCs/>
        </w:rPr>
        <w:t>47、财务费用</w:t>
      </w:r>
      <w:bookmarkEnd w:id="327"/>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3213"/>
        <w:gridCol w:w="3213"/>
        <w:gridCol w:w="3213"/>
      </w:tblGrid>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利息支出</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73,661,316.99</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31,754,885.80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-30,950,637.44</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-22,073,240.31</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汇兑损益</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16,611,115.80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5,770,980.98</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手续费及其他</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5,740,117.23</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3,024,222.68</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65,061,912.58</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18,476,849.15</w:t>
            </w:r>
          </w:p>
        </w:tc>
      </w:tr>
    </w:tbl>
    <w:p w:rsidR="00BA0365" w:rsidRDefault="008D4B2E">
      <w:pPr>
        <w:pStyle w:val="3"/>
        <w:spacing w:line="280" w:lineRule="exact"/>
        <w:jc w:val="left"/>
        <w:rPr>
          <w:rFonts w:ascii="宋体" w:hAnsi="宋体" w:cs="宋体"/>
          <w:b/>
          <w:bCs/>
        </w:rPr>
      </w:pPr>
      <w:bookmarkStart w:id="328" w:name="_Toc989219"/>
      <w:r>
        <w:rPr>
          <w:rFonts w:ascii="宋体" w:hAnsi="宋体" w:cs="宋体"/>
          <w:b/>
          <w:bCs/>
        </w:rPr>
        <w:t>48、其他收益</w:t>
      </w:r>
      <w:bookmarkEnd w:id="328"/>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3213"/>
        <w:gridCol w:w="3213"/>
        <w:gridCol w:w="3213"/>
      </w:tblGrid>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产生其他收益的来源</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与企业日常活动相关的政府补助</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35,995,882.44</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32,533,450.93</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债务重组收益</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1,373,649.83</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236,122.62</w:t>
            </w:r>
          </w:p>
        </w:tc>
      </w:tr>
    </w:tbl>
    <w:p w:rsidR="00BA0365" w:rsidRDefault="008D4B2E">
      <w:pPr>
        <w:pStyle w:val="3"/>
        <w:spacing w:line="280" w:lineRule="exact"/>
        <w:jc w:val="left"/>
        <w:rPr>
          <w:rFonts w:ascii="宋体" w:hAnsi="宋体" w:cs="宋体"/>
          <w:b/>
          <w:bCs/>
        </w:rPr>
      </w:pPr>
      <w:bookmarkStart w:id="329" w:name="_Toc989220"/>
      <w:r>
        <w:rPr>
          <w:rFonts w:ascii="宋体" w:hAnsi="宋体" w:cs="宋体"/>
          <w:b/>
          <w:bCs/>
        </w:rPr>
        <w:t>49、投资收益</w:t>
      </w:r>
      <w:bookmarkEnd w:id="329"/>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3213"/>
        <w:gridCol w:w="3213"/>
        <w:gridCol w:w="3213"/>
      </w:tblGrid>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权益法核算的长期股权投资收益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3,599,970.02</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3,003,057.72</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处置长期股权投资产生的投资收益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21,501,642.27</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10,359,974.86</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处置交易性金融资产取得的投资收益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-9,712,107.65</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其他权益工具投资在持有期间取得的股利收入</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14,400,000.00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9,757,669.41</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债务重组收益</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215,624.24</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-8,341,091.12</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理财收益</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51,322,270.12</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36,395,426.68</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-102,159.28</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合计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81,225,239.72</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51,175,037.55</w:t>
            </w:r>
          </w:p>
        </w:tc>
      </w:tr>
    </w:tbl>
    <w:p w:rsidR="00BA0365" w:rsidRDefault="008D4B2E">
      <w:pPr>
        <w:pStyle w:val="3"/>
        <w:spacing w:line="280" w:lineRule="exact"/>
        <w:jc w:val="left"/>
        <w:rPr>
          <w:rFonts w:ascii="宋体" w:hAnsi="宋体" w:cs="宋体"/>
          <w:b/>
          <w:bCs/>
        </w:rPr>
      </w:pPr>
      <w:bookmarkStart w:id="330" w:name="_Toc989221"/>
      <w:r>
        <w:rPr>
          <w:rFonts w:ascii="宋体" w:hAnsi="宋体" w:cs="宋体"/>
          <w:b/>
          <w:bCs/>
        </w:rPr>
        <w:t>50、信用减值损失</w:t>
      </w:r>
      <w:bookmarkEnd w:id="330"/>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3213"/>
        <w:gridCol w:w="3213"/>
        <w:gridCol w:w="3213"/>
      </w:tblGrid>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应收票据坏账损失</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-4,408,183.20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-7,552,367.39</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应收账款坏账损失</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16,073,703.80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12,931,588.82</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其他应收款坏账损失</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7,480,838.06</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-49,177,988.41</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19,146,358.66</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-43,798,766.98</w:t>
            </w:r>
          </w:p>
        </w:tc>
      </w:tr>
    </w:tbl>
    <w:p w:rsidR="00BA0365" w:rsidRDefault="008D4B2E">
      <w:pPr>
        <w:pStyle w:val="3"/>
        <w:spacing w:line="280" w:lineRule="exact"/>
        <w:jc w:val="left"/>
        <w:rPr>
          <w:rFonts w:ascii="宋体" w:hAnsi="宋体" w:cs="宋体"/>
          <w:b/>
          <w:bCs/>
        </w:rPr>
      </w:pPr>
      <w:bookmarkStart w:id="331" w:name="_Toc989222"/>
      <w:r>
        <w:rPr>
          <w:rFonts w:ascii="宋体" w:hAnsi="宋体" w:cs="宋体"/>
          <w:b/>
          <w:bCs/>
        </w:rPr>
        <w:t>51、资产减值损失</w:t>
      </w:r>
      <w:bookmarkEnd w:id="331"/>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3213"/>
        <w:gridCol w:w="3213"/>
        <w:gridCol w:w="3213"/>
      </w:tblGrid>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一、存货跌价损失及合同履约成本减值损失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-82,330,413.47</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-61,825,422.94</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四、固定资产减值损失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-17,777,387.43</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-2,955,573.83</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九、无形资产减值损失</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-8,077,580.88</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-100,107,800.90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-72,858,577.65</w:t>
            </w:r>
          </w:p>
        </w:tc>
      </w:tr>
    </w:tbl>
    <w:p w:rsidR="00BA0365" w:rsidRDefault="008D4B2E">
      <w:pPr>
        <w:pStyle w:val="3"/>
        <w:spacing w:line="280" w:lineRule="exact"/>
        <w:jc w:val="left"/>
        <w:rPr>
          <w:rFonts w:ascii="宋体" w:hAnsi="宋体" w:cs="宋体"/>
          <w:b/>
          <w:bCs/>
        </w:rPr>
      </w:pPr>
      <w:bookmarkStart w:id="332" w:name="_Toc989223"/>
      <w:r>
        <w:rPr>
          <w:rFonts w:ascii="宋体" w:hAnsi="宋体" w:cs="宋体"/>
          <w:b/>
          <w:bCs/>
        </w:rPr>
        <w:t>52、资产处置收益</w:t>
      </w:r>
      <w:bookmarkEnd w:id="332"/>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3213"/>
        <w:gridCol w:w="3213"/>
        <w:gridCol w:w="3213"/>
      </w:tblGrid>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资产处置收益的来源</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非流动资产处置收益合计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-2,345,212.50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-1,060,981.28</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其中：固定资产处置收益</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-1,050,476.28</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-1,060,981.28</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使用权资产处置收益</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-1,294,736.22</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bl>
    <w:p w:rsidR="00BA0365" w:rsidRDefault="008D4B2E">
      <w:pPr>
        <w:pStyle w:val="3"/>
        <w:spacing w:line="280" w:lineRule="exact"/>
        <w:jc w:val="left"/>
        <w:rPr>
          <w:rFonts w:ascii="宋体" w:hAnsi="宋体" w:cs="宋体"/>
          <w:b/>
          <w:bCs/>
        </w:rPr>
      </w:pPr>
      <w:bookmarkStart w:id="333" w:name="_Toc989224"/>
      <w:r>
        <w:rPr>
          <w:rFonts w:ascii="宋体" w:hAnsi="宋体" w:cs="宋体"/>
          <w:b/>
          <w:bCs/>
        </w:rPr>
        <w:t>53、营业外收入</w:t>
      </w:r>
      <w:bookmarkEnd w:id="333"/>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2409"/>
        <w:gridCol w:w="2410"/>
        <w:gridCol w:w="2410"/>
        <w:gridCol w:w="2410"/>
      </w:tblGrid>
      <w:tr w:rsidR="00157EA0">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计入当期非经常性损益的金额</w:t>
            </w:r>
          </w:p>
        </w:tc>
      </w:tr>
      <w:tr w:rsidR="00157EA0">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政府补助</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770,002.47</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非流动资产毁损报废利得</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2,001.90</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其中：固定资产报废利得</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2,001.90</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罚款收入</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1,407,605.82</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1,019,341.56</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1,407,605.82</w:t>
            </w:r>
          </w:p>
        </w:tc>
      </w:tr>
      <w:tr w:rsidR="00157EA0">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其他</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1,283,153.54</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1,052,981.39</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1,283,153.54</w:t>
            </w:r>
          </w:p>
        </w:tc>
      </w:tr>
      <w:tr w:rsidR="00157EA0">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2,690,759.36</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2,844,327.32</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2,690,759.36</w:t>
            </w:r>
          </w:p>
        </w:tc>
      </w:tr>
    </w:tbl>
    <w:p w:rsidR="00BA0365" w:rsidRDefault="008D4B2E">
      <w:pPr>
        <w:pStyle w:val="3"/>
        <w:spacing w:line="280" w:lineRule="exact"/>
        <w:jc w:val="left"/>
        <w:rPr>
          <w:rFonts w:ascii="宋体" w:hAnsi="宋体" w:cs="宋体"/>
          <w:b/>
          <w:bCs/>
        </w:rPr>
      </w:pPr>
      <w:bookmarkStart w:id="334" w:name="_Toc989225"/>
      <w:r>
        <w:rPr>
          <w:rFonts w:ascii="宋体" w:hAnsi="宋体" w:cs="宋体"/>
          <w:b/>
          <w:bCs/>
        </w:rPr>
        <w:t>54、营业外支出</w:t>
      </w:r>
      <w:bookmarkEnd w:id="334"/>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2409"/>
        <w:gridCol w:w="2410"/>
        <w:gridCol w:w="2410"/>
        <w:gridCol w:w="2410"/>
      </w:tblGrid>
      <w:tr w:rsidR="00157EA0">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计入当期非经常性损益的金额</w:t>
            </w:r>
          </w:p>
        </w:tc>
      </w:tr>
      <w:tr w:rsidR="00157EA0">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对外捐赠</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2,239,000.00</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212,140.00</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2,239,000.00</w:t>
            </w:r>
          </w:p>
        </w:tc>
      </w:tr>
      <w:tr w:rsidR="00157EA0">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lastRenderedPageBreak/>
              <w:t>非流动资产毁损报废损失</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17,716,446.46</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1,448,737.85</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17,716,446.46</w:t>
            </w:r>
          </w:p>
        </w:tc>
      </w:tr>
      <w:tr w:rsidR="00157EA0">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其中：固定资产报废损失</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17,716,446.46</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1,448,737.85</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17,716,446.46</w:t>
            </w:r>
          </w:p>
        </w:tc>
      </w:tr>
      <w:tr w:rsidR="00157EA0">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罚款支出</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838,266.55</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1,106,863.68</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838,266.55</w:t>
            </w:r>
          </w:p>
        </w:tc>
      </w:tr>
      <w:tr w:rsidR="00157EA0">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其他</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-295,215.05</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1,928,002.97</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-295,215.05</w:t>
            </w:r>
          </w:p>
        </w:tc>
      </w:tr>
      <w:tr w:rsidR="00157EA0">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20,498,497.96</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4,695,744.50</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20,498,497.96</w:t>
            </w:r>
          </w:p>
        </w:tc>
      </w:tr>
    </w:tbl>
    <w:p w:rsidR="00BA0365" w:rsidRDefault="008D4B2E">
      <w:pPr>
        <w:pStyle w:val="3"/>
        <w:spacing w:line="280" w:lineRule="exact"/>
        <w:jc w:val="left"/>
        <w:rPr>
          <w:rFonts w:ascii="宋体" w:hAnsi="宋体" w:cs="宋体"/>
          <w:b/>
          <w:bCs/>
        </w:rPr>
      </w:pPr>
      <w:bookmarkStart w:id="335" w:name="_Toc989226"/>
      <w:r>
        <w:rPr>
          <w:rFonts w:ascii="宋体" w:hAnsi="宋体" w:cs="宋体"/>
          <w:b/>
          <w:bCs/>
        </w:rPr>
        <w:t>55、所得税费用</w:t>
      </w:r>
      <w:bookmarkEnd w:id="335"/>
    </w:p>
    <w:p w:rsidR="00BA0365" w:rsidRDefault="008D4B2E">
      <w:pPr>
        <w:keepNext/>
        <w:keepLines/>
        <w:spacing w:before="300" w:after="300" w:line="280" w:lineRule="exact"/>
        <w:outlineLvl w:val="3"/>
        <w:rPr>
          <w:rFonts w:ascii="宋体" w:eastAsia="宋体" w:hAnsi="宋体" w:cs="宋体"/>
          <w:b/>
          <w:bCs/>
          <w:szCs w:val="21"/>
        </w:rPr>
      </w:pPr>
      <w:bookmarkStart w:id="336" w:name="_Toc989227"/>
      <w:r>
        <w:rPr>
          <w:rFonts w:ascii="宋体" w:eastAsia="宋体" w:hAnsi="宋体" w:cs="宋体"/>
          <w:b/>
          <w:bCs/>
          <w:szCs w:val="21"/>
        </w:rPr>
        <w:t>（1） 所得税费用表</w:t>
      </w:r>
      <w:bookmarkEnd w:id="336"/>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3213"/>
        <w:gridCol w:w="3213"/>
        <w:gridCol w:w="3213"/>
      </w:tblGrid>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当期所得税费用</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21,178,233.58</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5,828,073.59</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递延所得税费用</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-5,255,889.97</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-17,700,396.18</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15,922,343.61</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-11,872,322.59</w:t>
            </w:r>
          </w:p>
        </w:tc>
      </w:tr>
    </w:tbl>
    <w:p w:rsidR="00BA0365" w:rsidRDefault="008D4B2E">
      <w:pPr>
        <w:keepNext/>
        <w:keepLines/>
        <w:spacing w:before="300" w:after="300" w:line="280" w:lineRule="exact"/>
        <w:outlineLvl w:val="3"/>
        <w:rPr>
          <w:rFonts w:ascii="宋体" w:eastAsia="宋体" w:hAnsi="宋体" w:cs="宋体"/>
          <w:b/>
          <w:bCs/>
          <w:szCs w:val="21"/>
        </w:rPr>
      </w:pPr>
      <w:bookmarkStart w:id="337" w:name="_Toc989228"/>
      <w:r>
        <w:rPr>
          <w:rFonts w:ascii="宋体" w:eastAsia="宋体" w:hAnsi="宋体" w:cs="宋体"/>
          <w:b/>
          <w:bCs/>
          <w:szCs w:val="21"/>
        </w:rPr>
        <w:t>（2） 会计利润与所得税费用调整过程</w:t>
      </w:r>
      <w:bookmarkEnd w:id="337"/>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4820"/>
        <w:gridCol w:w="4819"/>
      </w:tblGrid>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利润总额</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411,295,088.46</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按法定/适用税率计算的所得税费用</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61,694,263.27</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子公司适用不同税率的影响</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-3,647,557.47</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调整以前期间所得税的影响</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334,197.59</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非应税收入的影响</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-1,965,000.00</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不可抵扣的成本、费用和损失的影响</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-1,914,768.96</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使用前期未确认递延所得税资产的可抵扣亏损的影响</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-24,638,487.97</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proofErr w:type="gramStart"/>
            <w:r>
              <w:rPr>
                <w:rFonts w:ascii="宋体" w:eastAsia="宋体" w:hAnsi="宋体" w:cs="宋体"/>
                <w:sz w:val="18"/>
                <w:szCs w:val="18"/>
              </w:rPr>
              <w:t>本期未</w:t>
            </w:r>
            <w:proofErr w:type="gramEnd"/>
            <w:r>
              <w:rPr>
                <w:rFonts w:ascii="宋体" w:eastAsia="宋体" w:hAnsi="宋体" w:cs="宋体"/>
                <w:sz w:val="18"/>
                <w:szCs w:val="18"/>
              </w:rPr>
              <w:t>确认递延所得税资产的可抵扣暂时性差异或可抵扣亏损的影响</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11,373,780.68</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税率调整导致</w:t>
            </w:r>
            <w:proofErr w:type="gramStart"/>
            <w:r>
              <w:rPr>
                <w:rFonts w:ascii="宋体" w:eastAsia="宋体" w:hAnsi="宋体" w:cs="宋体"/>
                <w:sz w:val="18"/>
                <w:szCs w:val="18"/>
              </w:rPr>
              <w:t>期初递延</w:t>
            </w:r>
            <w:proofErr w:type="gramEnd"/>
            <w:r>
              <w:rPr>
                <w:rFonts w:ascii="宋体" w:eastAsia="宋体" w:hAnsi="宋体" w:cs="宋体"/>
                <w:sz w:val="18"/>
                <w:szCs w:val="18"/>
              </w:rPr>
              <w:t>所得税资产/负债余额的变化</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-61,828.79</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股权激励对所得税的影响</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959,747.83</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权益法核算的合营企业和联营企业损益</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-539,995.50</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研究开发费加成扣除的纳税影响（以“-”填列）</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-25,672,007.07</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固定资产加计扣除</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减免所得税</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所得税费用</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15,922,343.61</w:t>
            </w:r>
          </w:p>
        </w:tc>
      </w:tr>
    </w:tbl>
    <w:p w:rsidR="00BA0365" w:rsidRDefault="008D4B2E">
      <w:pPr>
        <w:pStyle w:val="3"/>
        <w:spacing w:line="280" w:lineRule="exact"/>
        <w:jc w:val="left"/>
        <w:rPr>
          <w:rFonts w:ascii="宋体" w:hAnsi="宋体" w:cs="宋体"/>
          <w:b/>
          <w:bCs/>
        </w:rPr>
      </w:pPr>
      <w:bookmarkStart w:id="338" w:name="_Toc989229"/>
      <w:r>
        <w:rPr>
          <w:rFonts w:ascii="宋体" w:hAnsi="宋体" w:cs="宋体"/>
          <w:b/>
          <w:bCs/>
        </w:rPr>
        <w:t>56、其他综合收益</w:t>
      </w:r>
      <w:bookmarkEnd w:id="338"/>
    </w:p>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详见附注38。</w:t>
      </w:r>
    </w:p>
    <w:p w:rsidR="00BA0365" w:rsidRDefault="008D4B2E">
      <w:pPr>
        <w:pStyle w:val="3"/>
        <w:spacing w:line="280" w:lineRule="exact"/>
        <w:jc w:val="left"/>
        <w:rPr>
          <w:rFonts w:ascii="宋体" w:hAnsi="宋体" w:cs="宋体"/>
          <w:b/>
          <w:bCs/>
        </w:rPr>
      </w:pPr>
      <w:bookmarkStart w:id="339" w:name="_Toc989230"/>
      <w:r>
        <w:rPr>
          <w:rFonts w:ascii="宋体" w:hAnsi="宋体" w:cs="宋体"/>
          <w:b/>
          <w:bCs/>
        </w:rPr>
        <w:t>57、现金流量表项目</w:t>
      </w:r>
      <w:bookmarkEnd w:id="339"/>
    </w:p>
    <w:p w:rsidR="00BA0365" w:rsidRDefault="008D4B2E">
      <w:pPr>
        <w:keepNext/>
        <w:keepLines/>
        <w:spacing w:before="300" w:after="300" w:line="280" w:lineRule="exact"/>
        <w:outlineLvl w:val="3"/>
        <w:rPr>
          <w:rFonts w:ascii="宋体" w:eastAsia="宋体" w:hAnsi="宋体" w:cs="宋体"/>
          <w:b/>
          <w:bCs/>
          <w:szCs w:val="21"/>
        </w:rPr>
      </w:pPr>
      <w:bookmarkStart w:id="340" w:name="_Toc989231"/>
      <w:r>
        <w:rPr>
          <w:rFonts w:ascii="宋体" w:eastAsia="宋体" w:hAnsi="宋体" w:cs="宋体"/>
          <w:b/>
          <w:bCs/>
          <w:szCs w:val="21"/>
        </w:rPr>
        <w:t>（1） 与经营活动有关的现金</w:t>
      </w:r>
      <w:bookmarkEnd w:id="340"/>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收到的其他与经营活动有关的现金</w:t>
      </w:r>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3213"/>
        <w:gridCol w:w="3213"/>
        <w:gridCol w:w="3213"/>
      </w:tblGrid>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保证金</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1,110,854,030.55</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734,563,225.23</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政府补助</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16,869,963.65</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27,442,776.93</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往来款项</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10,326,113.52</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2,859,631.97</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存款利息</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29,717,597.74</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20,502,090.26</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26,857,938.47</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14,511,762.67</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1,194,625,643.93</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799,879,487.06</w:t>
            </w:r>
          </w:p>
        </w:tc>
      </w:tr>
    </w:tbl>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支付的其他与经营活动有关的现金</w:t>
      </w:r>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3213"/>
        <w:gridCol w:w="3213"/>
        <w:gridCol w:w="3213"/>
      </w:tblGrid>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保证金</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1,343,229,861.99</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1,079,895,850.68</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销售、管理、研发等费用支出</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202,806,470.05</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135,978,447.90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84,945,777.26</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62,349,497.05</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1,630,982,109.30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1,278,223,795.63</w:t>
            </w:r>
          </w:p>
        </w:tc>
      </w:tr>
    </w:tbl>
    <w:p w:rsidR="00BA0365" w:rsidRDefault="008D4B2E">
      <w:pPr>
        <w:pStyle w:val="3"/>
        <w:spacing w:line="280" w:lineRule="exact"/>
        <w:jc w:val="left"/>
        <w:rPr>
          <w:rFonts w:ascii="宋体" w:hAnsi="宋体" w:cs="宋体"/>
          <w:b/>
          <w:bCs/>
        </w:rPr>
      </w:pPr>
      <w:bookmarkStart w:id="341" w:name="_Toc989232"/>
      <w:r>
        <w:rPr>
          <w:rFonts w:ascii="宋体" w:hAnsi="宋体" w:cs="宋体"/>
          <w:b/>
          <w:bCs/>
        </w:rPr>
        <w:t>58、现金流量表补充资料</w:t>
      </w:r>
      <w:bookmarkEnd w:id="341"/>
    </w:p>
    <w:p w:rsidR="00BA0365" w:rsidRDefault="008D4B2E">
      <w:pPr>
        <w:keepNext/>
        <w:keepLines/>
        <w:spacing w:before="300" w:after="300" w:line="280" w:lineRule="exact"/>
        <w:outlineLvl w:val="3"/>
        <w:rPr>
          <w:rFonts w:ascii="宋体" w:eastAsia="宋体" w:hAnsi="宋体" w:cs="宋体"/>
          <w:b/>
          <w:bCs/>
          <w:szCs w:val="21"/>
        </w:rPr>
      </w:pPr>
      <w:bookmarkStart w:id="342" w:name="_Toc989233"/>
      <w:r>
        <w:rPr>
          <w:rFonts w:ascii="宋体" w:eastAsia="宋体" w:hAnsi="宋体" w:cs="宋体"/>
          <w:b/>
          <w:bCs/>
          <w:szCs w:val="21"/>
        </w:rPr>
        <w:t>（1） 现金流量表补充资料</w:t>
      </w:r>
      <w:bookmarkEnd w:id="342"/>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3213"/>
        <w:gridCol w:w="3213"/>
        <w:gridCol w:w="3213"/>
      </w:tblGrid>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补充资料</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本期金额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上期金额</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1．将净利润调节为经营活动现金流量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净利润</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395,372,744.85</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232,462,583.36</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加：资产减值准备</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80,961,442.24</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116,657,344.63</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固定资产折旧、油气资产折耗、生产性生物资产折旧</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225,245,359.04</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161,050,013.89</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使用权资产折旧</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无形资产摊销</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17,828,785.92</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17,991,937.28</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长期待摊费用摊销</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611,521.93</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2,942,499.23</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处置固定资产、无形资产和其他长期资产的损失（收益以“－”号填列）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2,345,212.50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1,060,981.28</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固定资产报废损失（收益以“－”号填列）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17,716,446.46</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1,448,737.85</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公允价值变动损失（收益以“－”号填列）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财务费用（收益以“－”号填列）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90,272,432.79</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37,525,866.78</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投资损失（收益以“－”号填列）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-81,225,239.72</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-51,175,037.55</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递延所得税资产减少（增加以“－”号填列）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-23,660,451.05</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-20,041,786.13</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递延所得税负债增加（减少以“－”号填列）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3,695,440.64</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1,423,129.56</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存货的减少（增加以“－”号填列）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-1,047,366,292.66</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-1,179,136,597.79</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经营性应收项目的减少（增加以“－”号填列）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-747,005,557.20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-773,423,934.30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lastRenderedPageBreak/>
              <w:t>经营性应付项目的增加（减少以“－”号填列）</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1,287,481,886.28</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1,733,361,681.89</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9,131,015.55</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100,587,232.93</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经营活动产生的现金流量净额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231,404,747.57</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382,734,652.91</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2．不涉及现金收支的重大投资和筹资活动</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债务转为资本</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一年内到期的可转换公司债</w:t>
            </w:r>
            <w:proofErr w:type="gramStart"/>
            <w:r>
              <w:rPr>
                <w:rFonts w:ascii="宋体" w:eastAsia="宋体" w:hAnsi="宋体" w:cs="宋体"/>
                <w:sz w:val="18"/>
                <w:szCs w:val="18"/>
              </w:rPr>
              <w:t>券</w:t>
            </w:r>
            <w:proofErr w:type="gramEnd"/>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融资租入固定资产</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3．现金及现金等价物净变动情况：</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现金的期末余额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1,654,296,535.56</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1,711,471,764.13</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减：现金的期初余额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1,711,471,764.13</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1,314,478,036.85</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加：现金等价物的期末余额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减：现金等价物的期初余额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现金及现金等价物净增加额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-57,175,228.57</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396,993,727.28</w:t>
            </w:r>
          </w:p>
        </w:tc>
      </w:tr>
    </w:tbl>
    <w:p w:rsidR="00BA0365" w:rsidRDefault="008D4B2E">
      <w:pPr>
        <w:keepNext/>
        <w:keepLines/>
        <w:spacing w:before="300" w:after="300" w:line="280" w:lineRule="exact"/>
        <w:outlineLvl w:val="3"/>
        <w:rPr>
          <w:rFonts w:ascii="宋体" w:eastAsia="宋体" w:hAnsi="宋体" w:cs="宋体"/>
          <w:b/>
          <w:bCs/>
          <w:szCs w:val="21"/>
        </w:rPr>
      </w:pPr>
      <w:bookmarkStart w:id="343" w:name="_Toc989234"/>
      <w:r>
        <w:rPr>
          <w:rFonts w:ascii="宋体" w:eastAsia="宋体" w:hAnsi="宋体" w:cs="宋体"/>
          <w:b/>
          <w:bCs/>
          <w:szCs w:val="21"/>
        </w:rPr>
        <w:t>（2） 本期收到的处置子公司的现金净额</w:t>
      </w:r>
      <w:bookmarkEnd w:id="343"/>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4820"/>
        <w:gridCol w:w="4819"/>
      </w:tblGrid>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本期处置子公司于本期收到的现金或现金等价物</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51,000,000.00</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其中：</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减：丧失控制权日子公司持有的现金及现金等价物</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5,489,234.52</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其中：</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加：以前期间处置子公司于本期收到的现金或现金等价物</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9,977,000.00</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其中：</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处置子公司收到的现金净额</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55,487,765.48</w:t>
            </w:r>
          </w:p>
        </w:tc>
      </w:tr>
    </w:tbl>
    <w:p w:rsidR="00BA0365" w:rsidRDefault="008D4B2E">
      <w:pPr>
        <w:keepNext/>
        <w:keepLines/>
        <w:spacing w:before="300" w:after="300" w:line="280" w:lineRule="exact"/>
        <w:outlineLvl w:val="3"/>
        <w:rPr>
          <w:rFonts w:ascii="宋体" w:eastAsia="宋体" w:hAnsi="宋体" w:cs="宋体"/>
          <w:b/>
          <w:bCs/>
          <w:szCs w:val="21"/>
        </w:rPr>
      </w:pPr>
      <w:bookmarkStart w:id="344" w:name="_Toc989235"/>
      <w:r>
        <w:rPr>
          <w:rFonts w:ascii="宋体" w:eastAsia="宋体" w:hAnsi="宋体" w:cs="宋体"/>
          <w:b/>
          <w:bCs/>
          <w:szCs w:val="21"/>
        </w:rPr>
        <w:t>（3） 现金和现金等价物的构成</w:t>
      </w:r>
      <w:bookmarkEnd w:id="344"/>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3213"/>
        <w:gridCol w:w="3213"/>
        <w:gridCol w:w="3213"/>
      </w:tblGrid>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一、现金</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1,654,296,535.56</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1,711,471,764.13</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其中：库存现金</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751,635.30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619,742.42</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可随时用于支付的银行存款</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1,653,016,136.48</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1,710,845,570.73</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可随时用于支付的其他货币资金</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528,763.78</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6,450.98</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三、期末现金及现金等价物余额</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1,654,296,535.56</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1,711,471,764.13</w:t>
            </w:r>
          </w:p>
        </w:tc>
      </w:tr>
    </w:tbl>
    <w:p w:rsidR="00BA0365" w:rsidRDefault="008D4B2E">
      <w:pPr>
        <w:pStyle w:val="3"/>
        <w:spacing w:line="280" w:lineRule="exact"/>
        <w:jc w:val="left"/>
        <w:rPr>
          <w:rFonts w:ascii="宋体" w:hAnsi="宋体" w:cs="宋体"/>
          <w:b/>
          <w:bCs/>
        </w:rPr>
      </w:pPr>
      <w:bookmarkStart w:id="345" w:name="_Toc989236"/>
      <w:r>
        <w:rPr>
          <w:rFonts w:ascii="宋体" w:hAnsi="宋体" w:cs="宋体"/>
          <w:b/>
          <w:bCs/>
        </w:rPr>
        <w:t>59、外币货币性项目</w:t>
      </w:r>
      <w:bookmarkEnd w:id="345"/>
    </w:p>
    <w:p w:rsidR="00BA0365" w:rsidRDefault="008D4B2E">
      <w:pPr>
        <w:keepNext/>
        <w:keepLines/>
        <w:spacing w:before="300" w:after="300" w:line="280" w:lineRule="exact"/>
        <w:outlineLvl w:val="3"/>
        <w:rPr>
          <w:rFonts w:ascii="宋体" w:eastAsia="宋体" w:hAnsi="宋体" w:cs="宋体"/>
          <w:b/>
          <w:bCs/>
          <w:szCs w:val="21"/>
        </w:rPr>
      </w:pPr>
      <w:bookmarkStart w:id="346" w:name="_Toc989237"/>
      <w:r>
        <w:rPr>
          <w:rFonts w:ascii="宋体" w:eastAsia="宋体" w:hAnsi="宋体" w:cs="宋体"/>
          <w:b/>
          <w:bCs/>
          <w:szCs w:val="21"/>
        </w:rPr>
        <w:t>（1） 外币货币性项目</w:t>
      </w:r>
      <w:bookmarkEnd w:id="346"/>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2409"/>
        <w:gridCol w:w="2410"/>
        <w:gridCol w:w="2410"/>
        <w:gridCol w:w="2410"/>
      </w:tblGrid>
      <w:tr w:rsidR="00157EA0">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期末外币余额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折算汇率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期末折算人民币余额</w:t>
            </w:r>
          </w:p>
        </w:tc>
      </w:tr>
      <w:tr w:rsidR="00157EA0">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lastRenderedPageBreak/>
              <w:t>货币资金</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34,411,733.93</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rsidP="005D4E78">
            <w:pPr>
              <w:spacing w:line="240" w:lineRule="exact"/>
              <w:jc w:val="right"/>
              <w:rPr>
                <w:rFonts w:ascii="宋体" w:eastAsia="宋体" w:hAnsi="宋体" w:cs="宋体"/>
                <w:sz w:val="18"/>
                <w:szCs w:val="18"/>
              </w:rPr>
            </w:pPr>
            <w:r>
              <w:rPr>
                <w:rFonts w:ascii="宋体" w:eastAsia="宋体" w:hAnsi="宋体" w:cs="宋体"/>
                <w:sz w:val="18"/>
                <w:szCs w:val="18"/>
              </w:rPr>
              <w:t>7.0827</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243,727,987.91</w:t>
            </w:r>
          </w:p>
        </w:tc>
      </w:tr>
      <w:tr w:rsidR="00157EA0">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欧元</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4,483,623.97</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rsidP="005D4E78">
            <w:pPr>
              <w:spacing w:line="240" w:lineRule="exact"/>
              <w:jc w:val="right"/>
              <w:rPr>
                <w:rFonts w:ascii="宋体" w:eastAsia="宋体" w:hAnsi="宋体" w:cs="宋体"/>
                <w:sz w:val="18"/>
                <w:szCs w:val="18"/>
              </w:rPr>
            </w:pPr>
            <w:r>
              <w:rPr>
                <w:rFonts w:ascii="宋体" w:eastAsia="宋体" w:hAnsi="宋体" w:cs="宋体"/>
                <w:sz w:val="18"/>
                <w:szCs w:val="18"/>
              </w:rPr>
              <w:t>7.8592</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35,237,697.51</w:t>
            </w:r>
          </w:p>
        </w:tc>
      </w:tr>
      <w:tr w:rsidR="00157EA0">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港币</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BA0365" w:rsidP="005D4E78">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 xml:space="preserve">     日元</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rsidP="005D4E78">
            <w:pPr>
              <w:spacing w:line="240" w:lineRule="exact"/>
              <w:jc w:val="right"/>
              <w:rPr>
                <w:rFonts w:ascii="宋体" w:eastAsia="宋体" w:hAnsi="宋体" w:cs="宋体"/>
                <w:sz w:val="18"/>
                <w:szCs w:val="18"/>
              </w:rPr>
            </w:pPr>
            <w:r>
              <w:rPr>
                <w:rFonts w:ascii="宋体" w:eastAsia="宋体" w:hAnsi="宋体" w:cs="宋体"/>
                <w:sz w:val="18"/>
                <w:szCs w:val="18"/>
              </w:rPr>
              <w:t>0.0500</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0.05</w:t>
            </w:r>
          </w:p>
        </w:tc>
      </w:tr>
      <w:tr w:rsidR="00157EA0">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应收账款</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rsidP="005D4E78">
            <w:pPr>
              <w:jc w:val="right"/>
            </w:pP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111,864,441.23</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rsidP="005D4E78">
            <w:pPr>
              <w:spacing w:line="240" w:lineRule="exact"/>
              <w:jc w:val="right"/>
              <w:rPr>
                <w:rFonts w:ascii="宋体" w:eastAsia="宋体" w:hAnsi="宋体" w:cs="宋体"/>
                <w:sz w:val="18"/>
                <w:szCs w:val="18"/>
              </w:rPr>
            </w:pPr>
            <w:r>
              <w:rPr>
                <w:rFonts w:ascii="宋体" w:eastAsia="宋体" w:hAnsi="宋体" w:cs="宋体"/>
                <w:sz w:val="18"/>
                <w:szCs w:val="18"/>
              </w:rPr>
              <w:t>7.0827</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792,302,277.90</w:t>
            </w:r>
          </w:p>
        </w:tc>
      </w:tr>
      <w:tr w:rsidR="00157EA0">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欧元</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10,271,487.34</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rsidP="005D4E78">
            <w:pPr>
              <w:spacing w:line="240" w:lineRule="exact"/>
              <w:jc w:val="right"/>
              <w:rPr>
                <w:rFonts w:ascii="宋体" w:eastAsia="宋体" w:hAnsi="宋体" w:cs="宋体"/>
                <w:sz w:val="18"/>
                <w:szCs w:val="18"/>
              </w:rPr>
            </w:pPr>
            <w:r>
              <w:rPr>
                <w:rFonts w:ascii="宋体" w:eastAsia="宋体" w:hAnsi="宋体" w:cs="宋体"/>
                <w:sz w:val="18"/>
                <w:szCs w:val="18"/>
              </w:rPr>
              <w:t>7.8592</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80,725,673.30</w:t>
            </w:r>
          </w:p>
        </w:tc>
      </w:tr>
      <w:tr w:rsidR="00157EA0">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港币</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BA0365" w:rsidP="005D4E78">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 xml:space="preserve">    雷亚尔</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3,952,545.95</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rsidP="005D4E78">
            <w:pPr>
              <w:spacing w:line="240" w:lineRule="exact"/>
              <w:jc w:val="right"/>
              <w:rPr>
                <w:rFonts w:ascii="宋体" w:eastAsia="宋体" w:hAnsi="宋体" w:cs="宋体"/>
                <w:sz w:val="18"/>
                <w:szCs w:val="18"/>
              </w:rPr>
            </w:pPr>
            <w:r>
              <w:rPr>
                <w:rFonts w:ascii="宋体" w:eastAsia="宋体" w:hAnsi="宋体" w:cs="宋体"/>
                <w:sz w:val="18"/>
                <w:szCs w:val="18"/>
              </w:rPr>
              <w:t>1.4655</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5,792,456.09</w:t>
            </w:r>
          </w:p>
        </w:tc>
      </w:tr>
      <w:tr w:rsidR="00157EA0">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长期借款</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rsidP="005D4E78">
            <w:pPr>
              <w:jc w:val="right"/>
            </w:pP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BA0365" w:rsidP="005D4E78">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欧元</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BA0365" w:rsidP="005D4E78">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港币</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BA0365" w:rsidP="005D4E78">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合同负债</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BA0365" w:rsidP="005D4E78">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90,099,664.06</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rsidP="005D4E78">
            <w:pPr>
              <w:spacing w:line="240" w:lineRule="exact"/>
              <w:jc w:val="right"/>
              <w:rPr>
                <w:rFonts w:ascii="宋体" w:eastAsia="宋体" w:hAnsi="宋体" w:cs="宋体"/>
                <w:sz w:val="18"/>
                <w:szCs w:val="18"/>
              </w:rPr>
            </w:pPr>
            <w:r>
              <w:rPr>
                <w:rFonts w:ascii="宋体" w:eastAsia="宋体" w:hAnsi="宋体" w:cs="宋体"/>
                <w:sz w:val="18"/>
                <w:szCs w:val="18"/>
              </w:rPr>
              <w:t>7.0827</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638,148,890.64</w:t>
            </w:r>
          </w:p>
        </w:tc>
      </w:tr>
      <w:tr w:rsidR="00157EA0">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欧元</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61,746,206.52</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rsidP="005D4E78">
            <w:pPr>
              <w:spacing w:line="240" w:lineRule="exact"/>
              <w:jc w:val="right"/>
              <w:rPr>
                <w:rFonts w:ascii="宋体" w:eastAsia="宋体" w:hAnsi="宋体" w:cs="宋体"/>
                <w:sz w:val="18"/>
                <w:szCs w:val="18"/>
              </w:rPr>
            </w:pPr>
            <w:r>
              <w:rPr>
                <w:rFonts w:ascii="宋体" w:eastAsia="宋体" w:hAnsi="宋体" w:cs="宋体"/>
                <w:sz w:val="18"/>
                <w:szCs w:val="18"/>
              </w:rPr>
              <w:t>7.8592</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485,275,786.28</w:t>
            </w:r>
          </w:p>
        </w:tc>
      </w:tr>
    </w:tbl>
    <w:p w:rsidR="00BA0365" w:rsidRDefault="008D4B2E">
      <w:pPr>
        <w:keepNext/>
        <w:keepLines/>
        <w:spacing w:before="300" w:after="300" w:line="280" w:lineRule="exact"/>
        <w:outlineLvl w:val="3"/>
        <w:rPr>
          <w:rFonts w:ascii="宋体" w:eastAsia="宋体" w:hAnsi="宋体" w:cs="宋体"/>
          <w:b/>
          <w:bCs/>
          <w:szCs w:val="21"/>
        </w:rPr>
      </w:pPr>
      <w:bookmarkStart w:id="347" w:name="_Toc989238"/>
      <w:r>
        <w:rPr>
          <w:rFonts w:ascii="宋体" w:eastAsia="宋体" w:hAnsi="宋体" w:cs="宋体"/>
          <w:b/>
          <w:bCs/>
          <w:szCs w:val="21"/>
        </w:rPr>
        <w:t>（2） 境外经营实体说明，包括对于重要的境外经营实体，应披露其境外主要经营地、记账本位币及选择依据，记账本位币发生变化的还应披露原因。</w:t>
      </w:r>
      <w:bookmarkEnd w:id="347"/>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tbl>
      <w:tblPr>
        <w:tblW w:w="9214" w:type="dxa"/>
        <w:tblCellMar>
          <w:left w:w="0" w:type="dxa"/>
          <w:right w:w="0" w:type="dxa"/>
        </w:tblCellMar>
        <w:tblLook w:val="04A0" w:firstRow="1" w:lastRow="0" w:firstColumn="1" w:lastColumn="0" w:noHBand="0" w:noVBand="1"/>
      </w:tblPr>
      <w:tblGrid>
        <w:gridCol w:w="2942"/>
        <w:gridCol w:w="3969"/>
        <w:gridCol w:w="2303"/>
      </w:tblGrid>
      <w:tr w:rsidR="008D4B2E" w:rsidTr="001112C2">
        <w:trPr>
          <w:divId w:val="955717523"/>
          <w:trHeight w:val="425"/>
          <w:tblHeader/>
        </w:trPr>
        <w:tc>
          <w:tcPr>
            <w:tcW w:w="2942" w:type="dxa"/>
            <w:tcBorders>
              <w:top w:val="single" w:sz="8" w:space="0" w:color="auto"/>
              <w:left w:val="single" w:sz="8" w:space="0" w:color="auto"/>
              <w:bottom w:val="single" w:sz="8" w:space="0" w:color="auto"/>
              <w:right w:val="single" w:sz="8" w:space="0" w:color="auto"/>
            </w:tcBorders>
            <w:shd w:val="clear" w:color="auto" w:fill="D3D3D3"/>
            <w:noWrap/>
            <w:tcMar>
              <w:top w:w="0" w:type="dxa"/>
              <w:left w:w="28" w:type="dxa"/>
              <w:bottom w:w="0" w:type="dxa"/>
              <w:right w:w="28" w:type="dxa"/>
            </w:tcMar>
            <w:vAlign w:val="center"/>
            <w:hideMark/>
          </w:tcPr>
          <w:p w:rsidR="008D4B2E" w:rsidRPr="00FC6EB6" w:rsidRDefault="008D4B2E" w:rsidP="00FC6EB6">
            <w:pPr>
              <w:spacing w:line="240" w:lineRule="exact"/>
              <w:jc w:val="center"/>
              <w:rPr>
                <w:rFonts w:ascii="宋体" w:eastAsia="宋体" w:hAnsi="宋体" w:cs="宋体"/>
                <w:sz w:val="18"/>
                <w:szCs w:val="18"/>
              </w:rPr>
            </w:pPr>
            <w:r w:rsidRPr="00FC6EB6">
              <w:rPr>
                <w:rFonts w:ascii="宋体" w:eastAsia="宋体" w:hAnsi="宋体" w:cs="宋体" w:hint="eastAsia"/>
                <w:sz w:val="18"/>
                <w:szCs w:val="18"/>
              </w:rPr>
              <w:t>名称</w:t>
            </w:r>
          </w:p>
        </w:tc>
        <w:tc>
          <w:tcPr>
            <w:tcW w:w="3969" w:type="dxa"/>
            <w:tcBorders>
              <w:top w:val="single" w:sz="8" w:space="0" w:color="auto"/>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rsidR="008D4B2E" w:rsidRPr="00FC6EB6" w:rsidRDefault="008D4B2E" w:rsidP="00FC6EB6">
            <w:pPr>
              <w:spacing w:line="240" w:lineRule="exact"/>
              <w:jc w:val="center"/>
              <w:rPr>
                <w:rFonts w:ascii="宋体" w:eastAsia="宋体" w:hAnsi="宋体" w:cs="宋体"/>
                <w:sz w:val="18"/>
                <w:szCs w:val="18"/>
              </w:rPr>
            </w:pPr>
            <w:r w:rsidRPr="00FC6EB6">
              <w:rPr>
                <w:rFonts w:ascii="宋体" w:eastAsia="宋体" w:hAnsi="宋体" w:cs="宋体" w:hint="eastAsia"/>
                <w:sz w:val="18"/>
                <w:szCs w:val="18"/>
              </w:rPr>
              <w:t>主要经营地</w:t>
            </w:r>
          </w:p>
        </w:tc>
        <w:tc>
          <w:tcPr>
            <w:tcW w:w="2303" w:type="dxa"/>
            <w:tcBorders>
              <w:top w:val="single" w:sz="8" w:space="0" w:color="auto"/>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rsidR="008D4B2E" w:rsidRPr="00FC6EB6" w:rsidRDefault="008D4B2E" w:rsidP="00FC6EB6">
            <w:pPr>
              <w:spacing w:line="240" w:lineRule="exact"/>
              <w:jc w:val="center"/>
              <w:rPr>
                <w:rFonts w:ascii="宋体" w:eastAsia="宋体" w:hAnsi="宋体" w:cs="宋体"/>
                <w:sz w:val="18"/>
                <w:szCs w:val="18"/>
              </w:rPr>
            </w:pPr>
            <w:r w:rsidRPr="00FC6EB6">
              <w:rPr>
                <w:rFonts w:ascii="宋体" w:eastAsia="宋体" w:hAnsi="宋体" w:cs="宋体" w:hint="eastAsia"/>
                <w:sz w:val="18"/>
                <w:szCs w:val="18"/>
              </w:rPr>
              <w:t>记账本位币</w:t>
            </w:r>
          </w:p>
        </w:tc>
      </w:tr>
      <w:tr w:rsidR="008D4B2E" w:rsidTr="001112C2">
        <w:trPr>
          <w:divId w:val="955717523"/>
          <w:trHeight w:val="425"/>
        </w:trPr>
        <w:tc>
          <w:tcPr>
            <w:tcW w:w="2942" w:type="dxa"/>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D4B2E" w:rsidRPr="00FC6EB6" w:rsidRDefault="008D4B2E" w:rsidP="00FC6EB6">
            <w:pPr>
              <w:spacing w:line="240" w:lineRule="exact"/>
              <w:rPr>
                <w:rFonts w:ascii="宋体" w:eastAsia="宋体" w:hAnsi="宋体" w:cs="宋体"/>
                <w:sz w:val="18"/>
                <w:szCs w:val="18"/>
              </w:rPr>
            </w:pPr>
            <w:r w:rsidRPr="00FC6EB6">
              <w:rPr>
                <w:rFonts w:ascii="宋体" w:eastAsia="宋体" w:hAnsi="宋体" w:cs="宋体" w:hint="eastAsia"/>
                <w:sz w:val="18"/>
                <w:szCs w:val="18"/>
              </w:rPr>
              <w:t>软控（美洲）</w:t>
            </w:r>
          </w:p>
        </w:tc>
        <w:tc>
          <w:tcPr>
            <w:tcW w:w="396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8D4B2E" w:rsidRPr="00FC6EB6" w:rsidRDefault="008D4B2E" w:rsidP="00FC6EB6">
            <w:pPr>
              <w:spacing w:line="240" w:lineRule="exact"/>
              <w:rPr>
                <w:rFonts w:ascii="宋体" w:eastAsia="宋体" w:hAnsi="宋体" w:cs="宋体"/>
                <w:sz w:val="18"/>
                <w:szCs w:val="18"/>
              </w:rPr>
            </w:pPr>
            <w:r w:rsidRPr="00FC6EB6">
              <w:rPr>
                <w:rFonts w:ascii="宋体" w:eastAsia="宋体" w:hAnsi="宋体" w:cs="宋体" w:hint="eastAsia"/>
                <w:sz w:val="18"/>
                <w:szCs w:val="18"/>
              </w:rPr>
              <w:t>美国特拉华州</w:t>
            </w:r>
          </w:p>
        </w:tc>
        <w:tc>
          <w:tcPr>
            <w:tcW w:w="230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8D4B2E" w:rsidRPr="00FC6EB6" w:rsidRDefault="008D4B2E" w:rsidP="00FC6EB6">
            <w:pPr>
              <w:spacing w:line="240" w:lineRule="exact"/>
              <w:rPr>
                <w:rFonts w:ascii="宋体" w:eastAsia="宋体" w:hAnsi="宋体" w:cs="宋体"/>
                <w:sz w:val="18"/>
                <w:szCs w:val="18"/>
              </w:rPr>
            </w:pPr>
            <w:r w:rsidRPr="00FC6EB6">
              <w:rPr>
                <w:rFonts w:ascii="宋体" w:eastAsia="宋体" w:hAnsi="宋体" w:cs="宋体" w:hint="eastAsia"/>
                <w:sz w:val="18"/>
                <w:szCs w:val="18"/>
              </w:rPr>
              <w:t>美元</w:t>
            </w:r>
          </w:p>
        </w:tc>
      </w:tr>
      <w:tr w:rsidR="008D4B2E" w:rsidTr="001112C2">
        <w:trPr>
          <w:divId w:val="955717523"/>
          <w:trHeight w:val="425"/>
        </w:trPr>
        <w:tc>
          <w:tcPr>
            <w:tcW w:w="2942" w:type="dxa"/>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D4B2E" w:rsidRPr="00FC6EB6" w:rsidRDefault="008D4B2E" w:rsidP="00FC6EB6">
            <w:pPr>
              <w:spacing w:line="240" w:lineRule="exact"/>
              <w:rPr>
                <w:rFonts w:ascii="宋体" w:eastAsia="宋体" w:hAnsi="宋体" w:cs="宋体"/>
                <w:sz w:val="18"/>
                <w:szCs w:val="18"/>
              </w:rPr>
            </w:pPr>
            <w:r w:rsidRPr="00FC6EB6">
              <w:rPr>
                <w:rFonts w:ascii="宋体" w:eastAsia="宋体" w:hAnsi="宋体" w:cs="宋体"/>
                <w:sz w:val="18"/>
                <w:szCs w:val="18"/>
              </w:rPr>
              <w:t>WYKO</w:t>
            </w:r>
          </w:p>
        </w:tc>
        <w:tc>
          <w:tcPr>
            <w:tcW w:w="396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8D4B2E" w:rsidRPr="00FC6EB6" w:rsidRDefault="008D4B2E" w:rsidP="00FC6EB6">
            <w:pPr>
              <w:spacing w:line="240" w:lineRule="exact"/>
              <w:rPr>
                <w:rFonts w:ascii="宋体" w:eastAsia="宋体" w:hAnsi="宋体" w:cs="宋体"/>
                <w:sz w:val="18"/>
                <w:szCs w:val="18"/>
              </w:rPr>
            </w:pPr>
            <w:r w:rsidRPr="00FC6EB6">
              <w:rPr>
                <w:rFonts w:ascii="宋体" w:eastAsia="宋体" w:hAnsi="宋体" w:cs="宋体" w:hint="eastAsia"/>
                <w:sz w:val="18"/>
                <w:szCs w:val="18"/>
              </w:rPr>
              <w:t>英国西米德兰兹郡</w:t>
            </w:r>
          </w:p>
        </w:tc>
        <w:tc>
          <w:tcPr>
            <w:tcW w:w="230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8D4B2E" w:rsidRPr="00FC6EB6" w:rsidRDefault="008D4B2E" w:rsidP="00FC6EB6">
            <w:pPr>
              <w:spacing w:line="240" w:lineRule="exact"/>
              <w:rPr>
                <w:rFonts w:ascii="宋体" w:eastAsia="宋体" w:hAnsi="宋体" w:cs="宋体"/>
                <w:sz w:val="18"/>
                <w:szCs w:val="18"/>
              </w:rPr>
            </w:pPr>
            <w:r w:rsidRPr="00FC6EB6">
              <w:rPr>
                <w:rFonts w:ascii="宋体" w:eastAsia="宋体" w:hAnsi="宋体" w:cs="宋体" w:hint="eastAsia"/>
                <w:sz w:val="18"/>
                <w:szCs w:val="18"/>
              </w:rPr>
              <w:t>英镑</w:t>
            </w:r>
          </w:p>
        </w:tc>
      </w:tr>
      <w:tr w:rsidR="008D4B2E" w:rsidTr="001112C2">
        <w:trPr>
          <w:divId w:val="955717523"/>
          <w:trHeight w:val="425"/>
        </w:trPr>
        <w:tc>
          <w:tcPr>
            <w:tcW w:w="2942" w:type="dxa"/>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D4B2E" w:rsidRPr="00FC6EB6" w:rsidRDefault="008D4B2E" w:rsidP="00FC6EB6">
            <w:pPr>
              <w:spacing w:line="240" w:lineRule="exact"/>
              <w:rPr>
                <w:rFonts w:ascii="宋体" w:eastAsia="宋体" w:hAnsi="宋体" w:cs="宋体"/>
                <w:sz w:val="18"/>
                <w:szCs w:val="18"/>
              </w:rPr>
            </w:pPr>
            <w:r w:rsidRPr="00FC6EB6">
              <w:rPr>
                <w:rFonts w:ascii="宋体" w:eastAsia="宋体" w:hAnsi="宋体" w:cs="宋体"/>
                <w:sz w:val="18"/>
                <w:szCs w:val="18"/>
              </w:rPr>
              <w:t>Davian</w:t>
            </w:r>
          </w:p>
        </w:tc>
        <w:tc>
          <w:tcPr>
            <w:tcW w:w="396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8D4B2E" w:rsidRPr="00FC6EB6" w:rsidRDefault="008D4B2E" w:rsidP="00FC6EB6">
            <w:pPr>
              <w:spacing w:line="240" w:lineRule="exact"/>
              <w:rPr>
                <w:rFonts w:ascii="宋体" w:eastAsia="宋体" w:hAnsi="宋体" w:cs="宋体"/>
                <w:sz w:val="18"/>
                <w:szCs w:val="18"/>
              </w:rPr>
            </w:pPr>
            <w:r w:rsidRPr="00FC6EB6">
              <w:rPr>
                <w:rFonts w:ascii="宋体" w:eastAsia="宋体" w:hAnsi="宋体" w:cs="宋体" w:hint="eastAsia"/>
                <w:sz w:val="18"/>
                <w:szCs w:val="18"/>
              </w:rPr>
              <w:t>美国田纳西州</w:t>
            </w:r>
          </w:p>
        </w:tc>
        <w:tc>
          <w:tcPr>
            <w:tcW w:w="230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8D4B2E" w:rsidRPr="00FC6EB6" w:rsidRDefault="008D4B2E" w:rsidP="00FC6EB6">
            <w:pPr>
              <w:spacing w:line="240" w:lineRule="exact"/>
              <w:rPr>
                <w:rFonts w:ascii="宋体" w:eastAsia="宋体" w:hAnsi="宋体" w:cs="宋体"/>
                <w:sz w:val="18"/>
                <w:szCs w:val="18"/>
              </w:rPr>
            </w:pPr>
            <w:r w:rsidRPr="00FC6EB6">
              <w:rPr>
                <w:rFonts w:ascii="宋体" w:eastAsia="宋体" w:hAnsi="宋体" w:cs="宋体" w:hint="eastAsia"/>
                <w:sz w:val="18"/>
                <w:szCs w:val="18"/>
              </w:rPr>
              <w:t>美元</w:t>
            </w:r>
          </w:p>
        </w:tc>
      </w:tr>
      <w:tr w:rsidR="008D4B2E" w:rsidTr="001112C2">
        <w:trPr>
          <w:divId w:val="955717523"/>
          <w:trHeight w:val="425"/>
        </w:trPr>
        <w:tc>
          <w:tcPr>
            <w:tcW w:w="2942" w:type="dxa"/>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D4B2E" w:rsidRPr="00FC6EB6" w:rsidRDefault="008D4B2E" w:rsidP="00FC6EB6">
            <w:pPr>
              <w:spacing w:line="240" w:lineRule="exact"/>
              <w:rPr>
                <w:rFonts w:ascii="宋体" w:eastAsia="宋体" w:hAnsi="宋体" w:cs="宋体"/>
                <w:sz w:val="18"/>
                <w:szCs w:val="18"/>
              </w:rPr>
            </w:pPr>
            <w:proofErr w:type="gramStart"/>
            <w:r w:rsidRPr="00FC6EB6">
              <w:rPr>
                <w:rFonts w:ascii="宋体" w:eastAsia="宋体" w:hAnsi="宋体" w:cs="宋体" w:hint="eastAsia"/>
                <w:sz w:val="18"/>
                <w:szCs w:val="18"/>
              </w:rPr>
              <w:t>软控欧研</w:t>
            </w:r>
            <w:proofErr w:type="gramEnd"/>
          </w:p>
        </w:tc>
        <w:tc>
          <w:tcPr>
            <w:tcW w:w="396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8D4B2E" w:rsidRPr="00FC6EB6" w:rsidRDefault="008D4B2E" w:rsidP="00FC6EB6">
            <w:pPr>
              <w:spacing w:line="240" w:lineRule="exact"/>
              <w:rPr>
                <w:rFonts w:ascii="宋体" w:eastAsia="宋体" w:hAnsi="宋体" w:cs="宋体"/>
                <w:sz w:val="18"/>
                <w:szCs w:val="18"/>
              </w:rPr>
            </w:pPr>
            <w:r w:rsidRPr="00FC6EB6">
              <w:rPr>
                <w:rFonts w:ascii="宋体" w:eastAsia="宋体" w:hAnsi="宋体" w:cs="宋体" w:hint="eastAsia"/>
                <w:sz w:val="18"/>
                <w:szCs w:val="18"/>
              </w:rPr>
              <w:t>斯洛伐克杜布尼萨市</w:t>
            </w:r>
          </w:p>
        </w:tc>
        <w:tc>
          <w:tcPr>
            <w:tcW w:w="230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8D4B2E" w:rsidRPr="00FC6EB6" w:rsidRDefault="008D4B2E" w:rsidP="00FC6EB6">
            <w:pPr>
              <w:spacing w:line="240" w:lineRule="exact"/>
              <w:rPr>
                <w:rFonts w:ascii="宋体" w:eastAsia="宋体" w:hAnsi="宋体" w:cs="宋体"/>
                <w:sz w:val="18"/>
                <w:szCs w:val="18"/>
              </w:rPr>
            </w:pPr>
            <w:r w:rsidRPr="00FC6EB6">
              <w:rPr>
                <w:rFonts w:ascii="宋体" w:eastAsia="宋体" w:hAnsi="宋体" w:cs="宋体" w:hint="eastAsia"/>
                <w:sz w:val="18"/>
                <w:szCs w:val="18"/>
              </w:rPr>
              <w:t>欧元</w:t>
            </w:r>
          </w:p>
        </w:tc>
      </w:tr>
      <w:tr w:rsidR="008D4B2E" w:rsidTr="001112C2">
        <w:trPr>
          <w:divId w:val="955717523"/>
          <w:trHeight w:val="425"/>
        </w:trPr>
        <w:tc>
          <w:tcPr>
            <w:tcW w:w="2942" w:type="dxa"/>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8D4B2E" w:rsidRPr="00FC6EB6" w:rsidRDefault="008D4B2E" w:rsidP="00FC6EB6">
            <w:pPr>
              <w:spacing w:line="240" w:lineRule="exact"/>
              <w:rPr>
                <w:rFonts w:ascii="宋体" w:eastAsia="宋体" w:hAnsi="宋体" w:cs="宋体"/>
                <w:sz w:val="18"/>
                <w:szCs w:val="18"/>
              </w:rPr>
            </w:pPr>
            <w:r w:rsidRPr="00FC6EB6">
              <w:rPr>
                <w:rFonts w:ascii="宋体" w:eastAsia="宋体" w:hAnsi="宋体" w:cs="宋体" w:hint="eastAsia"/>
                <w:sz w:val="18"/>
                <w:szCs w:val="18"/>
              </w:rPr>
              <w:t>华中能源</w:t>
            </w:r>
          </w:p>
        </w:tc>
        <w:tc>
          <w:tcPr>
            <w:tcW w:w="3969"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8D4B2E" w:rsidRPr="00FC6EB6" w:rsidRDefault="008D4B2E" w:rsidP="00FC6EB6">
            <w:pPr>
              <w:spacing w:line="240" w:lineRule="exact"/>
              <w:rPr>
                <w:rFonts w:ascii="宋体" w:eastAsia="宋体" w:hAnsi="宋体" w:cs="宋体"/>
                <w:sz w:val="18"/>
                <w:szCs w:val="18"/>
              </w:rPr>
            </w:pPr>
            <w:r w:rsidRPr="00FC6EB6">
              <w:rPr>
                <w:rFonts w:ascii="宋体" w:eastAsia="宋体" w:hAnsi="宋体" w:cs="宋体" w:hint="eastAsia"/>
                <w:sz w:val="18"/>
                <w:szCs w:val="18"/>
              </w:rPr>
              <w:t>柬埔寨桔井省斯努县</w:t>
            </w:r>
          </w:p>
        </w:tc>
        <w:tc>
          <w:tcPr>
            <w:tcW w:w="2303"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8D4B2E" w:rsidRPr="00FC6EB6" w:rsidRDefault="008D4B2E" w:rsidP="00FC6EB6">
            <w:pPr>
              <w:spacing w:line="240" w:lineRule="exact"/>
              <w:rPr>
                <w:rFonts w:ascii="宋体" w:eastAsia="宋体" w:hAnsi="宋体" w:cs="宋体"/>
                <w:sz w:val="18"/>
                <w:szCs w:val="18"/>
              </w:rPr>
            </w:pPr>
            <w:r w:rsidRPr="00FC6EB6">
              <w:rPr>
                <w:rFonts w:ascii="宋体" w:eastAsia="宋体" w:hAnsi="宋体" w:cs="宋体" w:hint="eastAsia"/>
                <w:sz w:val="18"/>
                <w:szCs w:val="18"/>
              </w:rPr>
              <w:t>美元</w:t>
            </w:r>
          </w:p>
        </w:tc>
      </w:tr>
    </w:tbl>
    <w:p w:rsidR="00BA0365" w:rsidRDefault="008D4B2E">
      <w:pPr>
        <w:pStyle w:val="3"/>
        <w:spacing w:line="280" w:lineRule="exact"/>
        <w:jc w:val="left"/>
        <w:rPr>
          <w:rFonts w:ascii="宋体" w:hAnsi="宋体" w:cs="宋体"/>
          <w:b/>
          <w:bCs/>
        </w:rPr>
      </w:pPr>
      <w:bookmarkStart w:id="348" w:name="_Toc989239"/>
      <w:r>
        <w:rPr>
          <w:rFonts w:ascii="宋体" w:hAnsi="宋体" w:cs="宋体"/>
          <w:b/>
          <w:bCs/>
        </w:rPr>
        <w:t>60、租赁</w:t>
      </w:r>
      <w:bookmarkEnd w:id="348"/>
    </w:p>
    <w:p w:rsidR="00BA0365" w:rsidRDefault="008D4B2E">
      <w:pPr>
        <w:keepNext/>
        <w:keepLines/>
        <w:spacing w:before="300" w:after="300" w:line="280" w:lineRule="exact"/>
        <w:outlineLvl w:val="3"/>
        <w:rPr>
          <w:rFonts w:ascii="宋体" w:eastAsia="宋体" w:hAnsi="宋体" w:cs="宋体"/>
          <w:b/>
          <w:bCs/>
          <w:szCs w:val="21"/>
        </w:rPr>
      </w:pPr>
      <w:bookmarkStart w:id="349" w:name="_Toc989240"/>
      <w:r>
        <w:rPr>
          <w:rFonts w:ascii="宋体" w:eastAsia="宋体" w:hAnsi="宋体" w:cs="宋体"/>
          <w:b/>
          <w:bCs/>
          <w:szCs w:val="21"/>
        </w:rPr>
        <w:t>（1） 本公司作为承租方</w:t>
      </w:r>
      <w:bookmarkEnd w:id="349"/>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未纳入租赁负债计量的可变租赁付款额</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简化处理的短期租赁或低价值资产的租赁费用</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涉及售后租回交易的情况</w:t>
      </w:r>
    </w:p>
    <w:p w:rsidR="008D4B2E" w:rsidRDefault="008D4B2E">
      <w:pPr>
        <w:pStyle w:val="a3"/>
        <w:divId w:val="1697732502"/>
        <w:rPr>
          <w:sz w:val="18"/>
          <w:szCs w:val="18"/>
        </w:rPr>
      </w:pPr>
      <w:r>
        <w:rPr>
          <w:rFonts w:hint="eastAsia"/>
          <w:sz w:val="18"/>
          <w:szCs w:val="18"/>
        </w:rPr>
        <w:t>无</w:t>
      </w:r>
    </w:p>
    <w:p w:rsidR="00BA0365" w:rsidRDefault="008D4B2E">
      <w:pPr>
        <w:keepNext/>
        <w:keepLines/>
        <w:spacing w:before="300" w:after="300" w:line="280" w:lineRule="exact"/>
        <w:outlineLvl w:val="3"/>
        <w:rPr>
          <w:rFonts w:ascii="宋体" w:eastAsia="宋体" w:hAnsi="宋体" w:cs="宋体"/>
          <w:b/>
          <w:bCs/>
          <w:szCs w:val="21"/>
        </w:rPr>
      </w:pPr>
      <w:bookmarkStart w:id="350" w:name="_Toc989241"/>
      <w:r>
        <w:rPr>
          <w:rFonts w:ascii="宋体" w:eastAsia="宋体" w:hAnsi="宋体" w:cs="宋体"/>
          <w:b/>
          <w:bCs/>
          <w:szCs w:val="21"/>
        </w:rPr>
        <w:lastRenderedPageBreak/>
        <w:t>（2） 本公司作为出租方</w:t>
      </w:r>
      <w:bookmarkEnd w:id="350"/>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作为出租人的经营租赁</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作为出租人的融资租赁</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未来五年每年未折现</w:t>
      </w:r>
      <w:proofErr w:type="gramStart"/>
      <w:r>
        <w:rPr>
          <w:rFonts w:ascii="宋体" w:eastAsia="宋体" w:hAnsi="宋体" w:cs="宋体"/>
          <w:sz w:val="18"/>
          <w:szCs w:val="18"/>
        </w:rPr>
        <w:t>租赁收</w:t>
      </w:r>
      <w:proofErr w:type="gramEnd"/>
      <w:r>
        <w:rPr>
          <w:rFonts w:ascii="宋体" w:eastAsia="宋体" w:hAnsi="宋体" w:cs="宋体"/>
          <w:sz w:val="18"/>
          <w:szCs w:val="18"/>
        </w:rPr>
        <w:t>款额</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未折现</w:t>
      </w:r>
      <w:proofErr w:type="gramStart"/>
      <w:r>
        <w:rPr>
          <w:rFonts w:ascii="宋体" w:eastAsia="宋体" w:hAnsi="宋体" w:cs="宋体"/>
          <w:sz w:val="18"/>
          <w:szCs w:val="18"/>
        </w:rPr>
        <w:t>租赁收</w:t>
      </w:r>
      <w:proofErr w:type="gramEnd"/>
      <w:r>
        <w:rPr>
          <w:rFonts w:ascii="宋体" w:eastAsia="宋体" w:hAnsi="宋体" w:cs="宋体"/>
          <w:sz w:val="18"/>
          <w:szCs w:val="18"/>
        </w:rPr>
        <w:t>款额与租赁投资净额的调节表</w:t>
      </w:r>
    </w:p>
    <w:p w:rsidR="00BA0365" w:rsidRDefault="008D4B2E">
      <w:pPr>
        <w:keepNext/>
        <w:keepLines/>
        <w:spacing w:before="300" w:after="300" w:line="280" w:lineRule="exact"/>
        <w:outlineLvl w:val="3"/>
        <w:rPr>
          <w:rFonts w:ascii="宋体" w:eastAsia="宋体" w:hAnsi="宋体" w:cs="宋体"/>
          <w:b/>
          <w:bCs/>
          <w:szCs w:val="21"/>
        </w:rPr>
      </w:pPr>
      <w:bookmarkStart w:id="351" w:name="_Toc989242"/>
      <w:r>
        <w:rPr>
          <w:rFonts w:ascii="宋体" w:eastAsia="宋体" w:hAnsi="宋体" w:cs="宋体"/>
          <w:b/>
          <w:bCs/>
          <w:szCs w:val="21"/>
        </w:rPr>
        <w:t>（3） 作为生产商或经销商确认融资租赁销售损益</w:t>
      </w:r>
      <w:bookmarkEnd w:id="351"/>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pStyle w:val="2"/>
        <w:spacing w:before="300" w:after="300" w:line="320" w:lineRule="exact"/>
        <w:rPr>
          <w:rFonts w:ascii="宋体" w:eastAsia="宋体" w:hAnsi="宋体" w:cs="宋体"/>
          <w:b/>
          <w:bCs/>
          <w:sz w:val="24"/>
          <w:szCs w:val="24"/>
        </w:rPr>
      </w:pPr>
      <w:bookmarkStart w:id="352" w:name="_Toc989244"/>
      <w:r>
        <w:rPr>
          <w:rFonts w:ascii="宋体" w:eastAsia="宋体" w:hAnsi="宋体" w:cs="宋体"/>
          <w:b/>
          <w:bCs/>
          <w:sz w:val="24"/>
          <w:szCs w:val="24"/>
        </w:rPr>
        <w:t>八、研发支出</w:t>
      </w:r>
      <w:bookmarkEnd w:id="352"/>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3213"/>
        <w:gridCol w:w="3213"/>
        <w:gridCol w:w="3213"/>
      </w:tblGrid>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工资薪金及劳务费</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184,144,921.87</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149,870,836.54</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折旧及摊销</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12,510,201.05</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10,032,005.36</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交通/差旅/会议费</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6,035,123.50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3,925,949.88</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中介代理费</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4,563,712.73</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5,495,037.77</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物料消耗费</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133,301,805.38</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113,256,816.02</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租赁费/修理费</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1,944,492.49</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1,380,131.07</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16,084,811.81</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18,978,879.55</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358,585,068.83</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302,939,656.19</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其中：费用化研发支出</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358,585,068.83</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302,939,656.19</w:t>
            </w:r>
          </w:p>
        </w:tc>
      </w:tr>
    </w:tbl>
    <w:p w:rsidR="00BA0365" w:rsidRDefault="008D4B2E">
      <w:pPr>
        <w:pStyle w:val="2"/>
        <w:spacing w:before="300" w:after="300" w:line="320" w:lineRule="exact"/>
        <w:rPr>
          <w:rFonts w:ascii="宋体" w:eastAsia="宋体" w:hAnsi="宋体" w:cs="宋体"/>
          <w:b/>
          <w:bCs/>
          <w:sz w:val="24"/>
          <w:szCs w:val="24"/>
        </w:rPr>
      </w:pPr>
      <w:bookmarkStart w:id="353" w:name="_Toc989247"/>
      <w:r>
        <w:rPr>
          <w:rFonts w:ascii="宋体" w:eastAsia="宋体" w:hAnsi="宋体" w:cs="宋体"/>
          <w:b/>
          <w:bCs/>
          <w:sz w:val="24"/>
          <w:szCs w:val="24"/>
        </w:rPr>
        <w:t>九、合并范围的变更</w:t>
      </w:r>
      <w:bookmarkEnd w:id="353"/>
    </w:p>
    <w:p w:rsidR="00BA0365" w:rsidRDefault="008D4B2E">
      <w:pPr>
        <w:pStyle w:val="3"/>
        <w:spacing w:line="280" w:lineRule="exact"/>
        <w:jc w:val="left"/>
        <w:rPr>
          <w:rFonts w:ascii="宋体" w:hAnsi="宋体" w:cs="宋体"/>
          <w:b/>
          <w:bCs/>
        </w:rPr>
      </w:pPr>
      <w:bookmarkStart w:id="354" w:name="_Toc989248"/>
      <w:r>
        <w:rPr>
          <w:rFonts w:ascii="宋体" w:hAnsi="宋体" w:cs="宋体"/>
          <w:b/>
          <w:bCs/>
        </w:rPr>
        <w:t>1、处置子公司</w:t>
      </w:r>
      <w:bookmarkEnd w:id="354"/>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本期是否存在丧失子公司控制权的交易或事项</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是 □否</w:t>
      </w:r>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742"/>
        <w:gridCol w:w="742"/>
        <w:gridCol w:w="742"/>
        <w:gridCol w:w="742"/>
        <w:gridCol w:w="742"/>
        <w:gridCol w:w="742"/>
        <w:gridCol w:w="741"/>
        <w:gridCol w:w="741"/>
        <w:gridCol w:w="741"/>
        <w:gridCol w:w="741"/>
        <w:gridCol w:w="741"/>
        <w:gridCol w:w="741"/>
        <w:gridCol w:w="741"/>
      </w:tblGrid>
      <w:tr w:rsidR="00157EA0">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子公司名称</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丧失控制权时点的处置价款</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丧失控制权时点的处置比例</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丧失控制权时点的处置方式</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丧失控制权的时点</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丧失控制权时点的判断依据</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处置价款与处置投资对应的合并财务报表层面享有该子公司净资</w:t>
            </w:r>
            <w:r>
              <w:rPr>
                <w:rFonts w:ascii="宋体" w:eastAsia="宋体" w:hAnsi="宋体" w:cs="宋体"/>
                <w:sz w:val="18"/>
                <w:szCs w:val="18"/>
              </w:rPr>
              <w:lastRenderedPageBreak/>
              <w:t>产份额的差额</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丧失控制权之日剩余股权的比例</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丧失控制权之日合并财务报表层面剩余股权的账面价值</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丧失控制权之日合并财务报表层面剩余股权的公允价值</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按照公允价值重新计量剩余股权产生的利得或损失</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丧失控制权之日合并财务报表层面剩余股权公允价值的确定方法</w:t>
            </w:r>
            <w:r>
              <w:rPr>
                <w:rFonts w:ascii="宋体" w:eastAsia="宋体" w:hAnsi="宋体" w:cs="宋体"/>
                <w:sz w:val="18"/>
                <w:szCs w:val="18"/>
              </w:rPr>
              <w:lastRenderedPageBreak/>
              <w:t>及主要假设</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lastRenderedPageBreak/>
              <w:t>与原子公司股权投资相关的其他综合收益转入投资损益或留存收</w:t>
            </w:r>
            <w:r>
              <w:rPr>
                <w:rFonts w:ascii="宋体" w:eastAsia="宋体" w:hAnsi="宋体" w:cs="宋体"/>
                <w:sz w:val="18"/>
                <w:szCs w:val="18"/>
              </w:rPr>
              <w:lastRenderedPageBreak/>
              <w:t>益的金额</w:t>
            </w: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lastRenderedPageBreak/>
              <w:t>青岛软控智能装备有限公司</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51,000,000.00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转让</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2023年05月31日</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工商变更完成</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21,495,206.21</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bl>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是否存在通过多次交易分步处置对子公司投资且在本期丧失控制权的情形</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rsidR="00BA0365" w:rsidRDefault="008D4B2E">
      <w:pPr>
        <w:pStyle w:val="3"/>
        <w:spacing w:line="280" w:lineRule="exact"/>
        <w:jc w:val="left"/>
        <w:rPr>
          <w:rFonts w:ascii="宋体" w:hAnsi="宋体" w:cs="宋体"/>
          <w:b/>
          <w:bCs/>
        </w:rPr>
      </w:pPr>
      <w:bookmarkStart w:id="355" w:name="_Toc989249"/>
      <w:r>
        <w:rPr>
          <w:rFonts w:ascii="宋体" w:hAnsi="宋体" w:cs="宋体"/>
          <w:b/>
          <w:bCs/>
        </w:rPr>
        <w:t>2、其他原因的合并范围变动</w:t>
      </w:r>
      <w:bookmarkEnd w:id="355"/>
    </w:p>
    <w:p w:rsidR="00BA0365" w:rsidRDefault="008D4B2E" w:rsidP="00B87081">
      <w:pPr>
        <w:rPr>
          <w:rFonts w:ascii="宋体" w:eastAsia="宋体" w:hAnsi="宋体" w:cs="宋体"/>
          <w:sz w:val="18"/>
          <w:szCs w:val="18"/>
        </w:rPr>
      </w:pPr>
      <w:r>
        <w:rPr>
          <w:rFonts w:ascii="宋体" w:eastAsia="宋体" w:hAnsi="宋体" w:cs="宋体"/>
          <w:sz w:val="18"/>
          <w:szCs w:val="18"/>
        </w:rPr>
        <w:t>说明其他原因导致的合并范围变动（如，新设子公司、清算子公司等）及其相关情况：</w:t>
      </w:r>
    </w:p>
    <w:p w:rsidR="008D4B2E" w:rsidRPr="000C2E93" w:rsidRDefault="008D4B2E" w:rsidP="00B87081">
      <w:pPr>
        <w:ind w:firstLineChars="200" w:firstLine="360"/>
        <w:divId w:val="367997833"/>
        <w:rPr>
          <w:rFonts w:ascii="宋体" w:eastAsia="宋体" w:hAnsi="宋体" w:cs="宋体"/>
          <w:sz w:val="18"/>
          <w:szCs w:val="18"/>
        </w:rPr>
      </w:pPr>
      <w:r w:rsidRPr="000C2E93">
        <w:rPr>
          <w:rFonts w:ascii="宋体" w:eastAsia="宋体" w:hAnsi="宋体" w:cs="宋体" w:hint="eastAsia"/>
          <w:sz w:val="18"/>
          <w:szCs w:val="18"/>
        </w:rPr>
        <w:t>与上年相比本期新增合并单位3家，具体包</w:t>
      </w:r>
      <w:r w:rsidR="00614C8D" w:rsidRPr="00614C8D">
        <w:rPr>
          <w:rFonts w:ascii="宋体" w:eastAsia="宋体" w:hAnsi="宋体" w:cs="宋体"/>
          <w:sz w:val="18"/>
          <w:szCs w:val="18"/>
        </w:rPr>
        <w:t>HKZQ ENERGY AND TECHNOLOGY CO., LTD.</w:t>
      </w:r>
      <w:r w:rsidRPr="000C2E93">
        <w:rPr>
          <w:rFonts w:ascii="宋体" w:eastAsia="宋体" w:hAnsi="宋体" w:cs="宋体" w:hint="eastAsia"/>
          <w:sz w:val="18"/>
          <w:szCs w:val="18"/>
        </w:rPr>
        <w:t>、德州智控新能源发展有限公司、菏泽智控能源发展有限公司，均系本年新投资成立的公司。</w:t>
      </w:r>
    </w:p>
    <w:p w:rsidR="008D4B2E" w:rsidRPr="000C2E93" w:rsidRDefault="008D4B2E" w:rsidP="00B87081">
      <w:pPr>
        <w:ind w:firstLineChars="200" w:firstLine="360"/>
        <w:divId w:val="367997833"/>
        <w:rPr>
          <w:rFonts w:ascii="宋体" w:eastAsia="宋体" w:hAnsi="宋体" w:cs="宋体"/>
          <w:sz w:val="18"/>
          <w:szCs w:val="18"/>
        </w:rPr>
      </w:pPr>
      <w:r w:rsidRPr="000C2E93">
        <w:rPr>
          <w:rFonts w:ascii="宋体" w:eastAsia="宋体" w:hAnsi="宋体" w:cs="宋体" w:hint="eastAsia"/>
          <w:sz w:val="18"/>
          <w:szCs w:val="18"/>
        </w:rPr>
        <w:t>与上年相比本期减少合并单位1家，具体为青岛软控智能装备有限公司，因公司股权转让减少。</w:t>
      </w:r>
    </w:p>
    <w:p w:rsidR="00BA0365" w:rsidRDefault="008D4B2E">
      <w:pPr>
        <w:pStyle w:val="2"/>
        <w:spacing w:before="300" w:after="300" w:line="320" w:lineRule="exact"/>
        <w:rPr>
          <w:rFonts w:ascii="宋体" w:eastAsia="宋体" w:hAnsi="宋体" w:cs="宋体"/>
          <w:b/>
          <w:bCs/>
          <w:sz w:val="24"/>
          <w:szCs w:val="24"/>
        </w:rPr>
      </w:pPr>
      <w:bookmarkStart w:id="356" w:name="_Toc989250"/>
      <w:r>
        <w:rPr>
          <w:rFonts w:ascii="宋体" w:eastAsia="宋体" w:hAnsi="宋体" w:cs="宋体"/>
          <w:b/>
          <w:bCs/>
          <w:sz w:val="24"/>
          <w:szCs w:val="24"/>
        </w:rPr>
        <w:t>十、在其他主体中的权益</w:t>
      </w:r>
      <w:bookmarkEnd w:id="356"/>
    </w:p>
    <w:p w:rsidR="00BA0365" w:rsidRDefault="008D4B2E">
      <w:pPr>
        <w:pStyle w:val="3"/>
        <w:spacing w:line="280" w:lineRule="exact"/>
        <w:jc w:val="left"/>
        <w:rPr>
          <w:rFonts w:ascii="宋体" w:hAnsi="宋体" w:cs="宋体"/>
          <w:b/>
          <w:bCs/>
        </w:rPr>
      </w:pPr>
      <w:bookmarkStart w:id="357" w:name="_Toc989251"/>
      <w:r>
        <w:rPr>
          <w:rFonts w:ascii="宋体" w:hAnsi="宋体" w:cs="宋体"/>
          <w:b/>
          <w:bCs/>
        </w:rPr>
        <w:t>1、在子公司中的权益</w:t>
      </w:r>
      <w:bookmarkEnd w:id="357"/>
    </w:p>
    <w:p w:rsidR="00BA0365" w:rsidRDefault="008D4B2E">
      <w:pPr>
        <w:keepNext/>
        <w:keepLines/>
        <w:spacing w:before="300" w:after="300" w:line="280" w:lineRule="exact"/>
        <w:outlineLvl w:val="3"/>
        <w:rPr>
          <w:rFonts w:ascii="宋体" w:eastAsia="宋体" w:hAnsi="宋体" w:cs="宋体"/>
          <w:b/>
          <w:bCs/>
          <w:sz w:val="18"/>
          <w:szCs w:val="18"/>
        </w:rPr>
      </w:pPr>
      <w:bookmarkStart w:id="358" w:name="_Toc989252"/>
      <w:r>
        <w:rPr>
          <w:rFonts w:ascii="宋体" w:eastAsia="宋体" w:hAnsi="宋体" w:cs="宋体"/>
          <w:b/>
          <w:bCs/>
          <w:sz w:val="18"/>
          <w:szCs w:val="18"/>
        </w:rPr>
        <w:t>（1） 企业集团的构成</w:t>
      </w:r>
      <w:bookmarkEnd w:id="358"/>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1242"/>
        <w:gridCol w:w="1560"/>
        <w:gridCol w:w="812"/>
        <w:gridCol w:w="1314"/>
        <w:gridCol w:w="992"/>
        <w:gridCol w:w="851"/>
        <w:gridCol w:w="850"/>
        <w:gridCol w:w="2018"/>
      </w:tblGrid>
      <w:tr w:rsidR="00157EA0" w:rsidTr="0010486D">
        <w:trPr>
          <w:trHeight w:val="240"/>
        </w:trPr>
        <w:tc>
          <w:tcPr>
            <w:tcW w:w="124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子公司名称</w:t>
            </w:r>
          </w:p>
        </w:tc>
        <w:tc>
          <w:tcPr>
            <w:tcW w:w="156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注册资本</w:t>
            </w:r>
          </w:p>
        </w:tc>
        <w:tc>
          <w:tcPr>
            <w:tcW w:w="81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主要经营地</w:t>
            </w:r>
          </w:p>
        </w:tc>
        <w:tc>
          <w:tcPr>
            <w:tcW w:w="131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注册地</w:t>
            </w:r>
          </w:p>
        </w:tc>
        <w:tc>
          <w:tcPr>
            <w:tcW w:w="99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业务性质</w:t>
            </w:r>
          </w:p>
        </w:tc>
        <w:tc>
          <w:tcPr>
            <w:tcW w:w="1701"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持股比例</w:t>
            </w:r>
          </w:p>
        </w:tc>
        <w:tc>
          <w:tcPr>
            <w:tcW w:w="201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取得方式</w:t>
            </w:r>
          </w:p>
        </w:tc>
      </w:tr>
      <w:tr w:rsidR="00157EA0" w:rsidTr="0010486D">
        <w:trPr>
          <w:trHeight w:val="240"/>
        </w:trPr>
        <w:tc>
          <w:tcPr>
            <w:tcW w:w="124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560" w:type="dxa"/>
            <w:vMerge/>
            <w:tcBorders>
              <w:top w:val="single" w:sz="2" w:space="0" w:color="auto"/>
              <w:left w:val="single" w:sz="2" w:space="0" w:color="auto"/>
              <w:bottom w:val="single" w:sz="2" w:space="0" w:color="auto"/>
              <w:right w:val="single" w:sz="2" w:space="0" w:color="auto"/>
            </w:tcBorders>
            <w:vAlign w:val="center"/>
          </w:tcPr>
          <w:p w:rsidR="00BA0365" w:rsidRDefault="00BA0365"/>
        </w:tc>
        <w:tc>
          <w:tcPr>
            <w:tcW w:w="81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31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99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直接</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间接</w:t>
            </w:r>
          </w:p>
        </w:tc>
        <w:tc>
          <w:tcPr>
            <w:tcW w:w="201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r w:rsidR="00157EA0" w:rsidTr="0010486D">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软控机电</w:t>
            </w:r>
            <w:proofErr w:type="gramEnd"/>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1,200,000,000.00</w:t>
            </w:r>
          </w:p>
        </w:tc>
        <w:tc>
          <w:tcPr>
            <w:tcW w:w="81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青岛</w:t>
            </w:r>
          </w:p>
        </w:tc>
        <w:tc>
          <w:tcPr>
            <w:tcW w:w="131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青岛市胶州市</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制造业</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20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设立</w:t>
            </w:r>
          </w:p>
        </w:tc>
      </w:tr>
      <w:tr w:rsidR="00157EA0" w:rsidTr="0010486D">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敬业机械</w:t>
            </w: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30,000,000.00</w:t>
            </w:r>
          </w:p>
        </w:tc>
        <w:tc>
          <w:tcPr>
            <w:tcW w:w="81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北京</w:t>
            </w:r>
          </w:p>
        </w:tc>
        <w:tc>
          <w:tcPr>
            <w:tcW w:w="131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北京市西城区</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制造业</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20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非同</w:t>
            </w:r>
            <w:proofErr w:type="gramStart"/>
            <w:r>
              <w:rPr>
                <w:rFonts w:ascii="宋体" w:eastAsia="宋体" w:hAnsi="宋体" w:cs="宋体"/>
                <w:sz w:val="18"/>
                <w:szCs w:val="18"/>
              </w:rPr>
              <w:t>一控制</w:t>
            </w:r>
            <w:proofErr w:type="gramEnd"/>
            <w:r>
              <w:rPr>
                <w:rFonts w:ascii="宋体" w:eastAsia="宋体" w:hAnsi="宋体" w:cs="宋体"/>
                <w:sz w:val="18"/>
                <w:szCs w:val="18"/>
              </w:rPr>
              <w:t>下企业合并</w:t>
            </w:r>
          </w:p>
        </w:tc>
      </w:tr>
      <w:tr w:rsidR="00157EA0" w:rsidTr="0010486D">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敬业园</w:t>
            </w: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5,000,000.00</w:t>
            </w:r>
          </w:p>
        </w:tc>
        <w:tc>
          <w:tcPr>
            <w:tcW w:w="81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天津</w:t>
            </w:r>
          </w:p>
        </w:tc>
        <w:tc>
          <w:tcPr>
            <w:tcW w:w="131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天津市静海</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制造业</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20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非同</w:t>
            </w:r>
            <w:proofErr w:type="gramStart"/>
            <w:r>
              <w:rPr>
                <w:rFonts w:ascii="宋体" w:eastAsia="宋体" w:hAnsi="宋体" w:cs="宋体"/>
                <w:sz w:val="18"/>
                <w:szCs w:val="18"/>
              </w:rPr>
              <w:t>一控制</w:t>
            </w:r>
            <w:proofErr w:type="gramEnd"/>
            <w:r>
              <w:rPr>
                <w:rFonts w:ascii="宋体" w:eastAsia="宋体" w:hAnsi="宋体" w:cs="宋体"/>
                <w:sz w:val="18"/>
                <w:szCs w:val="18"/>
              </w:rPr>
              <w:t>下企业合并</w:t>
            </w:r>
          </w:p>
        </w:tc>
      </w:tr>
      <w:tr w:rsidR="00157EA0" w:rsidTr="0010486D">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敬业机电</w:t>
            </w: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9,500,000.00</w:t>
            </w:r>
          </w:p>
        </w:tc>
        <w:tc>
          <w:tcPr>
            <w:tcW w:w="81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北京</w:t>
            </w:r>
          </w:p>
        </w:tc>
        <w:tc>
          <w:tcPr>
            <w:tcW w:w="131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北京市海淀区</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制造业</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20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设立</w:t>
            </w:r>
          </w:p>
        </w:tc>
      </w:tr>
      <w:tr w:rsidR="00157EA0" w:rsidTr="0010486D">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大连软控</w:t>
            </w:r>
            <w:proofErr w:type="gramEnd"/>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5,000,000.00</w:t>
            </w:r>
          </w:p>
        </w:tc>
        <w:tc>
          <w:tcPr>
            <w:tcW w:w="81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庄河</w:t>
            </w:r>
          </w:p>
        </w:tc>
        <w:tc>
          <w:tcPr>
            <w:tcW w:w="131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庄河市光明山镇</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制造业</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51.00%</w:t>
            </w:r>
          </w:p>
        </w:tc>
        <w:tc>
          <w:tcPr>
            <w:tcW w:w="20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设立</w:t>
            </w:r>
          </w:p>
        </w:tc>
      </w:tr>
      <w:tr w:rsidR="00157EA0" w:rsidTr="0010486D">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优享供应</w:t>
            </w:r>
            <w:proofErr w:type="gramEnd"/>
            <w:r>
              <w:rPr>
                <w:rFonts w:ascii="宋体" w:eastAsia="宋体" w:hAnsi="宋体" w:cs="宋体"/>
                <w:sz w:val="18"/>
                <w:szCs w:val="18"/>
              </w:rPr>
              <w:t>链</w:t>
            </w: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5,000,000.00</w:t>
            </w:r>
          </w:p>
        </w:tc>
        <w:tc>
          <w:tcPr>
            <w:tcW w:w="81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青岛</w:t>
            </w:r>
          </w:p>
        </w:tc>
        <w:tc>
          <w:tcPr>
            <w:tcW w:w="131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青岛市胶州市</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批发零售</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20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设立</w:t>
            </w:r>
          </w:p>
        </w:tc>
      </w:tr>
      <w:tr w:rsidR="00157EA0" w:rsidTr="0010486D">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计量检测</w:t>
            </w: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3,000,000.00</w:t>
            </w:r>
          </w:p>
        </w:tc>
        <w:tc>
          <w:tcPr>
            <w:tcW w:w="81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青岛</w:t>
            </w:r>
          </w:p>
        </w:tc>
        <w:tc>
          <w:tcPr>
            <w:tcW w:w="131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青岛市胶州市</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制造业</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70.00%</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20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设立</w:t>
            </w:r>
          </w:p>
        </w:tc>
      </w:tr>
      <w:tr w:rsidR="00157EA0" w:rsidTr="0010486D">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海</w:t>
            </w:r>
            <w:proofErr w:type="gramStart"/>
            <w:r>
              <w:rPr>
                <w:rFonts w:ascii="宋体" w:eastAsia="宋体" w:hAnsi="宋体" w:cs="宋体"/>
                <w:sz w:val="18"/>
                <w:szCs w:val="18"/>
              </w:rPr>
              <w:t>威物联</w:t>
            </w:r>
            <w:proofErr w:type="gramEnd"/>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10,000,000.00</w:t>
            </w:r>
          </w:p>
        </w:tc>
        <w:tc>
          <w:tcPr>
            <w:tcW w:w="81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青岛</w:t>
            </w:r>
          </w:p>
        </w:tc>
        <w:tc>
          <w:tcPr>
            <w:tcW w:w="131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青岛市高新区</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制造业</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70.00%</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20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设立</w:t>
            </w:r>
          </w:p>
        </w:tc>
      </w:tr>
      <w:tr w:rsidR="00157EA0" w:rsidTr="0010486D">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海科科技</w:t>
            </w: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30,000,000.00</w:t>
            </w:r>
          </w:p>
        </w:tc>
        <w:tc>
          <w:tcPr>
            <w:tcW w:w="81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青岛</w:t>
            </w:r>
          </w:p>
        </w:tc>
        <w:tc>
          <w:tcPr>
            <w:tcW w:w="131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青岛市高新区</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制造业</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20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设立</w:t>
            </w:r>
          </w:p>
        </w:tc>
      </w:tr>
      <w:tr w:rsidR="00157EA0" w:rsidTr="0010486D">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联合科技</w:t>
            </w: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160,000,000.00</w:t>
            </w:r>
          </w:p>
        </w:tc>
        <w:tc>
          <w:tcPr>
            <w:tcW w:w="81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潍坊</w:t>
            </w:r>
          </w:p>
        </w:tc>
        <w:tc>
          <w:tcPr>
            <w:tcW w:w="131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潍坊市诸城市</w:t>
            </w:r>
            <w:proofErr w:type="gramEnd"/>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制造业</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20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设立</w:t>
            </w:r>
          </w:p>
        </w:tc>
      </w:tr>
      <w:tr w:rsidR="00157EA0" w:rsidTr="0010486D">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科捷自动化</w:t>
            </w: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10,000,000.00</w:t>
            </w:r>
          </w:p>
        </w:tc>
        <w:tc>
          <w:tcPr>
            <w:tcW w:w="81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青岛</w:t>
            </w:r>
          </w:p>
        </w:tc>
        <w:tc>
          <w:tcPr>
            <w:tcW w:w="131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青岛市市北区</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制造业</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20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非同</w:t>
            </w:r>
            <w:proofErr w:type="gramStart"/>
            <w:r>
              <w:rPr>
                <w:rFonts w:ascii="宋体" w:eastAsia="宋体" w:hAnsi="宋体" w:cs="宋体"/>
                <w:sz w:val="18"/>
                <w:szCs w:val="18"/>
              </w:rPr>
              <w:t>一控制</w:t>
            </w:r>
            <w:proofErr w:type="gramEnd"/>
            <w:r>
              <w:rPr>
                <w:rFonts w:ascii="宋体" w:eastAsia="宋体" w:hAnsi="宋体" w:cs="宋体"/>
                <w:sz w:val="18"/>
                <w:szCs w:val="18"/>
              </w:rPr>
              <w:t>下企业合并</w:t>
            </w:r>
          </w:p>
        </w:tc>
      </w:tr>
      <w:tr w:rsidR="00157EA0" w:rsidTr="0010486D">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深圳众源达</w:t>
            </w:r>
            <w:proofErr w:type="gramEnd"/>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2,000,000.00</w:t>
            </w:r>
          </w:p>
        </w:tc>
        <w:tc>
          <w:tcPr>
            <w:tcW w:w="81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深圳</w:t>
            </w:r>
          </w:p>
        </w:tc>
        <w:tc>
          <w:tcPr>
            <w:tcW w:w="131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深圳市</w:t>
            </w:r>
            <w:proofErr w:type="gramStart"/>
            <w:r>
              <w:rPr>
                <w:rFonts w:ascii="宋体" w:eastAsia="宋体" w:hAnsi="宋体" w:cs="宋体"/>
                <w:sz w:val="18"/>
                <w:szCs w:val="18"/>
              </w:rPr>
              <w:t>坪山区</w:t>
            </w:r>
            <w:proofErr w:type="gramEnd"/>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制造业</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20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设立</w:t>
            </w:r>
          </w:p>
        </w:tc>
      </w:tr>
      <w:tr w:rsidR="00157EA0" w:rsidTr="0010486D">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艾优信</w:t>
            </w:r>
            <w:proofErr w:type="gramEnd"/>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5,000,000.00</w:t>
            </w:r>
          </w:p>
        </w:tc>
        <w:tc>
          <w:tcPr>
            <w:tcW w:w="81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青岛</w:t>
            </w:r>
          </w:p>
        </w:tc>
        <w:tc>
          <w:tcPr>
            <w:tcW w:w="131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青岛市胶州市</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制造业</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20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设立</w:t>
            </w:r>
          </w:p>
        </w:tc>
      </w:tr>
      <w:tr w:rsidR="00157EA0" w:rsidTr="0010486D">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华控能源</w:t>
            </w:r>
            <w:proofErr w:type="gramEnd"/>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10,000,000.00</w:t>
            </w:r>
          </w:p>
        </w:tc>
        <w:tc>
          <w:tcPr>
            <w:tcW w:w="81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青岛</w:t>
            </w:r>
          </w:p>
        </w:tc>
        <w:tc>
          <w:tcPr>
            <w:tcW w:w="131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青岛市市北区</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制造业</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51.00%</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20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设立</w:t>
            </w:r>
          </w:p>
        </w:tc>
      </w:tr>
      <w:tr w:rsidR="00157EA0" w:rsidTr="0010486D">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朗控清洁</w:t>
            </w:r>
            <w:proofErr w:type="gramEnd"/>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5,000,000.00</w:t>
            </w:r>
          </w:p>
        </w:tc>
        <w:tc>
          <w:tcPr>
            <w:tcW w:w="81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青岛</w:t>
            </w:r>
          </w:p>
        </w:tc>
        <w:tc>
          <w:tcPr>
            <w:tcW w:w="131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青岛市崂山区</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制造业</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20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设立</w:t>
            </w:r>
          </w:p>
        </w:tc>
      </w:tr>
      <w:tr w:rsidR="00157EA0" w:rsidTr="0010486D">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青岛</w:t>
            </w:r>
            <w:proofErr w:type="gramStart"/>
            <w:r>
              <w:rPr>
                <w:rFonts w:ascii="宋体" w:eastAsia="宋体" w:hAnsi="宋体" w:cs="宋体"/>
                <w:sz w:val="18"/>
                <w:szCs w:val="18"/>
              </w:rPr>
              <w:t>睿</w:t>
            </w:r>
            <w:proofErr w:type="gramEnd"/>
            <w:r>
              <w:rPr>
                <w:rFonts w:ascii="宋体" w:eastAsia="宋体" w:hAnsi="宋体" w:cs="宋体"/>
                <w:sz w:val="18"/>
                <w:szCs w:val="18"/>
              </w:rPr>
              <w:t>诚</w:t>
            </w: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1,980,000.00</w:t>
            </w:r>
          </w:p>
        </w:tc>
        <w:tc>
          <w:tcPr>
            <w:tcW w:w="81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青岛</w:t>
            </w:r>
          </w:p>
        </w:tc>
        <w:tc>
          <w:tcPr>
            <w:tcW w:w="131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青岛市市北区</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制造业</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20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非同</w:t>
            </w:r>
            <w:proofErr w:type="gramStart"/>
            <w:r>
              <w:rPr>
                <w:rFonts w:ascii="宋体" w:eastAsia="宋体" w:hAnsi="宋体" w:cs="宋体"/>
                <w:sz w:val="18"/>
                <w:szCs w:val="18"/>
              </w:rPr>
              <w:t>一控制</w:t>
            </w:r>
            <w:proofErr w:type="gramEnd"/>
            <w:r>
              <w:rPr>
                <w:rFonts w:ascii="宋体" w:eastAsia="宋体" w:hAnsi="宋体" w:cs="宋体"/>
                <w:sz w:val="18"/>
                <w:szCs w:val="18"/>
              </w:rPr>
              <w:t>下企业合并</w:t>
            </w:r>
          </w:p>
        </w:tc>
      </w:tr>
      <w:tr w:rsidR="00157EA0" w:rsidTr="0010486D">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优尼斯通</w:t>
            </w: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30,000,000.00</w:t>
            </w:r>
          </w:p>
        </w:tc>
        <w:tc>
          <w:tcPr>
            <w:tcW w:w="81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青岛</w:t>
            </w:r>
          </w:p>
        </w:tc>
        <w:tc>
          <w:tcPr>
            <w:tcW w:w="131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青岛市市北区</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制造业</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20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设立</w:t>
            </w:r>
          </w:p>
        </w:tc>
      </w:tr>
      <w:tr w:rsidR="00157EA0" w:rsidTr="0010486D">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智控零碳</w:t>
            </w:r>
            <w:proofErr w:type="gramEnd"/>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10,000,000.00</w:t>
            </w:r>
          </w:p>
        </w:tc>
        <w:tc>
          <w:tcPr>
            <w:tcW w:w="81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青岛</w:t>
            </w:r>
          </w:p>
        </w:tc>
        <w:tc>
          <w:tcPr>
            <w:tcW w:w="131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青岛市市北区</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制造业</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20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设立</w:t>
            </w:r>
          </w:p>
        </w:tc>
      </w:tr>
      <w:tr w:rsidR="00157EA0" w:rsidTr="0010486D">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华控赛</w:t>
            </w:r>
            <w:proofErr w:type="gramEnd"/>
            <w:r>
              <w:rPr>
                <w:rFonts w:ascii="宋体" w:eastAsia="宋体" w:hAnsi="宋体" w:cs="宋体"/>
                <w:sz w:val="18"/>
                <w:szCs w:val="18"/>
              </w:rPr>
              <w:t>联</w:t>
            </w: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10,000,000.00</w:t>
            </w:r>
          </w:p>
        </w:tc>
        <w:tc>
          <w:tcPr>
            <w:tcW w:w="81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青岛</w:t>
            </w:r>
          </w:p>
        </w:tc>
        <w:tc>
          <w:tcPr>
            <w:tcW w:w="131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青岛市市北区</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制造业</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20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设立</w:t>
            </w:r>
          </w:p>
        </w:tc>
      </w:tr>
      <w:tr w:rsidR="00157EA0" w:rsidTr="0010486D">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菏泽智控</w:t>
            </w:r>
            <w:proofErr w:type="gramEnd"/>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5,000,000.00</w:t>
            </w:r>
          </w:p>
        </w:tc>
        <w:tc>
          <w:tcPr>
            <w:tcW w:w="81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菏泽</w:t>
            </w:r>
          </w:p>
        </w:tc>
        <w:tc>
          <w:tcPr>
            <w:tcW w:w="131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菏泽市东明县</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制造业</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20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设立</w:t>
            </w:r>
          </w:p>
        </w:tc>
      </w:tr>
      <w:tr w:rsidR="00157EA0" w:rsidTr="0010486D">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德州智控</w:t>
            </w:r>
            <w:proofErr w:type="gramEnd"/>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13,000,000.00</w:t>
            </w:r>
          </w:p>
        </w:tc>
        <w:tc>
          <w:tcPr>
            <w:tcW w:w="81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德州</w:t>
            </w:r>
          </w:p>
        </w:tc>
        <w:tc>
          <w:tcPr>
            <w:tcW w:w="131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德州市平原县</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制造业</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20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设立</w:t>
            </w:r>
          </w:p>
        </w:tc>
      </w:tr>
      <w:tr w:rsidR="00157EA0" w:rsidTr="0010486D">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614C8D">
            <w:pPr>
              <w:spacing w:line="240" w:lineRule="exact"/>
              <w:rPr>
                <w:rFonts w:ascii="宋体" w:eastAsia="宋体" w:hAnsi="宋体" w:cs="宋体"/>
                <w:sz w:val="18"/>
                <w:szCs w:val="18"/>
              </w:rPr>
            </w:pPr>
            <w:r>
              <w:rPr>
                <w:rFonts w:ascii="宋体" w:eastAsia="宋体" w:hAnsi="宋体" w:cs="宋体" w:hint="eastAsia"/>
                <w:sz w:val="18"/>
                <w:szCs w:val="18"/>
              </w:rPr>
              <w:t>华中能源</w:t>
            </w: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10,518,012.17</w:t>
            </w:r>
          </w:p>
        </w:tc>
        <w:tc>
          <w:tcPr>
            <w:tcW w:w="81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柬埔寨</w:t>
            </w:r>
          </w:p>
        </w:tc>
        <w:tc>
          <w:tcPr>
            <w:tcW w:w="131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柬埔寨桔井省</w:t>
            </w:r>
            <w:r>
              <w:rPr>
                <w:rFonts w:ascii="宋体" w:eastAsia="宋体" w:hAnsi="宋体" w:cs="宋体"/>
                <w:sz w:val="18"/>
                <w:szCs w:val="18"/>
              </w:rPr>
              <w:lastRenderedPageBreak/>
              <w:t>斯努县</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lastRenderedPageBreak/>
              <w:t>制造业</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70.00%</w:t>
            </w:r>
          </w:p>
        </w:tc>
        <w:tc>
          <w:tcPr>
            <w:tcW w:w="20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设立</w:t>
            </w:r>
          </w:p>
        </w:tc>
      </w:tr>
      <w:tr w:rsidR="00157EA0" w:rsidTr="0010486D">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lastRenderedPageBreak/>
              <w:t>抚顺伊科思</w:t>
            </w: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200,000,000.00</w:t>
            </w:r>
          </w:p>
        </w:tc>
        <w:tc>
          <w:tcPr>
            <w:tcW w:w="81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抚顺</w:t>
            </w:r>
          </w:p>
        </w:tc>
        <w:tc>
          <w:tcPr>
            <w:tcW w:w="131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抚顺市东洲区</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制造业</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20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非同</w:t>
            </w:r>
            <w:proofErr w:type="gramStart"/>
            <w:r>
              <w:rPr>
                <w:rFonts w:ascii="宋体" w:eastAsia="宋体" w:hAnsi="宋体" w:cs="宋体"/>
                <w:sz w:val="18"/>
                <w:szCs w:val="18"/>
              </w:rPr>
              <w:t>一控制</w:t>
            </w:r>
            <w:proofErr w:type="gramEnd"/>
            <w:r>
              <w:rPr>
                <w:rFonts w:ascii="宋体" w:eastAsia="宋体" w:hAnsi="宋体" w:cs="宋体"/>
                <w:sz w:val="18"/>
                <w:szCs w:val="18"/>
              </w:rPr>
              <w:t>下企业合并</w:t>
            </w:r>
          </w:p>
        </w:tc>
      </w:tr>
      <w:tr w:rsidR="00157EA0" w:rsidTr="0010486D">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盘锦伊科思</w:t>
            </w: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420,000,000.00</w:t>
            </w:r>
          </w:p>
        </w:tc>
        <w:tc>
          <w:tcPr>
            <w:tcW w:w="81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盘锦</w:t>
            </w:r>
          </w:p>
        </w:tc>
        <w:tc>
          <w:tcPr>
            <w:tcW w:w="131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盘锦市辽东湾新区</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制造业</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20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设立</w:t>
            </w:r>
          </w:p>
        </w:tc>
      </w:tr>
      <w:tr w:rsidR="00157EA0" w:rsidTr="0010486D">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益</w:t>
            </w:r>
            <w:proofErr w:type="gramStart"/>
            <w:r>
              <w:rPr>
                <w:rFonts w:ascii="宋体" w:eastAsia="宋体" w:hAnsi="宋体" w:cs="宋体"/>
                <w:sz w:val="18"/>
                <w:szCs w:val="18"/>
              </w:rPr>
              <w:t>凯</w:t>
            </w:r>
            <w:proofErr w:type="gramEnd"/>
            <w:r>
              <w:rPr>
                <w:rFonts w:ascii="宋体" w:eastAsia="宋体" w:hAnsi="宋体" w:cs="宋体"/>
                <w:sz w:val="18"/>
                <w:szCs w:val="18"/>
              </w:rPr>
              <w:t>新材料</w:t>
            </w: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276,200,000.00</w:t>
            </w:r>
          </w:p>
        </w:tc>
        <w:tc>
          <w:tcPr>
            <w:tcW w:w="81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青岛</w:t>
            </w:r>
          </w:p>
        </w:tc>
        <w:tc>
          <w:tcPr>
            <w:tcW w:w="131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青岛市黄岛区</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制造业</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64.52%</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20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设立</w:t>
            </w:r>
          </w:p>
        </w:tc>
      </w:tr>
      <w:tr w:rsidR="00157EA0" w:rsidTr="0010486D">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软控诸暨</w:t>
            </w:r>
            <w:proofErr w:type="gramEnd"/>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98,022,494.00</w:t>
            </w:r>
          </w:p>
        </w:tc>
        <w:tc>
          <w:tcPr>
            <w:tcW w:w="81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绍兴</w:t>
            </w:r>
          </w:p>
        </w:tc>
        <w:tc>
          <w:tcPr>
            <w:tcW w:w="131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绍兴市诸暨市</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制造业</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20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设立</w:t>
            </w:r>
          </w:p>
        </w:tc>
      </w:tr>
      <w:tr w:rsidR="00157EA0" w:rsidTr="0010486D">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软控科技</w:t>
            </w:r>
            <w:proofErr w:type="gramEnd"/>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50,000,000.00</w:t>
            </w:r>
          </w:p>
        </w:tc>
        <w:tc>
          <w:tcPr>
            <w:tcW w:w="81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绍兴</w:t>
            </w:r>
          </w:p>
        </w:tc>
        <w:tc>
          <w:tcPr>
            <w:tcW w:w="131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绍兴市诸暨市</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制造业</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60.00%</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20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设立</w:t>
            </w:r>
          </w:p>
        </w:tc>
      </w:tr>
      <w:tr w:rsidR="00157EA0" w:rsidTr="0010486D">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软控欧研</w:t>
            </w:r>
            <w:proofErr w:type="gramEnd"/>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101,429.00</w:t>
            </w:r>
          </w:p>
        </w:tc>
        <w:tc>
          <w:tcPr>
            <w:tcW w:w="81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斯洛伐克杜布尼萨市</w:t>
            </w:r>
          </w:p>
        </w:tc>
        <w:tc>
          <w:tcPr>
            <w:tcW w:w="131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斯洛伐克杜布尼萨市</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制造业</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20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设立</w:t>
            </w:r>
          </w:p>
        </w:tc>
      </w:tr>
      <w:tr w:rsidR="00157EA0" w:rsidTr="0010486D">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软控（美洲）</w:t>
            </w: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63.59</w:t>
            </w:r>
          </w:p>
        </w:tc>
        <w:tc>
          <w:tcPr>
            <w:tcW w:w="81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美国特拉华州</w:t>
            </w:r>
          </w:p>
        </w:tc>
        <w:tc>
          <w:tcPr>
            <w:tcW w:w="131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美国特拉华州</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制造业</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20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设立</w:t>
            </w:r>
          </w:p>
        </w:tc>
      </w:tr>
      <w:tr w:rsidR="00157EA0" w:rsidTr="0010486D">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WYKO</w:t>
            </w: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40,061,636.41</w:t>
            </w:r>
          </w:p>
        </w:tc>
        <w:tc>
          <w:tcPr>
            <w:tcW w:w="81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英国西米德兰兹郡</w:t>
            </w:r>
          </w:p>
        </w:tc>
        <w:tc>
          <w:tcPr>
            <w:tcW w:w="131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英国西米德兰兹郡</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制造业</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20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设立</w:t>
            </w:r>
          </w:p>
        </w:tc>
      </w:tr>
      <w:tr w:rsidR="00157EA0" w:rsidTr="0010486D">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Davian</w:t>
            </w: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63.59</w:t>
            </w:r>
          </w:p>
        </w:tc>
        <w:tc>
          <w:tcPr>
            <w:tcW w:w="81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美国田纳西州</w:t>
            </w:r>
          </w:p>
        </w:tc>
        <w:tc>
          <w:tcPr>
            <w:tcW w:w="131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美国田纳西州</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制造业</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20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非同</w:t>
            </w:r>
            <w:proofErr w:type="gramStart"/>
            <w:r>
              <w:rPr>
                <w:rFonts w:ascii="宋体" w:eastAsia="宋体" w:hAnsi="宋体" w:cs="宋体"/>
                <w:sz w:val="18"/>
                <w:szCs w:val="18"/>
              </w:rPr>
              <w:t>一控制</w:t>
            </w:r>
            <w:proofErr w:type="gramEnd"/>
            <w:r>
              <w:rPr>
                <w:rFonts w:ascii="宋体" w:eastAsia="宋体" w:hAnsi="宋体" w:cs="宋体"/>
                <w:sz w:val="18"/>
                <w:szCs w:val="18"/>
              </w:rPr>
              <w:t>下企业合并</w:t>
            </w:r>
          </w:p>
        </w:tc>
      </w:tr>
      <w:tr w:rsidR="00157EA0" w:rsidTr="0010486D">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青岛云纵</w:t>
            </w:r>
            <w:proofErr w:type="gramEnd"/>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1,000,000.00</w:t>
            </w:r>
          </w:p>
        </w:tc>
        <w:tc>
          <w:tcPr>
            <w:tcW w:w="81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青岛</w:t>
            </w:r>
          </w:p>
        </w:tc>
        <w:tc>
          <w:tcPr>
            <w:tcW w:w="131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青岛市市北区</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制造业</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20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设立</w:t>
            </w:r>
          </w:p>
        </w:tc>
      </w:tr>
      <w:tr w:rsidR="00157EA0" w:rsidTr="0010486D">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浙江叁</w:t>
            </w:r>
            <w:proofErr w:type="gramStart"/>
            <w:r>
              <w:rPr>
                <w:rFonts w:ascii="宋体" w:eastAsia="宋体" w:hAnsi="宋体" w:cs="宋体"/>
                <w:sz w:val="18"/>
                <w:szCs w:val="18"/>
              </w:rPr>
              <w:t>晟</w:t>
            </w:r>
            <w:proofErr w:type="gramEnd"/>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50,000,000.00</w:t>
            </w:r>
          </w:p>
        </w:tc>
        <w:tc>
          <w:tcPr>
            <w:tcW w:w="81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绍兴</w:t>
            </w:r>
          </w:p>
        </w:tc>
        <w:tc>
          <w:tcPr>
            <w:tcW w:w="131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绍兴市诸暨市</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服务业</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20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设立</w:t>
            </w:r>
          </w:p>
        </w:tc>
      </w:tr>
    </w:tbl>
    <w:p w:rsidR="00BA0365" w:rsidRDefault="008D4B2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p w:rsidR="00BA0365" w:rsidRDefault="008D4B2E">
      <w:pPr>
        <w:keepNext/>
        <w:keepLines/>
        <w:spacing w:before="300" w:after="300" w:line="280" w:lineRule="exact"/>
        <w:outlineLvl w:val="3"/>
        <w:rPr>
          <w:rFonts w:ascii="宋体" w:eastAsia="宋体" w:hAnsi="宋体" w:cs="宋体"/>
          <w:b/>
          <w:bCs/>
          <w:sz w:val="18"/>
          <w:szCs w:val="18"/>
        </w:rPr>
      </w:pPr>
      <w:bookmarkStart w:id="359" w:name="_Toc989253"/>
      <w:r>
        <w:rPr>
          <w:rFonts w:ascii="宋体" w:eastAsia="宋体" w:hAnsi="宋体" w:cs="宋体"/>
          <w:b/>
          <w:bCs/>
          <w:sz w:val="18"/>
          <w:szCs w:val="18"/>
        </w:rPr>
        <w:t>（2） 重要的非全资子公司</w:t>
      </w:r>
      <w:bookmarkEnd w:id="359"/>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1927"/>
        <w:gridCol w:w="1928"/>
        <w:gridCol w:w="1928"/>
        <w:gridCol w:w="1928"/>
        <w:gridCol w:w="1928"/>
      </w:tblGrid>
      <w:tr w:rsidR="00157EA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子公司名称</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少数股东持股比例</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本期归属于少数股东的损益</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本期向少数股东宣告分派的股利</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期末少数股东权益余额</w:t>
            </w:r>
          </w:p>
        </w:tc>
      </w:tr>
      <w:tr w:rsidR="00157EA0">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华控能源</w:t>
            </w:r>
            <w:proofErr w:type="gramEnd"/>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49.00%</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16,604,459.74</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65,319,126.26</w:t>
            </w:r>
          </w:p>
        </w:tc>
      </w:tr>
      <w:tr w:rsidR="00157EA0">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益</w:t>
            </w:r>
            <w:proofErr w:type="gramStart"/>
            <w:r>
              <w:rPr>
                <w:rFonts w:ascii="宋体" w:eastAsia="宋体" w:hAnsi="宋体" w:cs="宋体"/>
                <w:sz w:val="18"/>
                <w:szCs w:val="18"/>
              </w:rPr>
              <w:t>凯</w:t>
            </w:r>
            <w:proofErr w:type="gramEnd"/>
            <w:r>
              <w:rPr>
                <w:rFonts w:ascii="宋体" w:eastAsia="宋体" w:hAnsi="宋体" w:cs="宋体"/>
                <w:sz w:val="18"/>
                <w:szCs w:val="18"/>
              </w:rPr>
              <w:t>新材料</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35.48%</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12,278,717.91</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117,795,372.92</w:t>
            </w:r>
          </w:p>
        </w:tc>
      </w:tr>
      <w:tr w:rsidR="00157EA0">
        <w:trPr>
          <w:trHeight w:val="240"/>
        </w:trPr>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软控科技</w:t>
            </w:r>
            <w:proofErr w:type="gramEnd"/>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40.00%</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29,601,650.25</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49,304,084.27</w:t>
            </w:r>
          </w:p>
        </w:tc>
      </w:tr>
    </w:tbl>
    <w:p w:rsidR="00BA0365" w:rsidRDefault="008D4B2E">
      <w:pPr>
        <w:keepNext/>
        <w:keepLines/>
        <w:spacing w:before="300" w:after="300" w:line="280" w:lineRule="exact"/>
        <w:outlineLvl w:val="3"/>
        <w:rPr>
          <w:rFonts w:ascii="宋体" w:eastAsia="宋体" w:hAnsi="宋体" w:cs="宋体"/>
          <w:b/>
          <w:bCs/>
          <w:sz w:val="18"/>
          <w:szCs w:val="18"/>
        </w:rPr>
      </w:pPr>
      <w:bookmarkStart w:id="360" w:name="_Toc989254"/>
      <w:r>
        <w:rPr>
          <w:rFonts w:ascii="宋体" w:eastAsia="宋体" w:hAnsi="宋体" w:cs="宋体"/>
          <w:b/>
          <w:bCs/>
          <w:sz w:val="18"/>
          <w:szCs w:val="18"/>
        </w:rPr>
        <w:t>（3） 重要非全资子公司的主要财务信息</w:t>
      </w:r>
      <w:bookmarkEnd w:id="360"/>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741"/>
        <w:gridCol w:w="741"/>
        <w:gridCol w:w="741"/>
        <w:gridCol w:w="741"/>
        <w:gridCol w:w="741"/>
        <w:gridCol w:w="741"/>
        <w:gridCol w:w="744"/>
        <w:gridCol w:w="741"/>
        <w:gridCol w:w="741"/>
        <w:gridCol w:w="741"/>
        <w:gridCol w:w="741"/>
        <w:gridCol w:w="741"/>
        <w:gridCol w:w="744"/>
      </w:tblGrid>
      <w:tr w:rsidR="00157EA0">
        <w:trPr>
          <w:trHeight w:val="240"/>
        </w:trPr>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子公司名称</w:t>
            </w:r>
          </w:p>
        </w:tc>
        <w:tc>
          <w:tcPr>
            <w:tcW w:w="444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44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57EA0">
        <w:trPr>
          <w:trHeight w:val="240"/>
        </w:trPr>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流动资产</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非流动资产</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资产合计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流动负债</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非流动负债</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负债合计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流动资产</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非流动资产</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资产合计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流动负债</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非流动负债</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负债合计</w:t>
            </w: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华控能源</w:t>
            </w:r>
            <w:proofErr w:type="gramEnd"/>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298,947,312.01</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126,267,144.22</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425,214,456.23</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260,223,419.84</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25,152,058.21</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285,375,478.05</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248,382,204.94</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128,290,040.19</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376,672,245.13</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262,584,615.96</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10,465,466.00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273,050,081.96</w:t>
            </w: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益</w:t>
            </w:r>
            <w:proofErr w:type="gramStart"/>
            <w:r>
              <w:rPr>
                <w:rFonts w:ascii="宋体" w:eastAsia="宋体" w:hAnsi="宋体" w:cs="宋体"/>
                <w:sz w:val="18"/>
                <w:szCs w:val="18"/>
              </w:rPr>
              <w:t>凯</w:t>
            </w:r>
            <w:proofErr w:type="gramEnd"/>
            <w:r>
              <w:rPr>
                <w:rFonts w:ascii="宋体" w:eastAsia="宋体" w:hAnsi="宋体" w:cs="宋体"/>
                <w:sz w:val="18"/>
                <w:szCs w:val="18"/>
              </w:rPr>
              <w:t>新材料</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502,593,991.17</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1,464,198,630.74</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1,966,792,621.91</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826,383,900.23</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788,657,840.73</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1,615,041,740.96</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369,146,435.54</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1,594,768,052.83</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1,963,914,488.37</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875,496,859.95</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782,141,134.24</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1,657,637,994.19</w:t>
            </w: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软控科技</w:t>
            </w:r>
            <w:proofErr w:type="gramEnd"/>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1,694,984,106.77</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30,122,072.00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1,725,106,178.77</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1,587,973,761.68</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14,952,260.51</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1,602,926,022.19</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981,372,244.72</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14,732,098.81</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996,104,343.53</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945,648,734.37</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5,398,243.37</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951,046,977.74</w:t>
            </w:r>
          </w:p>
        </w:tc>
      </w:tr>
    </w:tbl>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1071"/>
        <w:gridCol w:w="1071"/>
        <w:gridCol w:w="1071"/>
        <w:gridCol w:w="1071"/>
        <w:gridCol w:w="1071"/>
        <w:gridCol w:w="1071"/>
        <w:gridCol w:w="1071"/>
        <w:gridCol w:w="1071"/>
        <w:gridCol w:w="1071"/>
      </w:tblGrid>
      <w:tr w:rsidR="00157EA0">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子公司名称</w:t>
            </w:r>
          </w:p>
        </w:tc>
        <w:tc>
          <w:tcPr>
            <w:tcW w:w="4284"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4284"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157EA0">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净利润</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综合收益总额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经营活动现金流量</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净利润</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综合收益总额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经营活动现金流量</w:t>
            </w:r>
          </w:p>
        </w:tc>
      </w:tr>
      <w:tr w:rsidR="00157EA0">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华控能源</w:t>
            </w:r>
            <w:proofErr w:type="gramEnd"/>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160,411,9</w:t>
            </w:r>
            <w:r>
              <w:rPr>
                <w:rFonts w:ascii="宋体" w:eastAsia="宋体" w:hAnsi="宋体" w:cs="宋体"/>
                <w:sz w:val="18"/>
                <w:szCs w:val="18"/>
              </w:rPr>
              <w:lastRenderedPageBreak/>
              <w:t>86.93</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lastRenderedPageBreak/>
              <w:t>33,826,26</w:t>
            </w:r>
            <w:r>
              <w:rPr>
                <w:rFonts w:ascii="宋体" w:eastAsia="宋体" w:hAnsi="宋体" w:cs="宋体"/>
                <w:sz w:val="18"/>
                <w:szCs w:val="18"/>
              </w:rPr>
              <w:lastRenderedPageBreak/>
              <w:t>1.17</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lastRenderedPageBreak/>
              <w:t>33,691,99</w:t>
            </w:r>
            <w:r>
              <w:rPr>
                <w:rFonts w:ascii="宋体" w:eastAsia="宋体" w:hAnsi="宋体" w:cs="宋体"/>
                <w:sz w:val="18"/>
                <w:szCs w:val="18"/>
              </w:rPr>
              <w:lastRenderedPageBreak/>
              <w:t>0.26</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lastRenderedPageBreak/>
              <w:t>32,672,80</w:t>
            </w:r>
            <w:r>
              <w:rPr>
                <w:rFonts w:ascii="宋体" w:eastAsia="宋体" w:hAnsi="宋体" w:cs="宋体"/>
                <w:sz w:val="18"/>
                <w:szCs w:val="18"/>
              </w:rPr>
              <w:lastRenderedPageBreak/>
              <w:t>8.04</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lastRenderedPageBreak/>
              <w:t>147,315,9</w:t>
            </w:r>
            <w:r>
              <w:rPr>
                <w:rFonts w:ascii="宋体" w:eastAsia="宋体" w:hAnsi="宋体" w:cs="宋体"/>
                <w:sz w:val="18"/>
                <w:szCs w:val="18"/>
              </w:rPr>
              <w:lastRenderedPageBreak/>
              <w:t>25.51</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lastRenderedPageBreak/>
              <w:t>19,173,20</w:t>
            </w:r>
            <w:r>
              <w:rPr>
                <w:rFonts w:ascii="宋体" w:eastAsia="宋体" w:hAnsi="宋体" w:cs="宋体"/>
                <w:sz w:val="18"/>
                <w:szCs w:val="18"/>
              </w:rPr>
              <w:lastRenderedPageBreak/>
              <w:t>9.37</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lastRenderedPageBreak/>
              <w:t>19,173,20</w:t>
            </w:r>
            <w:r>
              <w:rPr>
                <w:rFonts w:ascii="宋体" w:eastAsia="宋体" w:hAnsi="宋体" w:cs="宋体"/>
                <w:sz w:val="18"/>
                <w:szCs w:val="18"/>
              </w:rPr>
              <w:lastRenderedPageBreak/>
              <w:t>9.37</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lastRenderedPageBreak/>
              <w:t>38,143,53</w:t>
            </w:r>
            <w:r>
              <w:rPr>
                <w:rFonts w:ascii="宋体" w:eastAsia="宋体" w:hAnsi="宋体" w:cs="宋体"/>
                <w:sz w:val="18"/>
                <w:szCs w:val="18"/>
              </w:rPr>
              <w:lastRenderedPageBreak/>
              <w:t>3.56</w:t>
            </w:r>
          </w:p>
        </w:tc>
      </w:tr>
      <w:tr w:rsidR="00157EA0">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lastRenderedPageBreak/>
              <w:t>益</w:t>
            </w:r>
            <w:proofErr w:type="gramStart"/>
            <w:r>
              <w:rPr>
                <w:rFonts w:ascii="宋体" w:eastAsia="宋体" w:hAnsi="宋体" w:cs="宋体"/>
                <w:sz w:val="18"/>
                <w:szCs w:val="18"/>
              </w:rPr>
              <w:t>凯</w:t>
            </w:r>
            <w:proofErr w:type="gramEnd"/>
            <w:r>
              <w:rPr>
                <w:rFonts w:ascii="宋体" w:eastAsia="宋体" w:hAnsi="宋体" w:cs="宋体"/>
                <w:sz w:val="18"/>
                <w:szCs w:val="18"/>
              </w:rPr>
              <w:t>新材料</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991,373,045.69</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34,607,434.93</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34,607,434.93</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225,745,766.20</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533,026,212.88</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2,347,115.79</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2,347,115.79</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100,941,388.98</w:t>
            </w:r>
          </w:p>
        </w:tc>
      </w:tr>
      <w:tr w:rsidR="00157EA0">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软控科技</w:t>
            </w:r>
            <w:proofErr w:type="gramEnd"/>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555,463,047.90</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74,004,125.62</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74,004,125.62</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160,213,428.82</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235,145,323.99</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32,202,709.31</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32,202,709.31</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40,937,274.49</w:t>
            </w:r>
          </w:p>
        </w:tc>
      </w:tr>
    </w:tbl>
    <w:p w:rsidR="00BA0365" w:rsidRDefault="008D4B2E">
      <w:pPr>
        <w:pStyle w:val="3"/>
        <w:spacing w:line="280" w:lineRule="exact"/>
        <w:jc w:val="left"/>
        <w:rPr>
          <w:rFonts w:ascii="宋体" w:hAnsi="宋体" w:cs="宋体"/>
          <w:b/>
          <w:bCs/>
        </w:rPr>
      </w:pPr>
      <w:bookmarkStart w:id="361" w:name="_Toc989257"/>
      <w:r>
        <w:rPr>
          <w:rFonts w:ascii="宋体" w:hAnsi="宋体" w:cs="宋体"/>
          <w:b/>
          <w:bCs/>
        </w:rPr>
        <w:t>2、在子公司的所有者权益份额发生变化且仍控制子公司的交易</w:t>
      </w:r>
      <w:bookmarkEnd w:id="361"/>
    </w:p>
    <w:p w:rsidR="00BA0365" w:rsidRDefault="008D4B2E" w:rsidP="00B87081">
      <w:pPr>
        <w:keepNext/>
        <w:keepLines/>
        <w:spacing w:before="300" w:after="300"/>
        <w:outlineLvl w:val="3"/>
        <w:rPr>
          <w:rFonts w:ascii="宋体" w:eastAsia="宋体" w:hAnsi="宋体" w:cs="宋体"/>
          <w:b/>
          <w:bCs/>
          <w:sz w:val="18"/>
          <w:szCs w:val="18"/>
        </w:rPr>
      </w:pPr>
      <w:bookmarkStart w:id="362" w:name="_Toc989258"/>
      <w:r>
        <w:rPr>
          <w:rFonts w:ascii="宋体" w:eastAsia="宋体" w:hAnsi="宋体" w:cs="宋体"/>
          <w:b/>
          <w:bCs/>
          <w:sz w:val="18"/>
          <w:szCs w:val="18"/>
        </w:rPr>
        <w:t>（1） 在子公司所有者权益份额发生变化的情况说明</w:t>
      </w:r>
      <w:bookmarkEnd w:id="362"/>
    </w:p>
    <w:p w:rsidR="008D4B2E" w:rsidRDefault="008D4B2E" w:rsidP="00B87081">
      <w:pPr>
        <w:pStyle w:val="a3"/>
        <w:ind w:firstLineChars="200" w:firstLine="360"/>
        <w:divId w:val="825167658"/>
        <w:rPr>
          <w:sz w:val="18"/>
          <w:szCs w:val="18"/>
        </w:rPr>
      </w:pPr>
      <w:r>
        <w:rPr>
          <w:rFonts w:hint="eastAsia"/>
          <w:sz w:val="18"/>
          <w:szCs w:val="18"/>
        </w:rPr>
        <w:t>公司于2023年12月2日发布公告《关于购买控股子公司股权的公告》，决议购买软控（诸暨）全部少数股东权益，本次购买的股份比例为48.9913%，购买后公司持有软控（诸暨）100%股权。</w:t>
      </w:r>
    </w:p>
    <w:p w:rsidR="00BA0365" w:rsidRDefault="008D4B2E">
      <w:pPr>
        <w:keepNext/>
        <w:keepLines/>
        <w:spacing w:before="300" w:after="300" w:line="280" w:lineRule="exact"/>
        <w:outlineLvl w:val="3"/>
        <w:rPr>
          <w:rFonts w:ascii="宋体" w:eastAsia="宋体" w:hAnsi="宋体" w:cs="宋体"/>
          <w:b/>
          <w:bCs/>
          <w:sz w:val="18"/>
          <w:szCs w:val="18"/>
        </w:rPr>
      </w:pPr>
      <w:bookmarkStart w:id="363" w:name="_Toc989259"/>
      <w:r>
        <w:rPr>
          <w:rFonts w:ascii="宋体" w:eastAsia="宋体" w:hAnsi="宋体" w:cs="宋体"/>
          <w:b/>
          <w:bCs/>
          <w:sz w:val="18"/>
          <w:szCs w:val="18"/>
        </w:rPr>
        <w:t>（2） 交易对于少数股东权益及归属于母公司所有者权益的影响</w:t>
      </w:r>
      <w:bookmarkEnd w:id="363"/>
    </w:p>
    <w:p w:rsidR="0010486D" w:rsidRDefault="0010486D">
      <w:pPr>
        <w:keepNext/>
        <w:keepLines/>
        <w:spacing w:before="300" w:after="300" w:line="280" w:lineRule="exact"/>
        <w:outlineLvl w:val="3"/>
        <w:rPr>
          <w:rFonts w:ascii="宋体" w:eastAsia="宋体" w:hAnsi="宋体" w:cs="宋体"/>
          <w:b/>
          <w:bCs/>
          <w:sz w:val="18"/>
          <w:szCs w:val="18"/>
        </w:rPr>
      </w:pPr>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819"/>
      </w:tblGrid>
      <w:tr w:rsidR="00157EA0" w:rsidTr="00152E2B">
        <w:trPr>
          <w:trHeight w:val="240"/>
        </w:trPr>
        <w:tc>
          <w:tcPr>
            <w:tcW w:w="4820" w:type="dxa"/>
            <w:shd w:val="clear" w:color="auto" w:fill="D3D3D3"/>
            <w:vAlign w:val="center"/>
          </w:tcPr>
          <w:p w:rsidR="00BA0365" w:rsidRDefault="00BA0365"/>
        </w:tc>
        <w:tc>
          <w:tcPr>
            <w:tcW w:w="4820" w:type="dxa"/>
            <w:vAlign w:val="center"/>
          </w:tcPr>
          <w:p w:rsidR="00BA0365" w:rsidRDefault="00BA0365">
            <w:pPr>
              <w:spacing w:line="240" w:lineRule="exact"/>
              <w:jc w:val="center"/>
              <w:rPr>
                <w:rFonts w:ascii="宋体" w:eastAsia="宋体" w:hAnsi="宋体" w:cs="宋体"/>
                <w:sz w:val="18"/>
                <w:szCs w:val="18"/>
              </w:rPr>
            </w:pPr>
          </w:p>
        </w:tc>
      </w:tr>
      <w:tr w:rsidR="00157EA0" w:rsidTr="00152E2B">
        <w:trPr>
          <w:trHeight w:val="240"/>
        </w:trPr>
        <w:tc>
          <w:tcPr>
            <w:tcW w:w="4820" w:type="dxa"/>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购买成本/处置对价</w:t>
            </w:r>
          </w:p>
        </w:tc>
        <w:tc>
          <w:tcPr>
            <w:tcW w:w="4820"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192,090,000.00</w:t>
            </w:r>
          </w:p>
        </w:tc>
      </w:tr>
      <w:tr w:rsidR="00157EA0" w:rsidTr="00152E2B">
        <w:trPr>
          <w:trHeight w:val="240"/>
        </w:trPr>
        <w:tc>
          <w:tcPr>
            <w:tcW w:w="4820" w:type="dxa"/>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--现金</w:t>
            </w:r>
          </w:p>
        </w:tc>
        <w:tc>
          <w:tcPr>
            <w:tcW w:w="4820"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192,090,000.00</w:t>
            </w:r>
          </w:p>
        </w:tc>
      </w:tr>
      <w:tr w:rsidR="00157EA0" w:rsidTr="00152E2B">
        <w:trPr>
          <w:trHeight w:val="240"/>
        </w:trPr>
        <w:tc>
          <w:tcPr>
            <w:tcW w:w="4820" w:type="dxa"/>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--非现金资产的公允价值</w:t>
            </w:r>
          </w:p>
        </w:tc>
        <w:tc>
          <w:tcPr>
            <w:tcW w:w="4820" w:type="dxa"/>
            <w:vAlign w:val="center"/>
          </w:tcPr>
          <w:p w:rsidR="00BA0365" w:rsidRDefault="00BA0365">
            <w:pPr>
              <w:spacing w:line="240" w:lineRule="exact"/>
              <w:jc w:val="right"/>
              <w:rPr>
                <w:rFonts w:ascii="宋体" w:eastAsia="宋体" w:hAnsi="宋体" w:cs="宋体"/>
                <w:sz w:val="18"/>
                <w:szCs w:val="18"/>
              </w:rPr>
            </w:pPr>
          </w:p>
        </w:tc>
      </w:tr>
      <w:tr w:rsidR="00157EA0" w:rsidTr="00152E2B">
        <w:trPr>
          <w:trHeight w:val="240"/>
        </w:trPr>
        <w:tc>
          <w:tcPr>
            <w:tcW w:w="4820" w:type="dxa"/>
            <w:vAlign w:val="center"/>
          </w:tcPr>
          <w:p w:rsidR="00BA0365" w:rsidRDefault="00BA0365">
            <w:pPr>
              <w:spacing w:line="240" w:lineRule="exact"/>
              <w:rPr>
                <w:rFonts w:ascii="宋体" w:eastAsia="宋体" w:hAnsi="宋体" w:cs="宋体"/>
                <w:sz w:val="18"/>
                <w:szCs w:val="18"/>
              </w:rPr>
            </w:pPr>
          </w:p>
        </w:tc>
        <w:tc>
          <w:tcPr>
            <w:tcW w:w="4820" w:type="dxa"/>
            <w:vAlign w:val="center"/>
          </w:tcPr>
          <w:p w:rsidR="00BA0365" w:rsidRDefault="00BA0365">
            <w:pPr>
              <w:spacing w:line="240" w:lineRule="exact"/>
              <w:jc w:val="right"/>
              <w:rPr>
                <w:rFonts w:ascii="宋体" w:eastAsia="宋体" w:hAnsi="宋体" w:cs="宋体"/>
                <w:sz w:val="18"/>
                <w:szCs w:val="18"/>
              </w:rPr>
            </w:pPr>
          </w:p>
        </w:tc>
      </w:tr>
      <w:tr w:rsidR="00157EA0" w:rsidTr="00152E2B">
        <w:trPr>
          <w:trHeight w:val="240"/>
        </w:trPr>
        <w:tc>
          <w:tcPr>
            <w:tcW w:w="4820" w:type="dxa"/>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购买成本/处置对价合计</w:t>
            </w:r>
          </w:p>
        </w:tc>
        <w:tc>
          <w:tcPr>
            <w:tcW w:w="4820"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192,090,000.00</w:t>
            </w:r>
          </w:p>
        </w:tc>
      </w:tr>
      <w:tr w:rsidR="00157EA0" w:rsidTr="00152E2B">
        <w:trPr>
          <w:trHeight w:val="240"/>
        </w:trPr>
        <w:tc>
          <w:tcPr>
            <w:tcW w:w="4820" w:type="dxa"/>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减：按取得/处置的股权比例计算的子公司净资产份额</w:t>
            </w:r>
          </w:p>
        </w:tc>
        <w:tc>
          <w:tcPr>
            <w:tcW w:w="4820"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191,450,563.26</w:t>
            </w:r>
          </w:p>
        </w:tc>
      </w:tr>
      <w:tr w:rsidR="00157EA0" w:rsidTr="00152E2B">
        <w:trPr>
          <w:trHeight w:val="240"/>
        </w:trPr>
        <w:tc>
          <w:tcPr>
            <w:tcW w:w="4820" w:type="dxa"/>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差额</w:t>
            </w:r>
          </w:p>
        </w:tc>
        <w:tc>
          <w:tcPr>
            <w:tcW w:w="4820"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639,436.74</w:t>
            </w:r>
          </w:p>
        </w:tc>
      </w:tr>
      <w:tr w:rsidR="00157EA0" w:rsidTr="00152E2B">
        <w:trPr>
          <w:trHeight w:val="240"/>
        </w:trPr>
        <w:tc>
          <w:tcPr>
            <w:tcW w:w="4820" w:type="dxa"/>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其中：调整资本公积</w:t>
            </w:r>
          </w:p>
        </w:tc>
        <w:tc>
          <w:tcPr>
            <w:tcW w:w="4820" w:type="dxa"/>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639,436.74</w:t>
            </w:r>
          </w:p>
        </w:tc>
      </w:tr>
      <w:tr w:rsidR="00157EA0" w:rsidTr="00152E2B">
        <w:trPr>
          <w:trHeight w:val="240"/>
        </w:trPr>
        <w:tc>
          <w:tcPr>
            <w:tcW w:w="4820" w:type="dxa"/>
            <w:shd w:val="clear" w:color="auto" w:fill="D3D3D3"/>
            <w:vAlign w:val="center"/>
          </w:tcPr>
          <w:p w:rsidR="00BA0365" w:rsidRDefault="008D4B2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调整盈余公积</w:t>
            </w:r>
          </w:p>
        </w:tc>
        <w:tc>
          <w:tcPr>
            <w:tcW w:w="4820" w:type="dxa"/>
            <w:vAlign w:val="center"/>
          </w:tcPr>
          <w:p w:rsidR="00BA0365" w:rsidRDefault="00BA0365">
            <w:pPr>
              <w:spacing w:line="240" w:lineRule="exact"/>
              <w:jc w:val="right"/>
              <w:rPr>
                <w:rFonts w:ascii="宋体" w:eastAsia="宋体" w:hAnsi="宋体" w:cs="宋体"/>
                <w:sz w:val="18"/>
                <w:szCs w:val="18"/>
              </w:rPr>
            </w:pPr>
          </w:p>
        </w:tc>
      </w:tr>
      <w:tr w:rsidR="00157EA0" w:rsidTr="00152E2B">
        <w:trPr>
          <w:trHeight w:val="240"/>
        </w:trPr>
        <w:tc>
          <w:tcPr>
            <w:tcW w:w="4820" w:type="dxa"/>
            <w:shd w:val="clear" w:color="auto" w:fill="D3D3D3"/>
            <w:vAlign w:val="center"/>
          </w:tcPr>
          <w:p w:rsidR="00BA0365" w:rsidRDefault="008D4B2E">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调整未分配利润</w:t>
            </w:r>
          </w:p>
        </w:tc>
        <w:tc>
          <w:tcPr>
            <w:tcW w:w="4820" w:type="dxa"/>
            <w:vAlign w:val="center"/>
          </w:tcPr>
          <w:p w:rsidR="00BA0365" w:rsidRDefault="00BA0365">
            <w:pPr>
              <w:spacing w:line="240" w:lineRule="exact"/>
              <w:jc w:val="right"/>
              <w:rPr>
                <w:rFonts w:ascii="宋体" w:eastAsia="宋体" w:hAnsi="宋体" w:cs="宋体"/>
                <w:sz w:val="18"/>
                <w:szCs w:val="18"/>
              </w:rPr>
            </w:pPr>
          </w:p>
        </w:tc>
      </w:tr>
    </w:tbl>
    <w:p w:rsidR="00BA0365" w:rsidRDefault="008D4B2E">
      <w:pPr>
        <w:pStyle w:val="3"/>
        <w:spacing w:line="280" w:lineRule="exact"/>
        <w:jc w:val="left"/>
        <w:rPr>
          <w:rFonts w:ascii="宋体" w:hAnsi="宋体" w:cs="宋体"/>
          <w:b/>
          <w:bCs/>
        </w:rPr>
      </w:pPr>
      <w:bookmarkStart w:id="364" w:name="_Toc989260"/>
      <w:r>
        <w:rPr>
          <w:rFonts w:ascii="宋体" w:hAnsi="宋体" w:cs="宋体"/>
          <w:b/>
          <w:bCs/>
        </w:rPr>
        <w:t>3、在合营安排或联营企业中的权益</w:t>
      </w:r>
      <w:bookmarkEnd w:id="364"/>
    </w:p>
    <w:p w:rsidR="00BA0365" w:rsidRDefault="008D4B2E">
      <w:pPr>
        <w:keepNext/>
        <w:keepLines/>
        <w:spacing w:before="300" w:after="300" w:line="280" w:lineRule="exact"/>
        <w:outlineLvl w:val="3"/>
        <w:rPr>
          <w:rFonts w:ascii="宋体" w:eastAsia="宋体" w:hAnsi="宋体" w:cs="宋体"/>
          <w:b/>
          <w:bCs/>
          <w:szCs w:val="21"/>
        </w:rPr>
      </w:pPr>
      <w:bookmarkStart w:id="365" w:name="_Toc989261"/>
      <w:r>
        <w:rPr>
          <w:rFonts w:ascii="宋体" w:eastAsia="宋体" w:hAnsi="宋体" w:cs="宋体"/>
          <w:b/>
          <w:bCs/>
          <w:szCs w:val="21"/>
        </w:rPr>
        <w:t>（1） 重要的合营企业或联营企业</w:t>
      </w:r>
      <w:bookmarkEnd w:id="365"/>
    </w:p>
    <w:tbl>
      <w:tblPr>
        <w:tblW w:w="9639" w:type="dxa"/>
        <w:tblLayout w:type="fixed"/>
        <w:tblLook w:val="04A0" w:firstRow="1" w:lastRow="0" w:firstColumn="1" w:lastColumn="0" w:noHBand="0" w:noVBand="1"/>
      </w:tblPr>
      <w:tblGrid>
        <w:gridCol w:w="1557"/>
        <w:gridCol w:w="1197"/>
        <w:gridCol w:w="1377"/>
        <w:gridCol w:w="1377"/>
        <w:gridCol w:w="1010"/>
        <w:gridCol w:w="992"/>
        <w:gridCol w:w="2129"/>
      </w:tblGrid>
      <w:tr w:rsidR="00157EA0" w:rsidTr="00152E2B">
        <w:trPr>
          <w:trHeight w:val="240"/>
        </w:trPr>
        <w:tc>
          <w:tcPr>
            <w:tcW w:w="155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合营企业或联营企业名称</w:t>
            </w:r>
          </w:p>
        </w:tc>
        <w:tc>
          <w:tcPr>
            <w:tcW w:w="119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主要经营地</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注册地</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业务性质</w:t>
            </w:r>
          </w:p>
        </w:tc>
        <w:tc>
          <w:tcPr>
            <w:tcW w:w="200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持股比例</w:t>
            </w:r>
          </w:p>
        </w:tc>
        <w:tc>
          <w:tcPr>
            <w:tcW w:w="212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对合营企业或联营企业投资的会计处理方法</w:t>
            </w:r>
          </w:p>
        </w:tc>
      </w:tr>
      <w:tr w:rsidR="00157EA0" w:rsidTr="00152E2B">
        <w:trPr>
          <w:trHeight w:val="240"/>
        </w:trPr>
        <w:tc>
          <w:tcPr>
            <w:tcW w:w="155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19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0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直接</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间接</w:t>
            </w:r>
          </w:p>
        </w:tc>
        <w:tc>
          <w:tcPr>
            <w:tcW w:w="2129"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r w:rsidR="00157EA0" w:rsidTr="00152E2B">
        <w:trPr>
          <w:trHeight w:val="240"/>
        </w:trPr>
        <w:tc>
          <w:tcPr>
            <w:tcW w:w="155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四川凯力威科技股份有限公司</w:t>
            </w:r>
          </w:p>
        </w:tc>
        <w:tc>
          <w:tcPr>
            <w:tcW w:w="119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简阳</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简阳市工业园区</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制造业</w:t>
            </w:r>
          </w:p>
        </w:tc>
        <w:tc>
          <w:tcPr>
            <w:tcW w:w="10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20.00%</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212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权益法</w:t>
            </w:r>
          </w:p>
        </w:tc>
      </w:tr>
      <w:tr w:rsidR="00157EA0" w:rsidTr="00152E2B">
        <w:trPr>
          <w:trHeight w:val="240"/>
        </w:trPr>
        <w:tc>
          <w:tcPr>
            <w:tcW w:w="155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青岛华商汇通控股有限公司</w:t>
            </w:r>
          </w:p>
        </w:tc>
        <w:tc>
          <w:tcPr>
            <w:tcW w:w="119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青岛</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青岛市市北区</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投资</w:t>
            </w:r>
          </w:p>
        </w:tc>
        <w:tc>
          <w:tcPr>
            <w:tcW w:w="10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30.00%</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212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权益法</w:t>
            </w:r>
          </w:p>
        </w:tc>
      </w:tr>
    </w:tbl>
    <w:p w:rsidR="00BA0365" w:rsidRDefault="008D4B2E">
      <w:pPr>
        <w:keepNext/>
        <w:keepLines/>
        <w:spacing w:before="300" w:after="300" w:line="280" w:lineRule="exact"/>
        <w:outlineLvl w:val="3"/>
        <w:rPr>
          <w:rFonts w:ascii="宋体" w:eastAsia="宋体" w:hAnsi="宋体" w:cs="宋体"/>
          <w:b/>
          <w:bCs/>
          <w:szCs w:val="21"/>
        </w:rPr>
      </w:pPr>
      <w:bookmarkStart w:id="366" w:name="_Toc989262"/>
      <w:r>
        <w:rPr>
          <w:rFonts w:ascii="宋体" w:eastAsia="宋体" w:hAnsi="宋体" w:cs="宋体"/>
          <w:b/>
          <w:bCs/>
          <w:szCs w:val="21"/>
        </w:rPr>
        <w:t>（2） 重要联营企业的主要财务信息</w:t>
      </w:r>
      <w:bookmarkEnd w:id="366"/>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6" w:type="dxa"/>
        <w:tblLayout w:type="fixed"/>
        <w:tblLook w:val="04A0" w:firstRow="1" w:lastRow="0" w:firstColumn="1" w:lastColumn="0" w:noHBand="0" w:noVBand="1"/>
      </w:tblPr>
      <w:tblGrid>
        <w:gridCol w:w="3541"/>
        <w:gridCol w:w="1559"/>
        <w:gridCol w:w="1560"/>
        <w:gridCol w:w="1559"/>
        <w:gridCol w:w="1417"/>
      </w:tblGrid>
      <w:tr w:rsidR="00673BAF" w:rsidTr="00673BAF">
        <w:trPr>
          <w:trHeight w:val="240"/>
        </w:trPr>
        <w:tc>
          <w:tcPr>
            <w:tcW w:w="35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673BAF" w:rsidRDefault="00673BAF"/>
        </w:tc>
        <w:tc>
          <w:tcPr>
            <w:tcW w:w="311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673BAF" w:rsidRDefault="00673BAF">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期末余额/本期发生额</w:t>
            </w:r>
          </w:p>
        </w:tc>
        <w:tc>
          <w:tcPr>
            <w:tcW w:w="297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673BAF" w:rsidRDefault="00673BAF">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期初余额/上期发生额</w:t>
            </w:r>
          </w:p>
        </w:tc>
      </w:tr>
      <w:tr w:rsidR="00673BAF" w:rsidRPr="00673BAF" w:rsidTr="00673BAF">
        <w:trPr>
          <w:trHeight w:val="240"/>
        </w:trPr>
        <w:tc>
          <w:tcPr>
            <w:tcW w:w="35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673BAF" w:rsidRDefault="00673BAF"/>
        </w:tc>
        <w:tc>
          <w:tcPr>
            <w:tcW w:w="1559" w:type="dxa"/>
            <w:tcBorders>
              <w:top w:val="single" w:sz="2" w:space="0" w:color="auto"/>
              <w:left w:val="single" w:sz="2" w:space="0" w:color="auto"/>
              <w:bottom w:val="single" w:sz="2" w:space="0" w:color="auto"/>
              <w:right w:val="single" w:sz="2" w:space="0" w:color="auto"/>
            </w:tcBorders>
            <w:vAlign w:val="center"/>
          </w:tcPr>
          <w:p w:rsidR="00673BAF" w:rsidRDefault="00673BAF" w:rsidP="0010486D">
            <w:pPr>
              <w:spacing w:line="240" w:lineRule="exact"/>
              <w:jc w:val="center"/>
              <w:rPr>
                <w:rFonts w:ascii="宋体" w:eastAsia="宋体" w:hAnsi="宋体" w:cs="宋体"/>
                <w:sz w:val="18"/>
                <w:szCs w:val="18"/>
              </w:rPr>
            </w:pPr>
            <w:r>
              <w:rPr>
                <w:rFonts w:ascii="宋体" w:eastAsia="宋体" w:hAnsi="宋体" w:cs="宋体"/>
                <w:sz w:val="18"/>
                <w:szCs w:val="18"/>
              </w:rPr>
              <w:t>四川凯力威科技股份有限公司</w:t>
            </w:r>
          </w:p>
        </w:tc>
        <w:tc>
          <w:tcPr>
            <w:tcW w:w="1560" w:type="dxa"/>
            <w:tcBorders>
              <w:top w:val="single" w:sz="2" w:space="0" w:color="auto"/>
              <w:left w:val="single" w:sz="2" w:space="0" w:color="auto"/>
              <w:bottom w:val="single" w:sz="2" w:space="0" w:color="auto"/>
              <w:right w:val="single" w:sz="2" w:space="0" w:color="auto"/>
            </w:tcBorders>
            <w:vAlign w:val="center"/>
          </w:tcPr>
          <w:p w:rsidR="00673BAF" w:rsidRDefault="00673BAF" w:rsidP="0010486D">
            <w:pPr>
              <w:spacing w:line="240" w:lineRule="exact"/>
              <w:jc w:val="center"/>
              <w:rPr>
                <w:rFonts w:ascii="宋体" w:eastAsia="宋体" w:hAnsi="宋体" w:cs="宋体"/>
                <w:sz w:val="18"/>
                <w:szCs w:val="18"/>
              </w:rPr>
            </w:pPr>
            <w:r>
              <w:rPr>
                <w:rFonts w:ascii="宋体" w:eastAsia="宋体" w:hAnsi="宋体" w:cs="宋体"/>
                <w:sz w:val="18"/>
                <w:szCs w:val="18"/>
              </w:rPr>
              <w:t>青岛华商汇通控股有限公司</w:t>
            </w:r>
          </w:p>
        </w:tc>
        <w:tc>
          <w:tcPr>
            <w:tcW w:w="1559" w:type="dxa"/>
            <w:tcBorders>
              <w:top w:val="single" w:sz="2" w:space="0" w:color="auto"/>
              <w:left w:val="single" w:sz="2" w:space="0" w:color="auto"/>
              <w:bottom w:val="single" w:sz="2" w:space="0" w:color="auto"/>
              <w:right w:val="single" w:sz="2" w:space="0" w:color="auto"/>
            </w:tcBorders>
            <w:vAlign w:val="center"/>
          </w:tcPr>
          <w:p w:rsidR="00673BAF" w:rsidRDefault="00673BAF" w:rsidP="0010486D">
            <w:pPr>
              <w:spacing w:line="240" w:lineRule="exact"/>
              <w:jc w:val="center"/>
              <w:rPr>
                <w:rFonts w:ascii="宋体" w:eastAsia="宋体" w:hAnsi="宋体" w:cs="宋体"/>
                <w:sz w:val="18"/>
                <w:szCs w:val="18"/>
              </w:rPr>
            </w:pPr>
            <w:r>
              <w:rPr>
                <w:rFonts w:ascii="宋体" w:eastAsia="宋体" w:hAnsi="宋体" w:cs="宋体"/>
                <w:sz w:val="18"/>
                <w:szCs w:val="18"/>
              </w:rPr>
              <w:t>四川凯力威科技股份有限公司</w:t>
            </w:r>
          </w:p>
        </w:tc>
        <w:tc>
          <w:tcPr>
            <w:tcW w:w="1417" w:type="dxa"/>
            <w:tcBorders>
              <w:top w:val="single" w:sz="2" w:space="0" w:color="auto"/>
              <w:left w:val="single" w:sz="2" w:space="0" w:color="auto"/>
              <w:bottom w:val="single" w:sz="2" w:space="0" w:color="auto"/>
              <w:right w:val="single" w:sz="2" w:space="0" w:color="auto"/>
            </w:tcBorders>
            <w:vAlign w:val="center"/>
          </w:tcPr>
          <w:p w:rsidR="00673BAF" w:rsidRDefault="00673BAF" w:rsidP="0010486D">
            <w:pPr>
              <w:spacing w:line="240" w:lineRule="exact"/>
              <w:jc w:val="center"/>
              <w:rPr>
                <w:rFonts w:ascii="宋体" w:eastAsia="宋体" w:hAnsi="宋体" w:cs="宋体"/>
                <w:sz w:val="18"/>
                <w:szCs w:val="18"/>
              </w:rPr>
            </w:pPr>
            <w:r>
              <w:rPr>
                <w:rFonts w:ascii="宋体" w:eastAsia="宋体" w:hAnsi="宋体" w:cs="宋体"/>
                <w:sz w:val="18"/>
                <w:szCs w:val="18"/>
              </w:rPr>
              <w:t>青岛华商汇通控股有限公司</w:t>
            </w:r>
          </w:p>
        </w:tc>
      </w:tr>
      <w:tr w:rsidR="00673BAF" w:rsidTr="00673BAF">
        <w:trPr>
          <w:trHeight w:val="240"/>
        </w:trPr>
        <w:tc>
          <w:tcPr>
            <w:tcW w:w="3541" w:type="dxa"/>
            <w:tcBorders>
              <w:top w:val="single" w:sz="2" w:space="0" w:color="auto"/>
              <w:left w:val="single" w:sz="2" w:space="0" w:color="auto"/>
              <w:bottom w:val="single" w:sz="2" w:space="0" w:color="auto"/>
              <w:right w:val="single" w:sz="2" w:space="0" w:color="auto"/>
            </w:tcBorders>
            <w:shd w:val="clear" w:color="auto" w:fill="D3D3D3"/>
            <w:vAlign w:val="center"/>
          </w:tcPr>
          <w:p w:rsidR="00673BAF" w:rsidRDefault="00673BAF">
            <w:pPr>
              <w:spacing w:before="40" w:after="40" w:line="240" w:lineRule="exact"/>
              <w:rPr>
                <w:rFonts w:ascii="宋体" w:eastAsia="宋体" w:hAnsi="宋体" w:cs="宋体"/>
                <w:sz w:val="18"/>
                <w:szCs w:val="18"/>
              </w:rPr>
            </w:pPr>
            <w:r>
              <w:rPr>
                <w:rFonts w:ascii="宋体" w:eastAsia="宋体" w:hAnsi="宋体" w:cs="宋体"/>
                <w:sz w:val="18"/>
                <w:szCs w:val="18"/>
              </w:rPr>
              <w:t>流动资产</w:t>
            </w:r>
          </w:p>
        </w:tc>
        <w:tc>
          <w:tcPr>
            <w:tcW w:w="1559"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r>
              <w:rPr>
                <w:rFonts w:ascii="宋体" w:eastAsia="宋体" w:hAnsi="宋体" w:cs="宋体"/>
                <w:sz w:val="18"/>
                <w:szCs w:val="18"/>
              </w:rPr>
              <w:t>432,004,310.27</w:t>
            </w:r>
          </w:p>
        </w:tc>
        <w:tc>
          <w:tcPr>
            <w:tcW w:w="1560"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r>
              <w:rPr>
                <w:rFonts w:ascii="宋体" w:eastAsia="宋体" w:hAnsi="宋体" w:cs="宋体"/>
                <w:sz w:val="18"/>
                <w:szCs w:val="18"/>
              </w:rPr>
              <w:t>13,104,871.03</w:t>
            </w:r>
          </w:p>
        </w:tc>
        <w:tc>
          <w:tcPr>
            <w:tcW w:w="1559"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r>
              <w:rPr>
                <w:rFonts w:ascii="宋体" w:eastAsia="宋体" w:hAnsi="宋体" w:cs="宋体"/>
                <w:sz w:val="18"/>
                <w:szCs w:val="18"/>
              </w:rPr>
              <w:t>446,432,766.04</w:t>
            </w:r>
          </w:p>
        </w:tc>
        <w:tc>
          <w:tcPr>
            <w:tcW w:w="1417"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r>
              <w:rPr>
                <w:rFonts w:ascii="宋体" w:eastAsia="宋体" w:hAnsi="宋体" w:cs="宋体"/>
                <w:sz w:val="18"/>
                <w:szCs w:val="18"/>
              </w:rPr>
              <w:t>8,413,523.36</w:t>
            </w:r>
          </w:p>
        </w:tc>
      </w:tr>
      <w:tr w:rsidR="00673BAF" w:rsidTr="00673BAF">
        <w:trPr>
          <w:trHeight w:val="240"/>
        </w:trPr>
        <w:tc>
          <w:tcPr>
            <w:tcW w:w="3541" w:type="dxa"/>
            <w:tcBorders>
              <w:top w:val="single" w:sz="2" w:space="0" w:color="auto"/>
              <w:left w:val="single" w:sz="2" w:space="0" w:color="auto"/>
              <w:bottom w:val="single" w:sz="2" w:space="0" w:color="auto"/>
              <w:right w:val="single" w:sz="2" w:space="0" w:color="auto"/>
            </w:tcBorders>
            <w:shd w:val="clear" w:color="auto" w:fill="D3D3D3"/>
            <w:vAlign w:val="center"/>
          </w:tcPr>
          <w:p w:rsidR="00673BAF" w:rsidRDefault="00673BAF">
            <w:pPr>
              <w:spacing w:before="40" w:after="40" w:line="240" w:lineRule="exact"/>
              <w:rPr>
                <w:rFonts w:ascii="宋体" w:eastAsia="宋体" w:hAnsi="宋体" w:cs="宋体"/>
                <w:sz w:val="18"/>
                <w:szCs w:val="18"/>
              </w:rPr>
            </w:pPr>
            <w:r>
              <w:rPr>
                <w:rFonts w:ascii="宋体" w:eastAsia="宋体" w:hAnsi="宋体" w:cs="宋体"/>
                <w:sz w:val="18"/>
                <w:szCs w:val="18"/>
              </w:rPr>
              <w:lastRenderedPageBreak/>
              <w:t>非流动资产</w:t>
            </w:r>
          </w:p>
        </w:tc>
        <w:tc>
          <w:tcPr>
            <w:tcW w:w="1559"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r>
              <w:rPr>
                <w:rFonts w:ascii="宋体" w:eastAsia="宋体" w:hAnsi="宋体" w:cs="宋体"/>
                <w:sz w:val="18"/>
                <w:szCs w:val="18"/>
              </w:rPr>
              <w:t>503,745,303.55</w:t>
            </w:r>
          </w:p>
        </w:tc>
        <w:tc>
          <w:tcPr>
            <w:tcW w:w="1560"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r>
              <w:rPr>
                <w:rFonts w:ascii="宋体" w:eastAsia="宋体" w:hAnsi="宋体" w:cs="宋体"/>
                <w:sz w:val="18"/>
                <w:szCs w:val="18"/>
              </w:rPr>
              <w:t>192,134,391.56</w:t>
            </w:r>
          </w:p>
        </w:tc>
        <w:tc>
          <w:tcPr>
            <w:tcW w:w="1559"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r>
              <w:rPr>
                <w:rFonts w:ascii="宋体" w:eastAsia="宋体" w:hAnsi="宋体" w:cs="宋体"/>
                <w:sz w:val="18"/>
                <w:szCs w:val="18"/>
              </w:rPr>
              <w:t>538,703,106.17</w:t>
            </w:r>
          </w:p>
        </w:tc>
        <w:tc>
          <w:tcPr>
            <w:tcW w:w="1417"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r>
              <w:rPr>
                <w:rFonts w:ascii="宋体" w:eastAsia="宋体" w:hAnsi="宋体" w:cs="宋体"/>
                <w:sz w:val="18"/>
                <w:szCs w:val="18"/>
              </w:rPr>
              <w:t>191,644,264.07</w:t>
            </w:r>
          </w:p>
        </w:tc>
      </w:tr>
      <w:tr w:rsidR="00673BAF" w:rsidTr="00673BAF">
        <w:trPr>
          <w:trHeight w:val="240"/>
        </w:trPr>
        <w:tc>
          <w:tcPr>
            <w:tcW w:w="3541" w:type="dxa"/>
            <w:tcBorders>
              <w:top w:val="single" w:sz="2" w:space="0" w:color="auto"/>
              <w:left w:val="single" w:sz="2" w:space="0" w:color="auto"/>
              <w:bottom w:val="single" w:sz="2" w:space="0" w:color="auto"/>
              <w:right w:val="single" w:sz="2" w:space="0" w:color="auto"/>
            </w:tcBorders>
            <w:shd w:val="clear" w:color="auto" w:fill="D3D3D3"/>
            <w:vAlign w:val="center"/>
          </w:tcPr>
          <w:p w:rsidR="00673BAF" w:rsidRDefault="00673BAF">
            <w:pPr>
              <w:spacing w:before="40" w:after="40" w:line="240" w:lineRule="exact"/>
              <w:rPr>
                <w:rFonts w:ascii="宋体" w:eastAsia="宋体" w:hAnsi="宋体" w:cs="宋体"/>
                <w:sz w:val="18"/>
                <w:szCs w:val="18"/>
              </w:rPr>
            </w:pPr>
            <w:r>
              <w:rPr>
                <w:rFonts w:ascii="宋体" w:eastAsia="宋体" w:hAnsi="宋体" w:cs="宋体"/>
                <w:sz w:val="18"/>
                <w:szCs w:val="18"/>
              </w:rPr>
              <w:t>资产合计</w:t>
            </w:r>
          </w:p>
        </w:tc>
        <w:tc>
          <w:tcPr>
            <w:tcW w:w="1559"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r>
              <w:rPr>
                <w:rFonts w:ascii="宋体" w:eastAsia="宋体" w:hAnsi="宋体" w:cs="宋体"/>
                <w:sz w:val="18"/>
                <w:szCs w:val="18"/>
              </w:rPr>
              <w:t>935,749,613.82</w:t>
            </w:r>
          </w:p>
        </w:tc>
        <w:tc>
          <w:tcPr>
            <w:tcW w:w="1560"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r>
              <w:rPr>
                <w:rFonts w:ascii="宋体" w:eastAsia="宋体" w:hAnsi="宋体" w:cs="宋体"/>
                <w:sz w:val="18"/>
                <w:szCs w:val="18"/>
              </w:rPr>
              <w:t>205,239,262.59</w:t>
            </w:r>
          </w:p>
        </w:tc>
        <w:tc>
          <w:tcPr>
            <w:tcW w:w="1559"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r>
              <w:rPr>
                <w:rFonts w:ascii="宋体" w:eastAsia="宋体" w:hAnsi="宋体" w:cs="宋体"/>
                <w:sz w:val="18"/>
                <w:szCs w:val="18"/>
              </w:rPr>
              <w:t>985,135,872.21</w:t>
            </w:r>
          </w:p>
        </w:tc>
        <w:tc>
          <w:tcPr>
            <w:tcW w:w="1417"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r>
              <w:rPr>
                <w:rFonts w:ascii="宋体" w:eastAsia="宋体" w:hAnsi="宋体" w:cs="宋体"/>
                <w:sz w:val="18"/>
                <w:szCs w:val="18"/>
              </w:rPr>
              <w:t>200,057,787.43</w:t>
            </w:r>
          </w:p>
        </w:tc>
      </w:tr>
      <w:tr w:rsidR="00673BAF" w:rsidTr="00673BAF">
        <w:trPr>
          <w:trHeight w:val="240"/>
        </w:trPr>
        <w:tc>
          <w:tcPr>
            <w:tcW w:w="3541" w:type="dxa"/>
            <w:tcBorders>
              <w:top w:val="single" w:sz="2" w:space="0" w:color="auto"/>
              <w:left w:val="single" w:sz="2" w:space="0" w:color="auto"/>
              <w:bottom w:val="single" w:sz="2" w:space="0" w:color="auto"/>
              <w:right w:val="single" w:sz="2" w:space="0" w:color="auto"/>
            </w:tcBorders>
            <w:shd w:val="clear" w:color="auto" w:fill="D3D3D3"/>
            <w:vAlign w:val="center"/>
          </w:tcPr>
          <w:p w:rsidR="00673BAF" w:rsidRDefault="00673BAF">
            <w:pPr>
              <w:spacing w:before="40" w:after="40" w:line="240" w:lineRule="exact"/>
              <w:rPr>
                <w:rFonts w:ascii="宋体" w:eastAsia="宋体" w:hAnsi="宋体" w:cs="宋体"/>
                <w:sz w:val="18"/>
                <w:szCs w:val="18"/>
              </w:rPr>
            </w:pPr>
            <w:r>
              <w:rPr>
                <w:rFonts w:ascii="宋体" w:eastAsia="宋体" w:hAnsi="宋体" w:cs="宋体"/>
                <w:sz w:val="18"/>
                <w:szCs w:val="18"/>
              </w:rPr>
              <w:t>流动负债</w:t>
            </w:r>
          </w:p>
        </w:tc>
        <w:tc>
          <w:tcPr>
            <w:tcW w:w="1559"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r>
              <w:rPr>
                <w:rFonts w:ascii="宋体" w:eastAsia="宋体" w:hAnsi="宋体" w:cs="宋体"/>
                <w:sz w:val="18"/>
                <w:szCs w:val="18"/>
              </w:rPr>
              <w:t>674,556,402.65</w:t>
            </w:r>
          </w:p>
        </w:tc>
        <w:tc>
          <w:tcPr>
            <w:tcW w:w="1560"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r>
              <w:rPr>
                <w:rFonts w:ascii="宋体" w:eastAsia="宋体" w:hAnsi="宋体" w:cs="宋体"/>
                <w:sz w:val="18"/>
                <w:szCs w:val="18"/>
              </w:rPr>
              <w:t>2,099,740.00</w:t>
            </w:r>
          </w:p>
        </w:tc>
        <w:tc>
          <w:tcPr>
            <w:tcW w:w="1559"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r>
              <w:rPr>
                <w:rFonts w:ascii="宋体" w:eastAsia="宋体" w:hAnsi="宋体" w:cs="宋体"/>
                <w:sz w:val="18"/>
                <w:szCs w:val="18"/>
              </w:rPr>
              <w:t>729,319,287.84</w:t>
            </w:r>
          </w:p>
        </w:tc>
        <w:tc>
          <w:tcPr>
            <w:tcW w:w="1417"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r>
              <w:rPr>
                <w:rFonts w:ascii="宋体" w:eastAsia="宋体" w:hAnsi="宋体" w:cs="宋体"/>
                <w:sz w:val="18"/>
                <w:szCs w:val="18"/>
              </w:rPr>
              <w:t>-4,848,725.50</w:t>
            </w:r>
          </w:p>
        </w:tc>
      </w:tr>
      <w:tr w:rsidR="00673BAF" w:rsidTr="00673BAF">
        <w:trPr>
          <w:trHeight w:val="240"/>
        </w:trPr>
        <w:tc>
          <w:tcPr>
            <w:tcW w:w="3541" w:type="dxa"/>
            <w:tcBorders>
              <w:top w:val="single" w:sz="2" w:space="0" w:color="auto"/>
              <w:left w:val="single" w:sz="2" w:space="0" w:color="auto"/>
              <w:bottom w:val="single" w:sz="2" w:space="0" w:color="auto"/>
              <w:right w:val="single" w:sz="2" w:space="0" w:color="auto"/>
            </w:tcBorders>
            <w:shd w:val="clear" w:color="auto" w:fill="D3D3D3"/>
            <w:vAlign w:val="center"/>
          </w:tcPr>
          <w:p w:rsidR="00673BAF" w:rsidRDefault="00673BAF">
            <w:pPr>
              <w:spacing w:before="40" w:after="40" w:line="240" w:lineRule="exact"/>
              <w:rPr>
                <w:rFonts w:ascii="宋体" w:eastAsia="宋体" w:hAnsi="宋体" w:cs="宋体"/>
                <w:sz w:val="18"/>
                <w:szCs w:val="18"/>
              </w:rPr>
            </w:pPr>
            <w:r>
              <w:rPr>
                <w:rFonts w:ascii="宋体" w:eastAsia="宋体" w:hAnsi="宋体" w:cs="宋体"/>
                <w:sz w:val="18"/>
                <w:szCs w:val="18"/>
              </w:rPr>
              <w:t>非流动负债</w:t>
            </w:r>
          </w:p>
        </w:tc>
        <w:tc>
          <w:tcPr>
            <w:tcW w:w="1559"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560"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r>
              <w:rPr>
                <w:rFonts w:ascii="宋体" w:eastAsia="宋体" w:hAnsi="宋体" w:cs="宋体"/>
                <w:sz w:val="18"/>
                <w:szCs w:val="18"/>
              </w:rPr>
              <w:t>0.00</w:t>
            </w:r>
          </w:p>
        </w:tc>
        <w:tc>
          <w:tcPr>
            <w:tcW w:w="1559"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p>
        </w:tc>
      </w:tr>
      <w:tr w:rsidR="00673BAF" w:rsidTr="00673BAF">
        <w:trPr>
          <w:trHeight w:val="240"/>
        </w:trPr>
        <w:tc>
          <w:tcPr>
            <w:tcW w:w="3541" w:type="dxa"/>
            <w:tcBorders>
              <w:top w:val="single" w:sz="2" w:space="0" w:color="auto"/>
              <w:left w:val="single" w:sz="2" w:space="0" w:color="auto"/>
              <w:bottom w:val="single" w:sz="2" w:space="0" w:color="auto"/>
              <w:right w:val="single" w:sz="2" w:space="0" w:color="auto"/>
            </w:tcBorders>
            <w:shd w:val="clear" w:color="auto" w:fill="D3D3D3"/>
            <w:vAlign w:val="center"/>
          </w:tcPr>
          <w:p w:rsidR="00673BAF" w:rsidRDefault="00673BAF">
            <w:pPr>
              <w:spacing w:before="40" w:after="40" w:line="240" w:lineRule="exact"/>
              <w:rPr>
                <w:rFonts w:ascii="宋体" w:eastAsia="宋体" w:hAnsi="宋体" w:cs="宋体"/>
                <w:sz w:val="18"/>
                <w:szCs w:val="18"/>
              </w:rPr>
            </w:pPr>
            <w:r>
              <w:rPr>
                <w:rFonts w:ascii="宋体" w:eastAsia="宋体" w:hAnsi="宋体" w:cs="宋体"/>
                <w:sz w:val="18"/>
                <w:szCs w:val="18"/>
              </w:rPr>
              <w:t>负债合计</w:t>
            </w:r>
          </w:p>
        </w:tc>
        <w:tc>
          <w:tcPr>
            <w:tcW w:w="1559"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r>
              <w:rPr>
                <w:rFonts w:ascii="宋体" w:eastAsia="宋体" w:hAnsi="宋体" w:cs="宋体"/>
                <w:sz w:val="18"/>
                <w:szCs w:val="18"/>
              </w:rPr>
              <w:t>674,556,402.65</w:t>
            </w:r>
          </w:p>
        </w:tc>
        <w:tc>
          <w:tcPr>
            <w:tcW w:w="1560"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r>
              <w:rPr>
                <w:rFonts w:ascii="宋体" w:eastAsia="宋体" w:hAnsi="宋体" w:cs="宋体"/>
                <w:sz w:val="18"/>
                <w:szCs w:val="18"/>
              </w:rPr>
              <w:t>2,099,740.00</w:t>
            </w:r>
          </w:p>
        </w:tc>
        <w:tc>
          <w:tcPr>
            <w:tcW w:w="1559"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r>
              <w:rPr>
                <w:rFonts w:ascii="宋体" w:eastAsia="宋体" w:hAnsi="宋体" w:cs="宋体"/>
                <w:sz w:val="18"/>
                <w:szCs w:val="18"/>
              </w:rPr>
              <w:t>729,319,287.84</w:t>
            </w:r>
          </w:p>
        </w:tc>
        <w:tc>
          <w:tcPr>
            <w:tcW w:w="1417"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r>
              <w:rPr>
                <w:rFonts w:ascii="宋体" w:eastAsia="宋体" w:hAnsi="宋体" w:cs="宋体"/>
                <w:sz w:val="18"/>
                <w:szCs w:val="18"/>
              </w:rPr>
              <w:t>-4,848,725.50</w:t>
            </w:r>
          </w:p>
        </w:tc>
      </w:tr>
      <w:tr w:rsidR="00673BAF" w:rsidTr="00673BAF">
        <w:trPr>
          <w:trHeight w:val="240"/>
        </w:trPr>
        <w:tc>
          <w:tcPr>
            <w:tcW w:w="3541" w:type="dxa"/>
            <w:tcBorders>
              <w:top w:val="single" w:sz="2" w:space="0" w:color="auto"/>
              <w:left w:val="single" w:sz="2" w:space="0" w:color="auto"/>
              <w:bottom w:val="single" w:sz="2" w:space="0" w:color="auto"/>
              <w:right w:val="single" w:sz="2" w:space="0" w:color="auto"/>
            </w:tcBorders>
            <w:shd w:val="clear" w:color="auto" w:fill="D3D3D3"/>
            <w:vAlign w:val="center"/>
          </w:tcPr>
          <w:p w:rsidR="00673BAF" w:rsidRDefault="00673BAF">
            <w:pPr>
              <w:spacing w:before="40" w:after="40" w:line="240" w:lineRule="exact"/>
              <w:rPr>
                <w:rFonts w:ascii="宋体" w:eastAsia="宋体" w:hAnsi="宋体" w:cs="宋体"/>
                <w:sz w:val="18"/>
                <w:szCs w:val="18"/>
              </w:rPr>
            </w:pPr>
            <w:r>
              <w:rPr>
                <w:rFonts w:ascii="宋体" w:eastAsia="宋体" w:hAnsi="宋体" w:cs="宋体"/>
                <w:sz w:val="18"/>
                <w:szCs w:val="18"/>
              </w:rPr>
              <w:t>少数股东权益</w:t>
            </w:r>
          </w:p>
        </w:tc>
        <w:tc>
          <w:tcPr>
            <w:tcW w:w="1559"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p>
        </w:tc>
      </w:tr>
      <w:tr w:rsidR="00673BAF" w:rsidTr="00673BAF">
        <w:trPr>
          <w:trHeight w:val="240"/>
        </w:trPr>
        <w:tc>
          <w:tcPr>
            <w:tcW w:w="3541" w:type="dxa"/>
            <w:tcBorders>
              <w:top w:val="single" w:sz="2" w:space="0" w:color="auto"/>
              <w:left w:val="single" w:sz="2" w:space="0" w:color="auto"/>
              <w:bottom w:val="single" w:sz="2" w:space="0" w:color="auto"/>
              <w:right w:val="single" w:sz="2" w:space="0" w:color="auto"/>
            </w:tcBorders>
            <w:shd w:val="clear" w:color="auto" w:fill="D3D3D3"/>
            <w:vAlign w:val="center"/>
          </w:tcPr>
          <w:p w:rsidR="00673BAF" w:rsidRDefault="00673BAF">
            <w:pPr>
              <w:spacing w:before="40" w:after="40" w:line="240" w:lineRule="exact"/>
              <w:rPr>
                <w:rFonts w:ascii="宋体" w:eastAsia="宋体" w:hAnsi="宋体" w:cs="宋体"/>
                <w:sz w:val="18"/>
                <w:szCs w:val="18"/>
              </w:rPr>
            </w:pPr>
            <w:r>
              <w:rPr>
                <w:rFonts w:ascii="宋体" w:eastAsia="宋体" w:hAnsi="宋体" w:cs="宋体"/>
                <w:sz w:val="18"/>
                <w:szCs w:val="18"/>
              </w:rPr>
              <w:t>归属于母公司股东权益</w:t>
            </w:r>
          </w:p>
        </w:tc>
        <w:tc>
          <w:tcPr>
            <w:tcW w:w="1559"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r>
              <w:rPr>
                <w:rFonts w:ascii="宋体" w:eastAsia="宋体" w:hAnsi="宋体" w:cs="宋体"/>
                <w:sz w:val="18"/>
                <w:szCs w:val="18"/>
              </w:rPr>
              <w:t>261,193,211.17</w:t>
            </w:r>
          </w:p>
        </w:tc>
        <w:tc>
          <w:tcPr>
            <w:tcW w:w="1560"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r>
              <w:rPr>
                <w:rFonts w:ascii="宋体" w:eastAsia="宋体" w:hAnsi="宋体" w:cs="宋体"/>
                <w:sz w:val="18"/>
                <w:szCs w:val="18"/>
              </w:rPr>
              <w:t>203,139,522.59</w:t>
            </w:r>
          </w:p>
        </w:tc>
        <w:tc>
          <w:tcPr>
            <w:tcW w:w="1559"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r>
              <w:rPr>
                <w:rFonts w:ascii="宋体" w:eastAsia="宋体" w:hAnsi="宋体" w:cs="宋体"/>
                <w:sz w:val="18"/>
                <w:szCs w:val="18"/>
              </w:rPr>
              <w:t>255,816,584.37</w:t>
            </w:r>
          </w:p>
        </w:tc>
        <w:tc>
          <w:tcPr>
            <w:tcW w:w="1417"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r>
              <w:rPr>
                <w:rFonts w:ascii="宋体" w:eastAsia="宋体" w:hAnsi="宋体" w:cs="宋体"/>
                <w:sz w:val="18"/>
                <w:szCs w:val="18"/>
              </w:rPr>
              <w:t>204,906,512.93</w:t>
            </w:r>
          </w:p>
        </w:tc>
      </w:tr>
      <w:tr w:rsidR="00673BAF" w:rsidTr="00673BAF">
        <w:trPr>
          <w:trHeight w:val="240"/>
        </w:trPr>
        <w:tc>
          <w:tcPr>
            <w:tcW w:w="3541" w:type="dxa"/>
            <w:tcBorders>
              <w:top w:val="single" w:sz="2" w:space="0" w:color="auto"/>
              <w:left w:val="single" w:sz="2" w:space="0" w:color="auto"/>
              <w:bottom w:val="single" w:sz="2" w:space="0" w:color="auto"/>
              <w:right w:val="single" w:sz="2" w:space="0" w:color="auto"/>
            </w:tcBorders>
            <w:shd w:val="clear" w:color="auto" w:fill="D3D3D3"/>
            <w:vAlign w:val="center"/>
          </w:tcPr>
          <w:p w:rsidR="00673BAF" w:rsidRDefault="00673BAF">
            <w:pPr>
              <w:spacing w:before="40" w:after="40" w:line="240" w:lineRule="exact"/>
              <w:rPr>
                <w:rFonts w:ascii="宋体" w:eastAsia="宋体" w:hAnsi="宋体" w:cs="宋体"/>
                <w:sz w:val="18"/>
                <w:szCs w:val="18"/>
              </w:rPr>
            </w:pPr>
            <w:r>
              <w:rPr>
                <w:rFonts w:ascii="宋体" w:eastAsia="宋体" w:hAnsi="宋体" w:cs="宋体"/>
                <w:sz w:val="18"/>
                <w:szCs w:val="18"/>
              </w:rPr>
              <w:t>按持股比例计算的净资产份额</w:t>
            </w:r>
          </w:p>
        </w:tc>
        <w:tc>
          <w:tcPr>
            <w:tcW w:w="1559"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r>
              <w:rPr>
                <w:rFonts w:ascii="宋体" w:eastAsia="宋体" w:hAnsi="宋体" w:cs="宋体"/>
                <w:sz w:val="18"/>
                <w:szCs w:val="18"/>
              </w:rPr>
              <w:t>52,238,642.23</w:t>
            </w:r>
          </w:p>
        </w:tc>
        <w:tc>
          <w:tcPr>
            <w:tcW w:w="1560"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r>
              <w:rPr>
                <w:rFonts w:ascii="宋体" w:eastAsia="宋体" w:hAnsi="宋体" w:cs="宋体"/>
                <w:sz w:val="18"/>
                <w:szCs w:val="18"/>
              </w:rPr>
              <w:t>60,941,856.78</w:t>
            </w:r>
          </w:p>
        </w:tc>
        <w:tc>
          <w:tcPr>
            <w:tcW w:w="1559"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r>
              <w:rPr>
                <w:rFonts w:ascii="宋体" w:eastAsia="宋体" w:hAnsi="宋体" w:cs="宋体"/>
                <w:sz w:val="18"/>
                <w:szCs w:val="18"/>
              </w:rPr>
              <w:t>51,163,316.87</w:t>
            </w:r>
          </w:p>
        </w:tc>
        <w:tc>
          <w:tcPr>
            <w:tcW w:w="1417"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r>
              <w:rPr>
                <w:rFonts w:ascii="宋体" w:eastAsia="宋体" w:hAnsi="宋体" w:cs="宋体"/>
                <w:sz w:val="18"/>
                <w:szCs w:val="18"/>
              </w:rPr>
              <w:t>61,471,953.88</w:t>
            </w:r>
          </w:p>
        </w:tc>
      </w:tr>
      <w:tr w:rsidR="00673BAF" w:rsidTr="00673BAF">
        <w:trPr>
          <w:trHeight w:val="240"/>
        </w:trPr>
        <w:tc>
          <w:tcPr>
            <w:tcW w:w="3541" w:type="dxa"/>
            <w:tcBorders>
              <w:top w:val="single" w:sz="2" w:space="0" w:color="auto"/>
              <w:left w:val="single" w:sz="2" w:space="0" w:color="auto"/>
              <w:bottom w:val="single" w:sz="2" w:space="0" w:color="auto"/>
              <w:right w:val="single" w:sz="2" w:space="0" w:color="auto"/>
            </w:tcBorders>
            <w:shd w:val="clear" w:color="auto" w:fill="D3D3D3"/>
            <w:vAlign w:val="center"/>
          </w:tcPr>
          <w:p w:rsidR="00673BAF" w:rsidRDefault="00673BAF">
            <w:pPr>
              <w:spacing w:before="40" w:after="40" w:line="240" w:lineRule="exact"/>
              <w:rPr>
                <w:rFonts w:ascii="宋体" w:eastAsia="宋体" w:hAnsi="宋体" w:cs="宋体"/>
                <w:sz w:val="18"/>
                <w:szCs w:val="18"/>
              </w:rPr>
            </w:pPr>
            <w:r>
              <w:rPr>
                <w:rFonts w:ascii="宋体" w:eastAsia="宋体" w:hAnsi="宋体" w:cs="宋体"/>
                <w:sz w:val="18"/>
                <w:szCs w:val="18"/>
              </w:rPr>
              <w:t>调整事项</w:t>
            </w:r>
          </w:p>
        </w:tc>
        <w:tc>
          <w:tcPr>
            <w:tcW w:w="1559"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p>
        </w:tc>
      </w:tr>
      <w:tr w:rsidR="00673BAF" w:rsidTr="00673BAF">
        <w:trPr>
          <w:trHeight w:val="240"/>
        </w:trPr>
        <w:tc>
          <w:tcPr>
            <w:tcW w:w="3541" w:type="dxa"/>
            <w:tcBorders>
              <w:top w:val="single" w:sz="2" w:space="0" w:color="auto"/>
              <w:left w:val="single" w:sz="2" w:space="0" w:color="auto"/>
              <w:bottom w:val="single" w:sz="2" w:space="0" w:color="auto"/>
              <w:right w:val="single" w:sz="2" w:space="0" w:color="auto"/>
            </w:tcBorders>
            <w:shd w:val="clear" w:color="auto" w:fill="D3D3D3"/>
            <w:vAlign w:val="center"/>
          </w:tcPr>
          <w:p w:rsidR="00673BAF" w:rsidRDefault="00673BAF">
            <w:pPr>
              <w:spacing w:before="40" w:after="40" w:line="240" w:lineRule="exact"/>
              <w:rPr>
                <w:rFonts w:ascii="宋体" w:eastAsia="宋体" w:hAnsi="宋体" w:cs="宋体"/>
                <w:sz w:val="18"/>
                <w:szCs w:val="18"/>
              </w:rPr>
            </w:pPr>
            <w:r>
              <w:rPr>
                <w:rFonts w:ascii="宋体" w:eastAsia="宋体" w:hAnsi="宋体" w:cs="宋体"/>
                <w:sz w:val="18"/>
                <w:szCs w:val="18"/>
              </w:rPr>
              <w:t>--商誉</w:t>
            </w:r>
          </w:p>
        </w:tc>
        <w:tc>
          <w:tcPr>
            <w:tcW w:w="1559"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p>
        </w:tc>
      </w:tr>
      <w:tr w:rsidR="00673BAF" w:rsidTr="00673BAF">
        <w:trPr>
          <w:trHeight w:val="240"/>
        </w:trPr>
        <w:tc>
          <w:tcPr>
            <w:tcW w:w="3541" w:type="dxa"/>
            <w:tcBorders>
              <w:top w:val="single" w:sz="2" w:space="0" w:color="auto"/>
              <w:left w:val="single" w:sz="2" w:space="0" w:color="auto"/>
              <w:bottom w:val="single" w:sz="2" w:space="0" w:color="auto"/>
              <w:right w:val="single" w:sz="2" w:space="0" w:color="auto"/>
            </w:tcBorders>
            <w:shd w:val="clear" w:color="auto" w:fill="D3D3D3"/>
            <w:vAlign w:val="center"/>
          </w:tcPr>
          <w:p w:rsidR="00673BAF" w:rsidRDefault="00673BAF">
            <w:pPr>
              <w:spacing w:before="40" w:after="40" w:line="240" w:lineRule="exact"/>
              <w:rPr>
                <w:rFonts w:ascii="宋体" w:eastAsia="宋体" w:hAnsi="宋体" w:cs="宋体"/>
                <w:sz w:val="18"/>
                <w:szCs w:val="18"/>
              </w:rPr>
            </w:pPr>
            <w:r>
              <w:rPr>
                <w:rFonts w:ascii="宋体" w:eastAsia="宋体" w:hAnsi="宋体" w:cs="宋体"/>
                <w:sz w:val="18"/>
                <w:szCs w:val="18"/>
              </w:rPr>
              <w:t>--内部交易未实现利润</w:t>
            </w:r>
          </w:p>
        </w:tc>
        <w:tc>
          <w:tcPr>
            <w:tcW w:w="1559"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p>
        </w:tc>
      </w:tr>
      <w:tr w:rsidR="00673BAF" w:rsidTr="00673BAF">
        <w:trPr>
          <w:trHeight w:val="240"/>
        </w:trPr>
        <w:tc>
          <w:tcPr>
            <w:tcW w:w="3541" w:type="dxa"/>
            <w:tcBorders>
              <w:top w:val="single" w:sz="2" w:space="0" w:color="auto"/>
              <w:left w:val="single" w:sz="2" w:space="0" w:color="auto"/>
              <w:bottom w:val="single" w:sz="2" w:space="0" w:color="auto"/>
              <w:right w:val="single" w:sz="2" w:space="0" w:color="auto"/>
            </w:tcBorders>
            <w:shd w:val="clear" w:color="auto" w:fill="D3D3D3"/>
            <w:vAlign w:val="center"/>
          </w:tcPr>
          <w:p w:rsidR="00673BAF" w:rsidRDefault="00673BAF">
            <w:pPr>
              <w:spacing w:before="40" w:after="40" w:line="240" w:lineRule="exact"/>
              <w:rPr>
                <w:rFonts w:ascii="宋体" w:eastAsia="宋体" w:hAnsi="宋体" w:cs="宋体"/>
                <w:sz w:val="18"/>
                <w:szCs w:val="18"/>
              </w:rPr>
            </w:pPr>
            <w:r>
              <w:rPr>
                <w:rFonts w:ascii="宋体" w:eastAsia="宋体" w:hAnsi="宋体" w:cs="宋体"/>
                <w:sz w:val="18"/>
                <w:szCs w:val="18"/>
              </w:rPr>
              <w:t>--其他</w:t>
            </w:r>
          </w:p>
        </w:tc>
        <w:tc>
          <w:tcPr>
            <w:tcW w:w="1559"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p>
        </w:tc>
      </w:tr>
      <w:tr w:rsidR="00673BAF" w:rsidTr="00673BAF">
        <w:trPr>
          <w:trHeight w:val="240"/>
        </w:trPr>
        <w:tc>
          <w:tcPr>
            <w:tcW w:w="3541" w:type="dxa"/>
            <w:tcBorders>
              <w:top w:val="single" w:sz="2" w:space="0" w:color="auto"/>
              <w:left w:val="single" w:sz="2" w:space="0" w:color="auto"/>
              <w:bottom w:val="single" w:sz="2" w:space="0" w:color="auto"/>
              <w:right w:val="single" w:sz="2" w:space="0" w:color="auto"/>
            </w:tcBorders>
            <w:shd w:val="clear" w:color="auto" w:fill="D3D3D3"/>
            <w:vAlign w:val="center"/>
          </w:tcPr>
          <w:p w:rsidR="00673BAF" w:rsidRDefault="00673BAF">
            <w:pPr>
              <w:spacing w:before="40" w:after="40" w:line="240" w:lineRule="exact"/>
              <w:rPr>
                <w:rFonts w:ascii="宋体" w:eastAsia="宋体" w:hAnsi="宋体" w:cs="宋体"/>
                <w:sz w:val="18"/>
                <w:szCs w:val="18"/>
              </w:rPr>
            </w:pPr>
            <w:r>
              <w:rPr>
                <w:rFonts w:ascii="宋体" w:eastAsia="宋体" w:hAnsi="宋体" w:cs="宋体"/>
                <w:sz w:val="18"/>
                <w:szCs w:val="18"/>
              </w:rPr>
              <w:t>对联营企业权益投资的账面价值</w:t>
            </w:r>
          </w:p>
        </w:tc>
        <w:tc>
          <w:tcPr>
            <w:tcW w:w="1559"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r>
              <w:rPr>
                <w:rFonts w:ascii="宋体" w:eastAsia="宋体" w:hAnsi="宋体" w:cs="宋体"/>
                <w:sz w:val="18"/>
                <w:szCs w:val="18"/>
              </w:rPr>
              <w:t>52,166,364.42</w:t>
            </w:r>
          </w:p>
        </w:tc>
        <w:tc>
          <w:tcPr>
            <w:tcW w:w="1560"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r>
              <w:rPr>
                <w:rFonts w:ascii="宋体" w:eastAsia="宋体" w:hAnsi="宋体" w:cs="宋体"/>
                <w:sz w:val="18"/>
                <w:szCs w:val="18"/>
              </w:rPr>
              <w:t>64,746,581.59</w:t>
            </w:r>
          </w:p>
        </w:tc>
        <w:tc>
          <w:tcPr>
            <w:tcW w:w="1559"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r>
              <w:rPr>
                <w:rFonts w:ascii="宋体" w:eastAsia="宋体" w:hAnsi="宋体" w:cs="宋体"/>
                <w:sz w:val="18"/>
                <w:szCs w:val="18"/>
              </w:rPr>
              <w:t>51,163,316.87</w:t>
            </w:r>
          </w:p>
        </w:tc>
        <w:tc>
          <w:tcPr>
            <w:tcW w:w="1417"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r>
              <w:rPr>
                <w:rFonts w:ascii="宋体" w:eastAsia="宋体" w:hAnsi="宋体" w:cs="宋体"/>
                <w:sz w:val="18"/>
                <w:szCs w:val="18"/>
              </w:rPr>
              <w:t>63,767,708.45</w:t>
            </w:r>
          </w:p>
        </w:tc>
      </w:tr>
      <w:tr w:rsidR="00673BAF" w:rsidTr="00673BAF">
        <w:trPr>
          <w:trHeight w:val="240"/>
        </w:trPr>
        <w:tc>
          <w:tcPr>
            <w:tcW w:w="3541" w:type="dxa"/>
            <w:tcBorders>
              <w:top w:val="single" w:sz="2" w:space="0" w:color="auto"/>
              <w:left w:val="single" w:sz="2" w:space="0" w:color="auto"/>
              <w:bottom w:val="single" w:sz="2" w:space="0" w:color="auto"/>
              <w:right w:val="single" w:sz="2" w:space="0" w:color="auto"/>
            </w:tcBorders>
            <w:shd w:val="clear" w:color="auto" w:fill="D3D3D3"/>
            <w:vAlign w:val="center"/>
          </w:tcPr>
          <w:p w:rsidR="00673BAF" w:rsidRDefault="00673BAF">
            <w:pPr>
              <w:spacing w:before="40" w:after="40" w:line="240" w:lineRule="exact"/>
              <w:rPr>
                <w:rFonts w:ascii="宋体" w:eastAsia="宋体" w:hAnsi="宋体" w:cs="宋体"/>
                <w:sz w:val="18"/>
                <w:szCs w:val="18"/>
              </w:rPr>
            </w:pPr>
            <w:r>
              <w:rPr>
                <w:rFonts w:ascii="宋体" w:eastAsia="宋体" w:hAnsi="宋体" w:cs="宋体"/>
                <w:sz w:val="18"/>
                <w:szCs w:val="18"/>
              </w:rPr>
              <w:t>存在公开报价的联营企业权益投资的公允价值</w:t>
            </w:r>
          </w:p>
        </w:tc>
        <w:tc>
          <w:tcPr>
            <w:tcW w:w="1559"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p>
        </w:tc>
      </w:tr>
      <w:tr w:rsidR="00673BAF" w:rsidTr="00673BAF">
        <w:trPr>
          <w:trHeight w:val="240"/>
        </w:trPr>
        <w:tc>
          <w:tcPr>
            <w:tcW w:w="3541" w:type="dxa"/>
            <w:tcBorders>
              <w:top w:val="single" w:sz="2" w:space="0" w:color="auto"/>
              <w:left w:val="single" w:sz="2" w:space="0" w:color="auto"/>
              <w:bottom w:val="single" w:sz="2" w:space="0" w:color="auto"/>
              <w:right w:val="single" w:sz="2" w:space="0" w:color="auto"/>
            </w:tcBorders>
            <w:shd w:val="clear" w:color="auto" w:fill="D3D3D3"/>
            <w:vAlign w:val="center"/>
          </w:tcPr>
          <w:p w:rsidR="00673BAF" w:rsidRDefault="00673BAF">
            <w:pPr>
              <w:spacing w:before="40" w:after="40" w:line="240" w:lineRule="exact"/>
              <w:rPr>
                <w:rFonts w:ascii="宋体" w:eastAsia="宋体" w:hAnsi="宋体" w:cs="宋体"/>
                <w:sz w:val="18"/>
                <w:szCs w:val="18"/>
              </w:rPr>
            </w:pPr>
            <w:r>
              <w:rPr>
                <w:rFonts w:ascii="宋体" w:eastAsia="宋体" w:hAnsi="宋体" w:cs="宋体"/>
                <w:sz w:val="18"/>
                <w:szCs w:val="18"/>
              </w:rPr>
              <w:t>营业收入</w:t>
            </w:r>
          </w:p>
        </w:tc>
        <w:tc>
          <w:tcPr>
            <w:tcW w:w="1559"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r>
              <w:rPr>
                <w:rFonts w:ascii="宋体" w:eastAsia="宋体" w:hAnsi="宋体" w:cs="宋体"/>
                <w:sz w:val="18"/>
                <w:szCs w:val="18"/>
              </w:rPr>
              <w:t>967,577,177.04</w:t>
            </w:r>
          </w:p>
        </w:tc>
        <w:tc>
          <w:tcPr>
            <w:tcW w:w="1560"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r>
              <w:rPr>
                <w:rFonts w:ascii="宋体" w:eastAsia="宋体" w:hAnsi="宋体" w:cs="宋体"/>
                <w:sz w:val="18"/>
                <w:szCs w:val="18"/>
              </w:rPr>
              <w:t>1,055,014,512.60</w:t>
            </w:r>
          </w:p>
        </w:tc>
        <w:tc>
          <w:tcPr>
            <w:tcW w:w="1417"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p>
        </w:tc>
      </w:tr>
      <w:tr w:rsidR="00673BAF" w:rsidTr="00673BAF">
        <w:trPr>
          <w:trHeight w:val="240"/>
        </w:trPr>
        <w:tc>
          <w:tcPr>
            <w:tcW w:w="3541" w:type="dxa"/>
            <w:tcBorders>
              <w:top w:val="single" w:sz="2" w:space="0" w:color="auto"/>
              <w:left w:val="single" w:sz="2" w:space="0" w:color="auto"/>
              <w:bottom w:val="single" w:sz="2" w:space="0" w:color="auto"/>
              <w:right w:val="single" w:sz="2" w:space="0" w:color="auto"/>
            </w:tcBorders>
            <w:shd w:val="clear" w:color="auto" w:fill="D3D3D3"/>
            <w:vAlign w:val="center"/>
          </w:tcPr>
          <w:p w:rsidR="00673BAF" w:rsidRDefault="00673BAF">
            <w:pPr>
              <w:spacing w:before="40" w:after="40" w:line="240" w:lineRule="exact"/>
              <w:rPr>
                <w:rFonts w:ascii="宋体" w:eastAsia="宋体" w:hAnsi="宋体" w:cs="宋体"/>
                <w:sz w:val="18"/>
                <w:szCs w:val="18"/>
              </w:rPr>
            </w:pPr>
            <w:r>
              <w:rPr>
                <w:rFonts w:ascii="宋体" w:eastAsia="宋体" w:hAnsi="宋体" w:cs="宋体"/>
                <w:sz w:val="18"/>
                <w:szCs w:val="18"/>
              </w:rPr>
              <w:t>净利润</w:t>
            </w:r>
          </w:p>
        </w:tc>
        <w:tc>
          <w:tcPr>
            <w:tcW w:w="1559"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r>
              <w:rPr>
                <w:rFonts w:ascii="宋体" w:eastAsia="宋体" w:hAnsi="宋体" w:cs="宋体"/>
                <w:sz w:val="18"/>
                <w:szCs w:val="18"/>
              </w:rPr>
              <w:t>13,015,237.77</w:t>
            </w:r>
          </w:p>
        </w:tc>
        <w:tc>
          <w:tcPr>
            <w:tcW w:w="1560"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r>
              <w:rPr>
                <w:rFonts w:ascii="宋体" w:eastAsia="宋体" w:hAnsi="宋体" w:cs="宋体"/>
                <w:sz w:val="18"/>
                <w:szCs w:val="18"/>
              </w:rPr>
              <w:t>3,262,910.47</w:t>
            </w:r>
          </w:p>
        </w:tc>
        <w:tc>
          <w:tcPr>
            <w:tcW w:w="1559"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r>
              <w:rPr>
                <w:rFonts w:ascii="宋体" w:eastAsia="宋体" w:hAnsi="宋体" w:cs="宋体"/>
                <w:sz w:val="18"/>
                <w:szCs w:val="18"/>
              </w:rPr>
              <w:t>9,510,041.98</w:t>
            </w:r>
          </w:p>
        </w:tc>
        <w:tc>
          <w:tcPr>
            <w:tcW w:w="1417"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r>
              <w:rPr>
                <w:rFonts w:ascii="宋体" w:eastAsia="宋体" w:hAnsi="宋体" w:cs="宋体"/>
                <w:sz w:val="18"/>
                <w:szCs w:val="18"/>
              </w:rPr>
              <w:t>3,463,366.63</w:t>
            </w:r>
          </w:p>
        </w:tc>
      </w:tr>
      <w:tr w:rsidR="00673BAF" w:rsidTr="00673BAF">
        <w:trPr>
          <w:trHeight w:val="240"/>
        </w:trPr>
        <w:tc>
          <w:tcPr>
            <w:tcW w:w="3541" w:type="dxa"/>
            <w:tcBorders>
              <w:top w:val="single" w:sz="2" w:space="0" w:color="auto"/>
              <w:left w:val="single" w:sz="2" w:space="0" w:color="auto"/>
              <w:bottom w:val="single" w:sz="2" w:space="0" w:color="auto"/>
              <w:right w:val="single" w:sz="2" w:space="0" w:color="auto"/>
            </w:tcBorders>
            <w:shd w:val="clear" w:color="auto" w:fill="D3D3D3"/>
            <w:vAlign w:val="center"/>
          </w:tcPr>
          <w:p w:rsidR="00673BAF" w:rsidRDefault="00673BAF">
            <w:pPr>
              <w:spacing w:before="40" w:after="40" w:line="240" w:lineRule="exact"/>
              <w:rPr>
                <w:rFonts w:ascii="宋体" w:eastAsia="宋体" w:hAnsi="宋体" w:cs="宋体"/>
                <w:sz w:val="18"/>
                <w:szCs w:val="18"/>
              </w:rPr>
            </w:pPr>
            <w:r>
              <w:rPr>
                <w:rFonts w:ascii="宋体" w:eastAsia="宋体" w:hAnsi="宋体" w:cs="宋体"/>
                <w:sz w:val="18"/>
                <w:szCs w:val="18"/>
              </w:rPr>
              <w:t>终止经营的净利润</w:t>
            </w:r>
          </w:p>
        </w:tc>
        <w:tc>
          <w:tcPr>
            <w:tcW w:w="1559"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p>
        </w:tc>
      </w:tr>
      <w:tr w:rsidR="00673BAF" w:rsidTr="00673BAF">
        <w:trPr>
          <w:trHeight w:val="240"/>
        </w:trPr>
        <w:tc>
          <w:tcPr>
            <w:tcW w:w="3541" w:type="dxa"/>
            <w:tcBorders>
              <w:top w:val="single" w:sz="2" w:space="0" w:color="auto"/>
              <w:left w:val="single" w:sz="2" w:space="0" w:color="auto"/>
              <w:bottom w:val="single" w:sz="2" w:space="0" w:color="auto"/>
              <w:right w:val="single" w:sz="2" w:space="0" w:color="auto"/>
            </w:tcBorders>
            <w:shd w:val="clear" w:color="auto" w:fill="D3D3D3"/>
            <w:vAlign w:val="center"/>
          </w:tcPr>
          <w:p w:rsidR="00673BAF" w:rsidRDefault="00673BAF">
            <w:pPr>
              <w:spacing w:before="40" w:after="40" w:line="240" w:lineRule="exact"/>
              <w:rPr>
                <w:rFonts w:ascii="宋体" w:eastAsia="宋体" w:hAnsi="宋体" w:cs="宋体"/>
                <w:sz w:val="18"/>
                <w:szCs w:val="18"/>
              </w:rPr>
            </w:pPr>
            <w:r>
              <w:rPr>
                <w:rFonts w:ascii="宋体" w:eastAsia="宋体" w:hAnsi="宋体" w:cs="宋体"/>
                <w:sz w:val="18"/>
                <w:szCs w:val="18"/>
              </w:rPr>
              <w:t>其他综合收益</w:t>
            </w:r>
          </w:p>
        </w:tc>
        <w:tc>
          <w:tcPr>
            <w:tcW w:w="1559"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p>
        </w:tc>
      </w:tr>
      <w:tr w:rsidR="00673BAF" w:rsidTr="00673BAF">
        <w:trPr>
          <w:trHeight w:val="240"/>
        </w:trPr>
        <w:tc>
          <w:tcPr>
            <w:tcW w:w="3541" w:type="dxa"/>
            <w:tcBorders>
              <w:top w:val="single" w:sz="2" w:space="0" w:color="auto"/>
              <w:left w:val="single" w:sz="2" w:space="0" w:color="auto"/>
              <w:bottom w:val="single" w:sz="2" w:space="0" w:color="auto"/>
              <w:right w:val="single" w:sz="2" w:space="0" w:color="auto"/>
            </w:tcBorders>
            <w:shd w:val="clear" w:color="auto" w:fill="D3D3D3"/>
            <w:vAlign w:val="center"/>
          </w:tcPr>
          <w:p w:rsidR="00673BAF" w:rsidRDefault="00673BAF">
            <w:pPr>
              <w:spacing w:before="40" w:after="40" w:line="240" w:lineRule="exact"/>
              <w:rPr>
                <w:rFonts w:ascii="宋体" w:eastAsia="宋体" w:hAnsi="宋体" w:cs="宋体"/>
                <w:sz w:val="18"/>
                <w:szCs w:val="18"/>
              </w:rPr>
            </w:pPr>
            <w:r>
              <w:rPr>
                <w:rFonts w:ascii="宋体" w:eastAsia="宋体" w:hAnsi="宋体" w:cs="宋体"/>
                <w:sz w:val="18"/>
                <w:szCs w:val="18"/>
              </w:rPr>
              <w:t>综合收益总额</w:t>
            </w:r>
          </w:p>
        </w:tc>
        <w:tc>
          <w:tcPr>
            <w:tcW w:w="1559"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r>
              <w:rPr>
                <w:rFonts w:ascii="宋体" w:eastAsia="宋体" w:hAnsi="宋体" w:cs="宋体"/>
                <w:sz w:val="18"/>
                <w:szCs w:val="18"/>
              </w:rPr>
              <w:t>13,015,237.77</w:t>
            </w:r>
          </w:p>
        </w:tc>
        <w:tc>
          <w:tcPr>
            <w:tcW w:w="1560"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r>
              <w:rPr>
                <w:rFonts w:ascii="宋体" w:eastAsia="宋体" w:hAnsi="宋体" w:cs="宋体"/>
                <w:sz w:val="18"/>
                <w:szCs w:val="18"/>
              </w:rPr>
              <w:t>3,262,910.47</w:t>
            </w:r>
          </w:p>
        </w:tc>
        <w:tc>
          <w:tcPr>
            <w:tcW w:w="1559"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r>
              <w:rPr>
                <w:rFonts w:ascii="宋体" w:eastAsia="宋体" w:hAnsi="宋体" w:cs="宋体"/>
                <w:sz w:val="18"/>
                <w:szCs w:val="18"/>
              </w:rPr>
              <w:t>9,510,041.98</w:t>
            </w:r>
          </w:p>
        </w:tc>
        <w:tc>
          <w:tcPr>
            <w:tcW w:w="1417"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r>
              <w:rPr>
                <w:rFonts w:ascii="宋体" w:eastAsia="宋体" w:hAnsi="宋体" w:cs="宋体"/>
                <w:sz w:val="18"/>
                <w:szCs w:val="18"/>
              </w:rPr>
              <w:t>3,463,366.63</w:t>
            </w:r>
          </w:p>
        </w:tc>
      </w:tr>
      <w:tr w:rsidR="00673BAF" w:rsidTr="00673BAF">
        <w:trPr>
          <w:trHeight w:val="240"/>
        </w:trPr>
        <w:tc>
          <w:tcPr>
            <w:tcW w:w="3541" w:type="dxa"/>
            <w:tcBorders>
              <w:top w:val="single" w:sz="2" w:space="0" w:color="auto"/>
              <w:left w:val="single" w:sz="2" w:space="0" w:color="auto"/>
              <w:bottom w:val="single" w:sz="2" w:space="0" w:color="auto"/>
              <w:right w:val="single" w:sz="2" w:space="0" w:color="auto"/>
            </w:tcBorders>
            <w:shd w:val="clear" w:color="auto" w:fill="D3D3D3"/>
            <w:vAlign w:val="center"/>
          </w:tcPr>
          <w:p w:rsidR="00673BAF" w:rsidRDefault="00673BAF">
            <w:pPr>
              <w:spacing w:before="40" w:after="40" w:line="240" w:lineRule="exact"/>
              <w:rPr>
                <w:rFonts w:ascii="宋体" w:eastAsia="宋体" w:hAnsi="宋体" w:cs="宋体"/>
                <w:sz w:val="18"/>
                <w:szCs w:val="18"/>
              </w:rPr>
            </w:pPr>
            <w:r>
              <w:rPr>
                <w:rFonts w:ascii="宋体" w:eastAsia="宋体" w:hAnsi="宋体" w:cs="宋体"/>
                <w:sz w:val="18"/>
                <w:szCs w:val="18"/>
              </w:rPr>
              <w:t>本年度收到的来自联营企业的股利</w:t>
            </w:r>
          </w:p>
        </w:tc>
        <w:tc>
          <w:tcPr>
            <w:tcW w:w="1559"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r>
              <w:rPr>
                <w:rFonts w:ascii="宋体" w:eastAsia="宋体" w:hAnsi="宋体" w:cs="宋体"/>
                <w:sz w:val="18"/>
                <w:szCs w:val="18"/>
              </w:rPr>
              <w:t>1,600,000.00</w:t>
            </w:r>
          </w:p>
        </w:tc>
        <w:tc>
          <w:tcPr>
            <w:tcW w:w="1560"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rsidR="00673BAF" w:rsidRDefault="00673BAF">
            <w:pPr>
              <w:spacing w:line="240" w:lineRule="exact"/>
              <w:jc w:val="right"/>
              <w:rPr>
                <w:rFonts w:ascii="宋体" w:eastAsia="宋体" w:hAnsi="宋体" w:cs="宋体"/>
                <w:sz w:val="18"/>
                <w:szCs w:val="18"/>
              </w:rPr>
            </w:pPr>
          </w:p>
        </w:tc>
      </w:tr>
    </w:tbl>
    <w:p w:rsidR="00BA0365" w:rsidRDefault="008D4B2E">
      <w:pPr>
        <w:pStyle w:val="2"/>
        <w:spacing w:before="300" w:after="300" w:line="320" w:lineRule="exact"/>
        <w:rPr>
          <w:rFonts w:ascii="宋体" w:eastAsia="宋体" w:hAnsi="宋体" w:cs="宋体"/>
          <w:b/>
          <w:bCs/>
          <w:sz w:val="24"/>
          <w:szCs w:val="24"/>
        </w:rPr>
      </w:pPr>
      <w:bookmarkStart w:id="367" w:name="_Toc989263"/>
      <w:r>
        <w:rPr>
          <w:rFonts w:ascii="宋体" w:eastAsia="宋体" w:hAnsi="宋体" w:cs="宋体"/>
          <w:b/>
          <w:bCs/>
          <w:sz w:val="24"/>
          <w:szCs w:val="24"/>
        </w:rPr>
        <w:t>十一、政府补助</w:t>
      </w:r>
      <w:bookmarkEnd w:id="367"/>
    </w:p>
    <w:p w:rsidR="00BA0365" w:rsidRDefault="008D4B2E">
      <w:pPr>
        <w:pStyle w:val="3"/>
        <w:spacing w:line="280" w:lineRule="exact"/>
        <w:jc w:val="left"/>
        <w:rPr>
          <w:rFonts w:ascii="宋体" w:hAnsi="宋体" w:cs="宋体"/>
          <w:b/>
          <w:bCs/>
        </w:rPr>
      </w:pPr>
      <w:bookmarkStart w:id="368" w:name="_Toc989264"/>
      <w:r>
        <w:rPr>
          <w:rFonts w:ascii="宋体" w:hAnsi="宋体" w:cs="宋体"/>
          <w:b/>
          <w:bCs/>
        </w:rPr>
        <w:t>1、报告期末按应收金额确认的政府补助</w:t>
      </w:r>
      <w:bookmarkEnd w:id="368"/>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spacing w:line="240" w:lineRule="exact"/>
        <w:rPr>
          <w:rFonts w:ascii="宋体" w:eastAsia="宋体" w:hAnsi="宋体" w:cs="宋体"/>
          <w:sz w:val="18"/>
          <w:szCs w:val="18"/>
        </w:rPr>
      </w:pPr>
      <w:r>
        <w:rPr>
          <w:rFonts w:ascii="宋体" w:eastAsia="宋体" w:hAnsi="宋体" w:cs="宋体"/>
          <w:sz w:val="18"/>
          <w:szCs w:val="18"/>
        </w:rPr>
        <w:t>未能在预计时点收到预计金额的政府补助的原因</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pStyle w:val="3"/>
        <w:spacing w:line="280" w:lineRule="exact"/>
        <w:jc w:val="left"/>
        <w:rPr>
          <w:rFonts w:ascii="宋体" w:hAnsi="宋体" w:cs="宋体"/>
          <w:b/>
          <w:bCs/>
        </w:rPr>
      </w:pPr>
      <w:bookmarkStart w:id="369" w:name="_Toc989265"/>
      <w:r>
        <w:rPr>
          <w:rFonts w:ascii="宋体" w:hAnsi="宋体" w:cs="宋体"/>
          <w:b/>
          <w:bCs/>
        </w:rPr>
        <w:t>2、涉及政府补助的负债项目</w:t>
      </w:r>
      <w:bookmarkEnd w:id="369"/>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pStyle w:val="3"/>
        <w:spacing w:line="280" w:lineRule="exact"/>
        <w:jc w:val="left"/>
        <w:rPr>
          <w:rFonts w:ascii="宋体" w:hAnsi="宋体" w:cs="宋体"/>
          <w:b/>
          <w:bCs/>
        </w:rPr>
      </w:pPr>
      <w:bookmarkStart w:id="370" w:name="_Toc989266"/>
      <w:r>
        <w:rPr>
          <w:rFonts w:ascii="宋体" w:hAnsi="宋体" w:cs="宋体"/>
          <w:b/>
          <w:bCs/>
        </w:rPr>
        <w:t>3、计入当期损益的政府补助</w:t>
      </w:r>
      <w:bookmarkEnd w:id="370"/>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3213"/>
        <w:gridCol w:w="3213"/>
        <w:gridCol w:w="3213"/>
      </w:tblGrid>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会计科目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157EA0" w:rsidTr="00152E2B">
        <w:trPr>
          <w:trHeight w:val="308"/>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其他收益</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35,995,882.44</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33,303,453.40</w:t>
            </w:r>
          </w:p>
        </w:tc>
      </w:tr>
    </w:tbl>
    <w:p w:rsidR="00BA0365" w:rsidRDefault="008D4B2E">
      <w:pPr>
        <w:pStyle w:val="2"/>
        <w:spacing w:before="300" w:after="300" w:line="320" w:lineRule="exact"/>
        <w:rPr>
          <w:rFonts w:ascii="宋体" w:eastAsia="宋体" w:hAnsi="宋体" w:cs="宋体"/>
          <w:b/>
          <w:bCs/>
          <w:sz w:val="24"/>
          <w:szCs w:val="24"/>
        </w:rPr>
      </w:pPr>
      <w:bookmarkStart w:id="371" w:name="_Toc989267"/>
      <w:r>
        <w:rPr>
          <w:rFonts w:ascii="宋体" w:eastAsia="宋体" w:hAnsi="宋体" w:cs="宋体"/>
          <w:b/>
          <w:bCs/>
          <w:sz w:val="24"/>
          <w:szCs w:val="24"/>
        </w:rPr>
        <w:lastRenderedPageBreak/>
        <w:t>十二、与金融工具相关的风险</w:t>
      </w:r>
      <w:bookmarkEnd w:id="371"/>
    </w:p>
    <w:p w:rsidR="00BA0365" w:rsidRDefault="008D4B2E">
      <w:pPr>
        <w:pStyle w:val="3"/>
        <w:spacing w:line="280" w:lineRule="exact"/>
        <w:jc w:val="left"/>
        <w:rPr>
          <w:rFonts w:ascii="宋体" w:hAnsi="宋体" w:cs="宋体"/>
          <w:b/>
          <w:bCs/>
        </w:rPr>
      </w:pPr>
      <w:bookmarkStart w:id="372" w:name="_Toc989268"/>
      <w:r>
        <w:rPr>
          <w:rFonts w:ascii="宋体" w:hAnsi="宋体" w:cs="宋体"/>
          <w:b/>
          <w:bCs/>
        </w:rPr>
        <w:t>1、金融工具产生的各类风险</w:t>
      </w:r>
      <w:bookmarkEnd w:id="372"/>
    </w:p>
    <w:p w:rsidR="008D4B2E" w:rsidRPr="000C2E93" w:rsidRDefault="008D4B2E" w:rsidP="00B87081">
      <w:pPr>
        <w:ind w:firstLineChars="200" w:firstLine="360"/>
        <w:divId w:val="1240990478"/>
        <w:rPr>
          <w:rFonts w:ascii="宋体" w:eastAsia="宋体" w:hAnsi="宋体" w:cs="宋体"/>
          <w:sz w:val="18"/>
          <w:szCs w:val="18"/>
        </w:rPr>
      </w:pPr>
      <w:r w:rsidRPr="000C2E93">
        <w:rPr>
          <w:rFonts w:ascii="宋体" w:eastAsia="宋体" w:hAnsi="宋体" w:cs="宋体" w:hint="eastAsia"/>
          <w:sz w:val="18"/>
          <w:szCs w:val="18"/>
        </w:rPr>
        <w:t>本公司的主要金融工具包括股权投资、应收账款、应付账款等，各项金融工具的详细情况说明见本附注</w:t>
      </w:r>
      <w:proofErr w:type="gramStart"/>
      <w:r w:rsidRPr="000C2E93">
        <w:rPr>
          <w:rFonts w:ascii="宋体" w:eastAsia="宋体" w:hAnsi="宋体" w:cs="宋体" w:hint="eastAsia"/>
          <w:sz w:val="18"/>
          <w:szCs w:val="18"/>
        </w:rPr>
        <w:t>六相关</w:t>
      </w:r>
      <w:proofErr w:type="gramEnd"/>
      <w:r w:rsidRPr="000C2E93">
        <w:rPr>
          <w:rFonts w:ascii="宋体" w:eastAsia="宋体" w:hAnsi="宋体" w:cs="宋体" w:hint="eastAsia"/>
          <w:sz w:val="18"/>
          <w:szCs w:val="18"/>
        </w:rPr>
        <w:t>项目。与这些金融工具有关的风险，以及本公司为降低这些风险所采取的风险管理政策如下所述。本公司管理层对这些风险敞口进行管理和监控以确保将上述风险控制在限定的范围之内。</w:t>
      </w:r>
    </w:p>
    <w:p w:rsidR="008D4B2E" w:rsidRPr="000C2E93" w:rsidRDefault="008D4B2E" w:rsidP="00B87081">
      <w:pPr>
        <w:ind w:firstLineChars="200" w:firstLine="360"/>
        <w:divId w:val="1240990478"/>
        <w:rPr>
          <w:rFonts w:ascii="宋体" w:eastAsia="宋体" w:hAnsi="宋体" w:cs="宋体"/>
          <w:sz w:val="18"/>
          <w:szCs w:val="18"/>
        </w:rPr>
      </w:pPr>
      <w:r w:rsidRPr="000C2E93">
        <w:rPr>
          <w:rFonts w:ascii="宋体" w:eastAsia="宋体" w:hAnsi="宋体" w:cs="宋体" w:hint="eastAsia"/>
          <w:sz w:val="18"/>
          <w:szCs w:val="18"/>
        </w:rPr>
        <w:t>本公司采用敏感性分析技术分析风险变量的合理、可能变化对当期损益或股东权益可能产生的影响。由于任何风险变量很少孤立地发生变化，而变量之间存在的相关性对某一风险变量的变化的最终影响金额将产生重大作用，因此下述内容是在假设每一变量的变化是在独立的情况下进行的。</w:t>
      </w:r>
    </w:p>
    <w:p w:rsidR="008D4B2E" w:rsidRPr="000C2E93" w:rsidRDefault="008D4B2E" w:rsidP="00B87081">
      <w:pPr>
        <w:ind w:firstLineChars="200" w:firstLine="360"/>
        <w:divId w:val="1240990478"/>
        <w:rPr>
          <w:rFonts w:ascii="宋体" w:eastAsia="宋体" w:hAnsi="宋体" w:cs="宋体"/>
          <w:sz w:val="18"/>
          <w:szCs w:val="18"/>
        </w:rPr>
      </w:pPr>
      <w:r w:rsidRPr="000C2E93">
        <w:rPr>
          <w:rFonts w:ascii="宋体" w:eastAsia="宋体" w:hAnsi="宋体" w:cs="宋体"/>
          <w:sz w:val="18"/>
          <w:szCs w:val="18"/>
        </w:rPr>
        <w:t>1</w:t>
      </w:r>
      <w:r w:rsidRPr="000C2E93">
        <w:rPr>
          <w:rFonts w:ascii="宋体" w:eastAsia="宋体" w:hAnsi="宋体" w:cs="宋体" w:hint="eastAsia"/>
          <w:sz w:val="18"/>
          <w:szCs w:val="18"/>
        </w:rPr>
        <w:t>、</w:t>
      </w:r>
      <w:r w:rsidRPr="000C2E93">
        <w:rPr>
          <w:rFonts w:ascii="宋体" w:eastAsia="宋体" w:hAnsi="宋体" w:cs="宋体"/>
          <w:sz w:val="18"/>
          <w:szCs w:val="18"/>
        </w:rPr>
        <w:t xml:space="preserve"> </w:t>
      </w:r>
      <w:r w:rsidRPr="000C2E93">
        <w:rPr>
          <w:rFonts w:ascii="宋体" w:eastAsia="宋体" w:hAnsi="宋体" w:cs="宋体" w:hint="eastAsia"/>
          <w:sz w:val="18"/>
          <w:szCs w:val="18"/>
        </w:rPr>
        <w:t>风险管理目标和政策</w:t>
      </w:r>
    </w:p>
    <w:p w:rsidR="008D4B2E" w:rsidRPr="000C2E93" w:rsidRDefault="008D4B2E" w:rsidP="00B87081">
      <w:pPr>
        <w:ind w:firstLineChars="200" w:firstLine="360"/>
        <w:divId w:val="1240990478"/>
        <w:rPr>
          <w:rFonts w:ascii="宋体" w:eastAsia="宋体" w:hAnsi="宋体" w:cs="宋体"/>
          <w:sz w:val="18"/>
          <w:szCs w:val="18"/>
        </w:rPr>
      </w:pPr>
      <w:r w:rsidRPr="000C2E93">
        <w:rPr>
          <w:rFonts w:ascii="宋体" w:eastAsia="宋体" w:hAnsi="宋体" w:cs="宋体" w:hint="eastAsia"/>
          <w:sz w:val="18"/>
          <w:szCs w:val="18"/>
        </w:rPr>
        <w:t>本公司从事风险管理的目标是在风险和收益之间取得适当的平衡，力求降低金融风险对本公司财务业绩的不利影响。基于该风险管理目标，本公司已制定风险管理政策以辨别和分析本公司所面临的风险，设定适当的风险可接受水平并设计相应的内部控制程序，以监控本公司的风险水平。本公司会定期审阅这些风险管理政策及有关内部控制系统，以适应市场情况或本公司经营活动的改变。本公司的内部审计部门也定期或随机检查内部控制系统的执行是否符合风险管理政策。</w:t>
      </w:r>
    </w:p>
    <w:p w:rsidR="008D4B2E" w:rsidRPr="000C2E93" w:rsidRDefault="008D4B2E" w:rsidP="00B87081">
      <w:pPr>
        <w:divId w:val="1240990478"/>
        <w:rPr>
          <w:rFonts w:ascii="宋体" w:eastAsia="宋体" w:hAnsi="宋体" w:cs="宋体"/>
          <w:sz w:val="18"/>
          <w:szCs w:val="18"/>
        </w:rPr>
      </w:pPr>
      <w:r w:rsidRPr="000C2E93">
        <w:rPr>
          <w:rFonts w:ascii="宋体" w:eastAsia="宋体" w:hAnsi="宋体" w:cs="宋体" w:hint="eastAsia"/>
          <w:sz w:val="18"/>
          <w:szCs w:val="18"/>
        </w:rPr>
        <w:t>本公司的金融工具导致的主要风险是是信用风险及流动性风险。</w:t>
      </w:r>
    </w:p>
    <w:p w:rsidR="008D4B2E" w:rsidRPr="000C2E93" w:rsidRDefault="008D4B2E" w:rsidP="00B87081">
      <w:pPr>
        <w:ind w:firstLineChars="200" w:firstLine="360"/>
        <w:divId w:val="1240990478"/>
        <w:rPr>
          <w:rFonts w:ascii="宋体" w:eastAsia="宋体" w:hAnsi="宋体" w:cs="宋体"/>
          <w:sz w:val="18"/>
          <w:szCs w:val="18"/>
        </w:rPr>
      </w:pPr>
      <w:r w:rsidRPr="000C2E93">
        <w:rPr>
          <w:rFonts w:ascii="宋体" w:eastAsia="宋体" w:hAnsi="宋体" w:cs="宋体" w:hint="eastAsia"/>
          <w:sz w:val="18"/>
          <w:szCs w:val="18"/>
        </w:rPr>
        <w:t>（</w:t>
      </w:r>
      <w:r w:rsidRPr="000C2E93">
        <w:rPr>
          <w:rFonts w:ascii="宋体" w:eastAsia="宋体" w:hAnsi="宋体" w:cs="宋体"/>
          <w:sz w:val="18"/>
          <w:szCs w:val="18"/>
        </w:rPr>
        <w:t>1</w:t>
      </w:r>
      <w:r w:rsidRPr="000C2E93">
        <w:rPr>
          <w:rFonts w:ascii="宋体" w:eastAsia="宋体" w:hAnsi="宋体" w:cs="宋体" w:hint="eastAsia"/>
          <w:sz w:val="18"/>
          <w:szCs w:val="18"/>
        </w:rPr>
        <w:t>）信用风险</w:t>
      </w:r>
    </w:p>
    <w:p w:rsidR="008D4B2E" w:rsidRPr="000C2E93" w:rsidRDefault="008D4B2E" w:rsidP="00B87081">
      <w:pPr>
        <w:ind w:firstLineChars="200" w:firstLine="360"/>
        <w:divId w:val="1240990478"/>
        <w:rPr>
          <w:rFonts w:ascii="宋体" w:eastAsia="宋体" w:hAnsi="宋体" w:cs="宋体"/>
          <w:sz w:val="18"/>
          <w:szCs w:val="18"/>
        </w:rPr>
      </w:pPr>
      <w:r w:rsidRPr="000C2E93">
        <w:rPr>
          <w:rFonts w:ascii="宋体" w:eastAsia="宋体" w:hAnsi="宋体" w:cs="宋体" w:hint="eastAsia"/>
          <w:sz w:val="18"/>
          <w:szCs w:val="18"/>
        </w:rPr>
        <w:t>信用风险，是指金融工具的一方不履行义务，造成另一方发生财务损失的风险。</w:t>
      </w:r>
    </w:p>
    <w:p w:rsidR="008D4B2E" w:rsidRPr="000C2E93" w:rsidRDefault="008D4B2E" w:rsidP="00B87081">
      <w:pPr>
        <w:ind w:firstLineChars="200" w:firstLine="360"/>
        <w:divId w:val="1240990478"/>
        <w:rPr>
          <w:rFonts w:ascii="宋体" w:eastAsia="宋体" w:hAnsi="宋体" w:cs="宋体"/>
          <w:sz w:val="18"/>
          <w:szCs w:val="18"/>
        </w:rPr>
      </w:pPr>
      <w:r w:rsidRPr="000C2E93">
        <w:rPr>
          <w:rFonts w:ascii="宋体" w:eastAsia="宋体" w:hAnsi="宋体" w:cs="宋体" w:hint="eastAsia"/>
          <w:sz w:val="18"/>
          <w:szCs w:val="18"/>
        </w:rPr>
        <w:t>本公司对信用风险按组合分类进行管理。信用风险主要产生于银行存款和应收款项等。</w:t>
      </w:r>
    </w:p>
    <w:p w:rsidR="008D4B2E" w:rsidRPr="000C2E93" w:rsidRDefault="008D4B2E" w:rsidP="00B87081">
      <w:pPr>
        <w:ind w:firstLineChars="200" w:firstLine="360"/>
        <w:divId w:val="1240990478"/>
        <w:rPr>
          <w:rFonts w:ascii="宋体" w:eastAsia="宋体" w:hAnsi="宋体" w:cs="宋体"/>
          <w:sz w:val="18"/>
          <w:szCs w:val="18"/>
        </w:rPr>
      </w:pPr>
      <w:r w:rsidRPr="000C2E93">
        <w:rPr>
          <w:rFonts w:ascii="宋体" w:eastAsia="宋体" w:hAnsi="宋体" w:cs="宋体" w:hint="eastAsia"/>
          <w:sz w:val="18"/>
          <w:szCs w:val="18"/>
        </w:rPr>
        <w:t>本公司银行存款主要存放于国有银行和其它大中型上市银行，本公司预期银行存款不存在重大的信用风险。</w:t>
      </w:r>
    </w:p>
    <w:p w:rsidR="008D4B2E" w:rsidRPr="000C2E93" w:rsidRDefault="008D4B2E" w:rsidP="00B87081">
      <w:pPr>
        <w:ind w:firstLineChars="200" w:firstLine="360"/>
        <w:divId w:val="1240990478"/>
        <w:rPr>
          <w:rFonts w:ascii="宋体" w:eastAsia="宋体" w:hAnsi="宋体" w:cs="宋体"/>
          <w:sz w:val="18"/>
          <w:szCs w:val="18"/>
        </w:rPr>
      </w:pPr>
      <w:r w:rsidRPr="000C2E93">
        <w:rPr>
          <w:rFonts w:ascii="宋体" w:eastAsia="宋体" w:hAnsi="宋体" w:cs="宋体" w:hint="eastAsia"/>
          <w:sz w:val="18"/>
          <w:szCs w:val="18"/>
        </w:rPr>
        <w:t>对于应收款项，本公司设定相关政策以控制信用风险敞口。本公司基于对债务人的财务状况、外部评级、从第三方获取担保的可能性、信用记录及其它因素诸如目前市场状况等评估债务人的信用资质并设置相应欠款额度与信用期限。本公司会定期对债务人信用记录进行监控，对于信用记录不良的债务人，本公司会采用书面催款、缩短信用期或取消信用期等方式，以确保本公司的整体信用风险在可控的范围内。</w:t>
      </w:r>
    </w:p>
    <w:p w:rsidR="008D4B2E" w:rsidRPr="000C2E93" w:rsidRDefault="008D4B2E" w:rsidP="00B87081">
      <w:pPr>
        <w:ind w:firstLineChars="200" w:firstLine="360"/>
        <w:divId w:val="1240990478"/>
        <w:rPr>
          <w:rFonts w:ascii="宋体" w:eastAsia="宋体" w:hAnsi="宋体" w:cs="宋体"/>
          <w:sz w:val="18"/>
          <w:szCs w:val="18"/>
        </w:rPr>
      </w:pPr>
      <w:r w:rsidRPr="000C2E93">
        <w:rPr>
          <w:rFonts w:ascii="宋体" w:eastAsia="宋体" w:hAnsi="宋体" w:cs="宋体" w:hint="eastAsia"/>
          <w:sz w:val="18"/>
          <w:szCs w:val="18"/>
        </w:rPr>
        <w:t>本公司所承受的最大信用风险敞口为资产负债表中每项金融资产的账面金额。本公司没有提供任何其他可能令本公司承受信用风险的担保。</w:t>
      </w:r>
    </w:p>
    <w:p w:rsidR="008D4B2E" w:rsidRPr="000C2E93" w:rsidRDefault="008D4B2E" w:rsidP="00B87081">
      <w:pPr>
        <w:ind w:firstLineChars="200" w:firstLine="360"/>
        <w:divId w:val="1240990478"/>
        <w:rPr>
          <w:rFonts w:ascii="宋体" w:eastAsia="宋体" w:hAnsi="宋体" w:cs="宋体"/>
          <w:sz w:val="18"/>
          <w:szCs w:val="18"/>
        </w:rPr>
      </w:pPr>
      <w:r w:rsidRPr="000C2E93">
        <w:rPr>
          <w:rFonts w:ascii="宋体" w:eastAsia="宋体" w:hAnsi="宋体" w:cs="宋体" w:hint="eastAsia"/>
          <w:sz w:val="18"/>
          <w:szCs w:val="18"/>
        </w:rPr>
        <w:t>（</w:t>
      </w:r>
      <w:r w:rsidRPr="000C2E93">
        <w:rPr>
          <w:rFonts w:ascii="宋体" w:eastAsia="宋体" w:hAnsi="宋体" w:cs="宋体"/>
          <w:sz w:val="18"/>
          <w:szCs w:val="18"/>
        </w:rPr>
        <w:t>2</w:t>
      </w:r>
      <w:r w:rsidRPr="000C2E93">
        <w:rPr>
          <w:rFonts w:ascii="宋体" w:eastAsia="宋体" w:hAnsi="宋体" w:cs="宋体" w:hint="eastAsia"/>
          <w:sz w:val="18"/>
          <w:szCs w:val="18"/>
        </w:rPr>
        <w:t>）流动风险</w:t>
      </w:r>
    </w:p>
    <w:p w:rsidR="008D4B2E" w:rsidRPr="000C2E93" w:rsidRDefault="008D4B2E" w:rsidP="00B87081">
      <w:pPr>
        <w:ind w:firstLineChars="200" w:firstLine="360"/>
        <w:divId w:val="1240990478"/>
        <w:rPr>
          <w:rFonts w:ascii="宋体" w:eastAsia="宋体" w:hAnsi="宋体" w:cs="宋体"/>
          <w:sz w:val="18"/>
          <w:szCs w:val="18"/>
        </w:rPr>
      </w:pPr>
      <w:r w:rsidRPr="000C2E93">
        <w:rPr>
          <w:rFonts w:ascii="宋体" w:eastAsia="宋体" w:hAnsi="宋体" w:cs="宋体" w:hint="eastAsia"/>
          <w:sz w:val="18"/>
          <w:szCs w:val="18"/>
        </w:rPr>
        <w:t>流动性风险，是指本公司在履行以交付现金或其他金融资产的方式结算的义务时发生资金短缺的风险。</w:t>
      </w:r>
    </w:p>
    <w:p w:rsidR="008D4B2E" w:rsidRPr="000C2E93" w:rsidRDefault="008D4B2E" w:rsidP="00B87081">
      <w:pPr>
        <w:ind w:firstLineChars="200" w:firstLine="360"/>
        <w:divId w:val="1240990478"/>
        <w:rPr>
          <w:rFonts w:ascii="宋体" w:eastAsia="宋体" w:hAnsi="宋体" w:cs="宋体"/>
          <w:sz w:val="18"/>
          <w:szCs w:val="18"/>
        </w:rPr>
      </w:pPr>
      <w:r w:rsidRPr="000C2E93">
        <w:rPr>
          <w:rFonts w:ascii="宋体" w:eastAsia="宋体" w:hAnsi="宋体" w:cs="宋体" w:hint="eastAsia"/>
          <w:sz w:val="18"/>
          <w:szCs w:val="18"/>
        </w:rPr>
        <w:t>管理流动风险时，本公司保持管理层认为充分的现金及现金等价物并对其进行监控，以满足本公司经营需要，并降低现金流量波动的影响。</w:t>
      </w:r>
    </w:p>
    <w:p w:rsidR="008D4B2E" w:rsidRPr="000C2E93" w:rsidRDefault="008D4B2E" w:rsidP="00B87081">
      <w:pPr>
        <w:ind w:firstLineChars="200" w:firstLine="360"/>
        <w:divId w:val="1240990478"/>
        <w:rPr>
          <w:rFonts w:ascii="宋体" w:eastAsia="宋体" w:hAnsi="宋体" w:cs="宋体"/>
          <w:sz w:val="18"/>
          <w:szCs w:val="18"/>
        </w:rPr>
      </w:pPr>
      <w:r w:rsidRPr="000C2E93">
        <w:rPr>
          <w:rFonts w:ascii="宋体" w:eastAsia="宋体" w:hAnsi="宋体" w:cs="宋体" w:hint="eastAsia"/>
          <w:sz w:val="18"/>
          <w:szCs w:val="18"/>
        </w:rPr>
        <w:t>本公司通过经营业务产生的资金来筹措营运资金。</w:t>
      </w:r>
    </w:p>
    <w:p w:rsidR="008D4B2E" w:rsidRPr="000C2E93" w:rsidRDefault="008D4B2E" w:rsidP="00B87081">
      <w:pPr>
        <w:ind w:firstLineChars="200" w:firstLine="360"/>
        <w:divId w:val="1240990478"/>
        <w:rPr>
          <w:rFonts w:ascii="宋体" w:eastAsia="宋体" w:hAnsi="宋体" w:cs="宋体"/>
          <w:sz w:val="18"/>
          <w:szCs w:val="18"/>
        </w:rPr>
      </w:pPr>
      <w:r w:rsidRPr="000C2E93">
        <w:rPr>
          <w:rFonts w:ascii="宋体" w:eastAsia="宋体" w:hAnsi="宋体" w:cs="宋体"/>
          <w:sz w:val="18"/>
          <w:szCs w:val="18"/>
        </w:rPr>
        <w:t>2</w:t>
      </w:r>
      <w:r w:rsidRPr="000C2E93">
        <w:rPr>
          <w:rFonts w:ascii="宋体" w:eastAsia="宋体" w:hAnsi="宋体" w:cs="宋体" w:hint="eastAsia"/>
          <w:sz w:val="18"/>
          <w:szCs w:val="18"/>
        </w:rPr>
        <w:t>、</w:t>
      </w:r>
      <w:r w:rsidRPr="000C2E93">
        <w:rPr>
          <w:rFonts w:ascii="宋体" w:eastAsia="宋体" w:hAnsi="宋体" w:cs="宋体"/>
          <w:sz w:val="18"/>
          <w:szCs w:val="18"/>
        </w:rPr>
        <w:t xml:space="preserve"> </w:t>
      </w:r>
      <w:r w:rsidRPr="000C2E93">
        <w:rPr>
          <w:rFonts w:ascii="宋体" w:eastAsia="宋体" w:hAnsi="宋体" w:cs="宋体" w:hint="eastAsia"/>
          <w:sz w:val="18"/>
          <w:szCs w:val="18"/>
        </w:rPr>
        <w:t>资本管理</w:t>
      </w:r>
    </w:p>
    <w:p w:rsidR="008D4B2E" w:rsidRPr="000C2E93" w:rsidRDefault="008D4B2E" w:rsidP="00B87081">
      <w:pPr>
        <w:ind w:firstLineChars="200" w:firstLine="360"/>
        <w:divId w:val="1240990478"/>
        <w:rPr>
          <w:rFonts w:ascii="宋体" w:eastAsia="宋体" w:hAnsi="宋体" w:cs="宋体"/>
          <w:sz w:val="18"/>
          <w:szCs w:val="18"/>
        </w:rPr>
      </w:pPr>
      <w:r w:rsidRPr="000C2E93">
        <w:rPr>
          <w:rFonts w:ascii="宋体" w:eastAsia="宋体" w:hAnsi="宋体" w:cs="宋体" w:hint="eastAsia"/>
          <w:sz w:val="18"/>
          <w:szCs w:val="18"/>
        </w:rPr>
        <w:t>本公司资本管理政策的目标是为了保障本公司能够持续经营，从而为股东提供回报，并使其他利益相关者获益，同时维持最佳的资本结构以降低资本成本。</w:t>
      </w:r>
    </w:p>
    <w:p w:rsidR="008D4B2E" w:rsidRPr="000C2E93" w:rsidRDefault="008D4B2E" w:rsidP="00B87081">
      <w:pPr>
        <w:ind w:firstLineChars="200" w:firstLine="360"/>
        <w:divId w:val="1240990478"/>
        <w:rPr>
          <w:rFonts w:ascii="宋体" w:eastAsia="宋体" w:hAnsi="宋体" w:cs="宋体"/>
          <w:sz w:val="18"/>
          <w:szCs w:val="18"/>
        </w:rPr>
      </w:pPr>
      <w:r w:rsidRPr="000C2E93">
        <w:rPr>
          <w:rFonts w:ascii="宋体" w:eastAsia="宋体" w:hAnsi="宋体" w:cs="宋体" w:hint="eastAsia"/>
          <w:sz w:val="18"/>
          <w:szCs w:val="18"/>
        </w:rPr>
        <w:t>为了维持或调整资本结构，本公司可能会调整支付给股东的股利金额、向股东返还资本、发行新股或出售资产以减低债务。</w:t>
      </w:r>
    </w:p>
    <w:p w:rsidR="00BA0365" w:rsidRDefault="008D4B2E">
      <w:pPr>
        <w:pStyle w:val="3"/>
        <w:spacing w:line="280" w:lineRule="exact"/>
        <w:jc w:val="left"/>
        <w:rPr>
          <w:rFonts w:ascii="宋体" w:hAnsi="宋体" w:cs="宋体"/>
          <w:b/>
          <w:bCs/>
        </w:rPr>
      </w:pPr>
      <w:bookmarkStart w:id="373" w:name="_Toc989269"/>
      <w:r>
        <w:rPr>
          <w:rFonts w:ascii="宋体" w:hAnsi="宋体" w:cs="宋体"/>
          <w:b/>
          <w:bCs/>
        </w:rPr>
        <w:t>2、套期</w:t>
      </w:r>
      <w:bookmarkEnd w:id="373"/>
    </w:p>
    <w:p w:rsidR="00BA0365" w:rsidRDefault="008D4B2E">
      <w:pPr>
        <w:keepNext/>
        <w:keepLines/>
        <w:spacing w:before="300" w:after="300" w:line="280" w:lineRule="exact"/>
        <w:outlineLvl w:val="4"/>
        <w:rPr>
          <w:rFonts w:ascii="宋体" w:eastAsia="宋体" w:hAnsi="宋体" w:cs="宋体"/>
          <w:b/>
          <w:bCs/>
          <w:sz w:val="18"/>
          <w:szCs w:val="18"/>
        </w:rPr>
      </w:pPr>
      <w:bookmarkStart w:id="374" w:name="_Toc989270"/>
      <w:r>
        <w:rPr>
          <w:rFonts w:ascii="宋体" w:eastAsia="宋体" w:hAnsi="宋体" w:cs="宋体"/>
          <w:b/>
          <w:bCs/>
          <w:sz w:val="18"/>
          <w:szCs w:val="18"/>
        </w:rPr>
        <w:t>（1） 公司开展套期业务进行风险管理</w:t>
      </w:r>
      <w:bookmarkEnd w:id="374"/>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keepNext/>
        <w:keepLines/>
        <w:spacing w:before="300" w:after="300" w:line="280" w:lineRule="exact"/>
        <w:outlineLvl w:val="4"/>
        <w:rPr>
          <w:rFonts w:ascii="宋体" w:eastAsia="宋体" w:hAnsi="宋体" w:cs="宋体"/>
          <w:b/>
          <w:bCs/>
          <w:sz w:val="18"/>
          <w:szCs w:val="18"/>
        </w:rPr>
      </w:pPr>
      <w:bookmarkStart w:id="375" w:name="_Toc989271"/>
      <w:r>
        <w:rPr>
          <w:rFonts w:ascii="宋体" w:eastAsia="宋体" w:hAnsi="宋体" w:cs="宋体"/>
          <w:b/>
          <w:bCs/>
          <w:sz w:val="18"/>
          <w:szCs w:val="18"/>
        </w:rPr>
        <w:lastRenderedPageBreak/>
        <w:t>（2） 公司开展符合条件套期业务并应用套期会计</w:t>
      </w:r>
      <w:bookmarkEnd w:id="375"/>
    </w:p>
    <w:p w:rsidR="00BA0365" w:rsidRDefault="008D4B2E">
      <w:pPr>
        <w:keepNext/>
        <w:keepLines/>
        <w:spacing w:before="300" w:after="300" w:line="280" w:lineRule="exact"/>
        <w:outlineLvl w:val="3"/>
        <w:rPr>
          <w:rFonts w:ascii="宋体" w:eastAsia="宋体" w:hAnsi="宋体" w:cs="宋体"/>
          <w:b/>
          <w:bCs/>
          <w:sz w:val="18"/>
          <w:szCs w:val="18"/>
        </w:rPr>
      </w:pPr>
      <w:bookmarkStart w:id="376" w:name="_Toc989272"/>
      <w:r>
        <w:rPr>
          <w:rFonts w:ascii="宋体" w:eastAsia="宋体" w:hAnsi="宋体" w:cs="宋体"/>
          <w:b/>
          <w:bCs/>
          <w:sz w:val="18"/>
          <w:szCs w:val="18"/>
        </w:rPr>
        <w:t>（3） 公司开展套期业务进行风险管理、预期能实现风险管理目标但未应用套期会计</w:t>
      </w:r>
      <w:bookmarkEnd w:id="376"/>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pStyle w:val="3"/>
        <w:spacing w:line="280" w:lineRule="exact"/>
        <w:jc w:val="left"/>
        <w:rPr>
          <w:rFonts w:ascii="宋体" w:hAnsi="宋体" w:cs="宋体"/>
          <w:b/>
          <w:bCs/>
        </w:rPr>
      </w:pPr>
      <w:bookmarkStart w:id="377" w:name="_Toc989273"/>
      <w:r>
        <w:rPr>
          <w:rFonts w:ascii="宋体" w:hAnsi="宋体" w:cs="宋体"/>
          <w:b/>
          <w:bCs/>
        </w:rPr>
        <w:t>3、金融资产</w:t>
      </w:r>
      <w:bookmarkEnd w:id="377"/>
    </w:p>
    <w:p w:rsidR="00BA0365" w:rsidRDefault="008D4B2E">
      <w:pPr>
        <w:keepNext/>
        <w:keepLines/>
        <w:spacing w:before="300" w:after="300" w:line="280" w:lineRule="exact"/>
        <w:outlineLvl w:val="3"/>
        <w:rPr>
          <w:rFonts w:ascii="宋体" w:eastAsia="宋体" w:hAnsi="宋体" w:cs="宋体"/>
          <w:b/>
          <w:bCs/>
          <w:sz w:val="18"/>
          <w:szCs w:val="18"/>
        </w:rPr>
      </w:pPr>
      <w:bookmarkStart w:id="378" w:name="_Toc989274"/>
      <w:r>
        <w:rPr>
          <w:rFonts w:ascii="宋体" w:eastAsia="宋体" w:hAnsi="宋体" w:cs="宋体"/>
          <w:b/>
          <w:bCs/>
          <w:sz w:val="18"/>
          <w:szCs w:val="18"/>
        </w:rPr>
        <w:t>（1） 转移方式分类</w:t>
      </w:r>
      <w:bookmarkEnd w:id="378"/>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keepNext/>
        <w:keepLines/>
        <w:spacing w:before="300" w:after="300" w:line="280" w:lineRule="exact"/>
        <w:outlineLvl w:val="3"/>
        <w:rPr>
          <w:rFonts w:ascii="宋体" w:eastAsia="宋体" w:hAnsi="宋体" w:cs="宋体"/>
          <w:b/>
          <w:bCs/>
          <w:sz w:val="18"/>
          <w:szCs w:val="18"/>
        </w:rPr>
      </w:pPr>
      <w:bookmarkStart w:id="379" w:name="_Toc989275"/>
      <w:r>
        <w:rPr>
          <w:rFonts w:ascii="宋体" w:eastAsia="宋体" w:hAnsi="宋体" w:cs="宋体"/>
          <w:b/>
          <w:bCs/>
          <w:sz w:val="18"/>
          <w:szCs w:val="18"/>
        </w:rPr>
        <w:t>（2） 因转移而终止确认的金融资产</w:t>
      </w:r>
      <w:bookmarkEnd w:id="379"/>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keepNext/>
        <w:keepLines/>
        <w:spacing w:before="300" w:after="300" w:line="280" w:lineRule="exact"/>
        <w:outlineLvl w:val="3"/>
        <w:rPr>
          <w:rFonts w:ascii="宋体" w:eastAsia="宋体" w:hAnsi="宋体" w:cs="宋体"/>
          <w:b/>
          <w:bCs/>
          <w:sz w:val="18"/>
          <w:szCs w:val="18"/>
        </w:rPr>
      </w:pPr>
      <w:bookmarkStart w:id="380" w:name="_Toc989276"/>
      <w:r>
        <w:rPr>
          <w:rFonts w:ascii="宋体" w:eastAsia="宋体" w:hAnsi="宋体" w:cs="宋体"/>
          <w:b/>
          <w:bCs/>
          <w:sz w:val="18"/>
          <w:szCs w:val="18"/>
        </w:rPr>
        <w:t>（3） 继续涉入的资产转移金融资产</w:t>
      </w:r>
      <w:bookmarkEnd w:id="380"/>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pStyle w:val="2"/>
        <w:spacing w:before="300" w:after="300" w:line="320" w:lineRule="exact"/>
        <w:rPr>
          <w:rFonts w:ascii="宋体" w:eastAsia="宋体" w:hAnsi="宋体" w:cs="宋体"/>
          <w:b/>
          <w:bCs/>
          <w:sz w:val="24"/>
          <w:szCs w:val="24"/>
        </w:rPr>
      </w:pPr>
      <w:bookmarkStart w:id="381" w:name="_Toc989277"/>
      <w:r>
        <w:rPr>
          <w:rFonts w:ascii="宋体" w:eastAsia="宋体" w:hAnsi="宋体" w:cs="宋体"/>
          <w:b/>
          <w:bCs/>
          <w:sz w:val="24"/>
          <w:szCs w:val="24"/>
        </w:rPr>
        <w:t>十三、公允价值的披露</w:t>
      </w:r>
      <w:bookmarkEnd w:id="381"/>
    </w:p>
    <w:p w:rsidR="00BA0365" w:rsidRDefault="008D4B2E">
      <w:pPr>
        <w:pStyle w:val="3"/>
        <w:spacing w:line="280" w:lineRule="exact"/>
        <w:jc w:val="left"/>
        <w:rPr>
          <w:rFonts w:ascii="宋体" w:hAnsi="宋体" w:cs="宋体"/>
          <w:b/>
          <w:bCs/>
        </w:rPr>
      </w:pPr>
      <w:bookmarkStart w:id="382" w:name="_Toc989278"/>
      <w:r>
        <w:rPr>
          <w:rFonts w:ascii="宋体" w:hAnsi="宋体" w:cs="宋体"/>
          <w:b/>
          <w:bCs/>
        </w:rPr>
        <w:t>1、以公允价值计量的资产和负债的期末公允价值</w:t>
      </w:r>
      <w:bookmarkEnd w:id="382"/>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3227"/>
        <w:gridCol w:w="1559"/>
        <w:gridCol w:w="1559"/>
        <w:gridCol w:w="1560"/>
        <w:gridCol w:w="1734"/>
      </w:tblGrid>
      <w:tr w:rsidR="00157EA0" w:rsidTr="0010486D">
        <w:trPr>
          <w:trHeight w:val="240"/>
        </w:trPr>
        <w:tc>
          <w:tcPr>
            <w:tcW w:w="322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6412"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期末公允价值</w:t>
            </w:r>
          </w:p>
        </w:tc>
      </w:tr>
      <w:tr w:rsidR="00157EA0" w:rsidTr="0010486D">
        <w:trPr>
          <w:trHeight w:val="240"/>
        </w:trPr>
        <w:tc>
          <w:tcPr>
            <w:tcW w:w="322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第一层次公允价值计量</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第二层次公允价值计量</w:t>
            </w:r>
          </w:p>
        </w:tc>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第三层次公允价值计量</w:t>
            </w:r>
          </w:p>
        </w:tc>
        <w:tc>
          <w:tcPr>
            <w:tcW w:w="1734"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157EA0" w:rsidTr="0010486D">
        <w:trPr>
          <w:trHeight w:val="240"/>
        </w:trPr>
        <w:tc>
          <w:tcPr>
            <w:tcW w:w="322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一、持续的公允价值计量</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734"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r w:rsidR="00157EA0" w:rsidTr="0010486D">
        <w:trPr>
          <w:trHeight w:val="240"/>
        </w:trPr>
        <w:tc>
          <w:tcPr>
            <w:tcW w:w="322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（一）交易性金融资产</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650,001,001.00</w:t>
            </w: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7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650,001,001.00</w:t>
            </w:r>
          </w:p>
        </w:tc>
      </w:tr>
      <w:tr w:rsidR="00157EA0" w:rsidTr="0010486D">
        <w:trPr>
          <w:trHeight w:val="240"/>
        </w:trPr>
        <w:tc>
          <w:tcPr>
            <w:tcW w:w="322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1.以公允价值计量且其变动计入当期损益的金融资产</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650,001,001.00</w:t>
            </w: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7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650,001,001.00</w:t>
            </w:r>
          </w:p>
        </w:tc>
      </w:tr>
      <w:tr w:rsidR="00157EA0" w:rsidTr="0010486D">
        <w:trPr>
          <w:trHeight w:val="240"/>
        </w:trPr>
        <w:tc>
          <w:tcPr>
            <w:tcW w:w="322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（4）银行理财产品</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650,001,001.00</w:t>
            </w: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7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650,001,001.00</w:t>
            </w:r>
          </w:p>
        </w:tc>
      </w:tr>
      <w:tr w:rsidR="00157EA0" w:rsidTr="0010486D">
        <w:trPr>
          <w:trHeight w:val="240"/>
        </w:trPr>
        <w:tc>
          <w:tcPr>
            <w:tcW w:w="322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（三）其他权益工具投资</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59,641,039.50</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422,682,853.95</w:t>
            </w:r>
          </w:p>
        </w:tc>
        <w:tc>
          <w:tcPr>
            <w:tcW w:w="17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482,323,893.45</w:t>
            </w:r>
          </w:p>
        </w:tc>
      </w:tr>
      <w:tr w:rsidR="00157EA0" w:rsidTr="0010486D">
        <w:trPr>
          <w:trHeight w:val="240"/>
        </w:trPr>
        <w:tc>
          <w:tcPr>
            <w:tcW w:w="322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（六）应收款项融资</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176,770,743.91</w:t>
            </w:r>
          </w:p>
        </w:tc>
        <w:tc>
          <w:tcPr>
            <w:tcW w:w="17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176,770,743.91</w:t>
            </w:r>
          </w:p>
        </w:tc>
      </w:tr>
      <w:tr w:rsidR="00157EA0" w:rsidTr="0010486D">
        <w:trPr>
          <w:trHeight w:val="240"/>
        </w:trPr>
        <w:tc>
          <w:tcPr>
            <w:tcW w:w="322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持续以公允价值计量的资产总额</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59,641,039.50</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650,001,001.00</w:t>
            </w: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599,453,597.86</w:t>
            </w:r>
          </w:p>
        </w:tc>
        <w:tc>
          <w:tcPr>
            <w:tcW w:w="17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1,309,095,638.36</w:t>
            </w:r>
          </w:p>
        </w:tc>
      </w:tr>
      <w:tr w:rsidR="00157EA0" w:rsidTr="0010486D">
        <w:trPr>
          <w:trHeight w:val="240"/>
        </w:trPr>
        <w:tc>
          <w:tcPr>
            <w:tcW w:w="322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二、非持续的公允价值计量</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c>
          <w:tcPr>
            <w:tcW w:w="1734"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bl>
    <w:p w:rsidR="00BA0365" w:rsidRDefault="00362F1D">
      <w:pPr>
        <w:pStyle w:val="3"/>
        <w:spacing w:line="280" w:lineRule="exact"/>
        <w:jc w:val="left"/>
        <w:rPr>
          <w:rFonts w:ascii="宋体" w:hAnsi="宋体" w:cs="宋体"/>
          <w:b/>
          <w:bCs/>
        </w:rPr>
      </w:pPr>
      <w:bookmarkStart w:id="383" w:name="_Toc989281"/>
      <w:r>
        <w:rPr>
          <w:rFonts w:ascii="宋体" w:hAnsi="宋体" w:cs="宋体"/>
          <w:b/>
          <w:bCs/>
        </w:rPr>
        <w:t>2</w:t>
      </w:r>
      <w:r w:rsidR="008D4B2E">
        <w:rPr>
          <w:rFonts w:ascii="宋体" w:hAnsi="宋体" w:cs="宋体"/>
          <w:b/>
          <w:bCs/>
        </w:rPr>
        <w:t>、持续和非持续第三层次公允价值计量项目，采用的估值技术和重要参数的定性及定量信息</w:t>
      </w:r>
      <w:bookmarkEnd w:id="383"/>
    </w:p>
    <w:p w:rsidR="008D4B2E" w:rsidRDefault="008D4B2E" w:rsidP="0010486D">
      <w:pPr>
        <w:pStyle w:val="a3"/>
        <w:spacing w:before="0" w:beforeAutospacing="0" w:after="0" w:afterAutospacing="0" w:line="400" w:lineRule="atLeast"/>
        <w:ind w:firstLine="400"/>
        <w:jc w:val="both"/>
        <w:divId w:val="1732457974"/>
        <w:rPr>
          <w:rFonts w:ascii="Arial" w:hAnsi="Arial" w:cs="Arial"/>
          <w:sz w:val="18"/>
          <w:szCs w:val="18"/>
        </w:rPr>
      </w:pPr>
      <w:r>
        <w:rPr>
          <w:rFonts w:cs="Arial" w:hint="eastAsia"/>
          <w:sz w:val="18"/>
          <w:szCs w:val="18"/>
        </w:rPr>
        <w:t>持续和非持续第三层次公允价值计量项目，采用的估值技术和重要参数的定性及定量信息对于不存在活跃市场交易的其他权益工具投资，公司对其他权益工具投资的和交易性金融资产的权益工具投资单位即不控制、共同控制，也不具有重大影响，系非上市或挂牌流通的企业股权，因用以确定公允价值的近期信息不足，因此本公司均采用成本计量。</w:t>
      </w:r>
    </w:p>
    <w:p w:rsidR="00BA0365" w:rsidRDefault="008D4B2E">
      <w:pPr>
        <w:pStyle w:val="2"/>
        <w:spacing w:before="300" w:after="300" w:line="320" w:lineRule="exact"/>
        <w:rPr>
          <w:rFonts w:ascii="宋体" w:eastAsia="宋体" w:hAnsi="宋体" w:cs="宋体"/>
          <w:b/>
          <w:bCs/>
          <w:sz w:val="24"/>
          <w:szCs w:val="24"/>
        </w:rPr>
      </w:pPr>
      <w:bookmarkStart w:id="384" w:name="_Toc989287"/>
      <w:r>
        <w:rPr>
          <w:rFonts w:ascii="宋体" w:eastAsia="宋体" w:hAnsi="宋体" w:cs="宋体"/>
          <w:b/>
          <w:bCs/>
          <w:sz w:val="24"/>
          <w:szCs w:val="24"/>
        </w:rPr>
        <w:lastRenderedPageBreak/>
        <w:t>十四、关联方及关联交易</w:t>
      </w:r>
      <w:bookmarkEnd w:id="384"/>
    </w:p>
    <w:p w:rsidR="00BA0365" w:rsidRDefault="008D4B2E">
      <w:pPr>
        <w:pStyle w:val="3"/>
        <w:spacing w:line="280" w:lineRule="exact"/>
        <w:jc w:val="left"/>
        <w:rPr>
          <w:rFonts w:ascii="宋体" w:hAnsi="宋体" w:cs="宋体"/>
          <w:b/>
          <w:bCs/>
        </w:rPr>
      </w:pPr>
      <w:bookmarkStart w:id="385" w:name="_Toc989288"/>
      <w:r>
        <w:rPr>
          <w:rFonts w:ascii="宋体" w:hAnsi="宋体" w:cs="宋体"/>
          <w:b/>
          <w:bCs/>
        </w:rPr>
        <w:t>1、本企业的母公司情况</w:t>
      </w:r>
      <w:bookmarkEnd w:id="385"/>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本企业的母公司情况的说明</w:t>
      </w:r>
    </w:p>
    <w:tbl>
      <w:tblPr>
        <w:tblW w:w="9526" w:type="dxa"/>
        <w:tblCellMar>
          <w:left w:w="0" w:type="dxa"/>
          <w:right w:w="0" w:type="dxa"/>
        </w:tblCellMar>
        <w:tblLook w:val="04A0" w:firstRow="1" w:lastRow="0" w:firstColumn="1" w:lastColumn="0" w:noHBand="0" w:noVBand="1"/>
      </w:tblPr>
      <w:tblGrid>
        <w:gridCol w:w="2802"/>
        <w:gridCol w:w="2186"/>
        <w:gridCol w:w="2186"/>
        <w:gridCol w:w="2352"/>
      </w:tblGrid>
      <w:tr w:rsidR="008D4B2E" w:rsidTr="00362F1D">
        <w:trPr>
          <w:divId w:val="1048996220"/>
          <w:trHeight w:val="397"/>
          <w:tblHeader/>
        </w:trPr>
        <w:tc>
          <w:tcPr>
            <w:tcW w:w="2802" w:type="dxa"/>
            <w:tcBorders>
              <w:top w:val="single" w:sz="8" w:space="0" w:color="auto"/>
              <w:left w:val="single" w:sz="8" w:space="0" w:color="auto"/>
              <w:bottom w:val="single" w:sz="8" w:space="0" w:color="auto"/>
              <w:right w:val="single" w:sz="8" w:space="0" w:color="auto"/>
            </w:tcBorders>
            <w:shd w:val="clear" w:color="auto" w:fill="D3D3D3"/>
            <w:tcMar>
              <w:top w:w="0" w:type="dxa"/>
              <w:left w:w="28" w:type="dxa"/>
              <w:bottom w:w="0" w:type="dxa"/>
              <w:right w:w="28" w:type="dxa"/>
            </w:tcMar>
            <w:vAlign w:val="center"/>
            <w:hideMark/>
          </w:tcPr>
          <w:p w:rsidR="008D4B2E" w:rsidRPr="000C2E93" w:rsidRDefault="008D4B2E" w:rsidP="000C2E93">
            <w:pPr>
              <w:spacing w:line="240" w:lineRule="exact"/>
              <w:jc w:val="center"/>
              <w:rPr>
                <w:rFonts w:ascii="宋体" w:eastAsia="宋体" w:hAnsi="宋体" w:cs="宋体"/>
                <w:sz w:val="18"/>
                <w:szCs w:val="18"/>
              </w:rPr>
            </w:pPr>
            <w:r w:rsidRPr="000C2E93">
              <w:rPr>
                <w:rFonts w:ascii="宋体" w:eastAsia="宋体" w:hAnsi="宋体" w:cs="宋体" w:hint="eastAsia"/>
                <w:sz w:val="18"/>
                <w:szCs w:val="18"/>
              </w:rPr>
              <w:t>控股股东名称</w:t>
            </w:r>
          </w:p>
        </w:tc>
        <w:tc>
          <w:tcPr>
            <w:tcW w:w="2186" w:type="dxa"/>
            <w:tcBorders>
              <w:top w:val="single" w:sz="8" w:space="0" w:color="auto"/>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rsidR="008D4B2E" w:rsidRPr="000C2E93" w:rsidRDefault="008D4B2E" w:rsidP="000C2E93">
            <w:pPr>
              <w:spacing w:line="240" w:lineRule="exact"/>
              <w:jc w:val="center"/>
              <w:rPr>
                <w:rFonts w:ascii="宋体" w:eastAsia="宋体" w:hAnsi="宋体" w:cs="宋体"/>
                <w:sz w:val="18"/>
                <w:szCs w:val="18"/>
              </w:rPr>
            </w:pPr>
            <w:r w:rsidRPr="000C2E93">
              <w:rPr>
                <w:rFonts w:ascii="宋体" w:eastAsia="宋体" w:hAnsi="宋体" w:cs="宋体" w:hint="eastAsia"/>
                <w:sz w:val="18"/>
                <w:szCs w:val="18"/>
              </w:rPr>
              <w:t>对本公司持股比例</w:t>
            </w:r>
            <w:r w:rsidRPr="000C2E93">
              <w:rPr>
                <w:rFonts w:ascii="宋体" w:eastAsia="宋体" w:hAnsi="宋体" w:cs="宋体"/>
                <w:sz w:val="18"/>
                <w:szCs w:val="18"/>
              </w:rPr>
              <w:t>%</w:t>
            </w:r>
          </w:p>
        </w:tc>
        <w:tc>
          <w:tcPr>
            <w:tcW w:w="2186" w:type="dxa"/>
            <w:tcBorders>
              <w:top w:val="single" w:sz="8" w:space="0" w:color="auto"/>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rsidR="008D4B2E" w:rsidRPr="000C2E93" w:rsidRDefault="008D4B2E" w:rsidP="000C2E93">
            <w:pPr>
              <w:spacing w:line="240" w:lineRule="exact"/>
              <w:jc w:val="center"/>
              <w:rPr>
                <w:rFonts w:ascii="宋体" w:eastAsia="宋体" w:hAnsi="宋体" w:cs="宋体"/>
                <w:sz w:val="18"/>
                <w:szCs w:val="18"/>
              </w:rPr>
            </w:pPr>
            <w:r w:rsidRPr="000C2E93">
              <w:rPr>
                <w:rFonts w:ascii="宋体" w:eastAsia="宋体" w:hAnsi="宋体" w:cs="宋体" w:hint="eastAsia"/>
                <w:sz w:val="18"/>
                <w:szCs w:val="18"/>
              </w:rPr>
              <w:t>对本公司表决权比例</w:t>
            </w:r>
            <w:r w:rsidRPr="000C2E93">
              <w:rPr>
                <w:rFonts w:ascii="宋体" w:eastAsia="宋体" w:hAnsi="宋体" w:cs="宋体"/>
                <w:sz w:val="18"/>
                <w:szCs w:val="18"/>
              </w:rPr>
              <w:t>%</w:t>
            </w:r>
          </w:p>
        </w:tc>
        <w:tc>
          <w:tcPr>
            <w:tcW w:w="2352" w:type="dxa"/>
            <w:tcBorders>
              <w:top w:val="single" w:sz="8" w:space="0" w:color="auto"/>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rsidR="008D4B2E" w:rsidRPr="000C2E93" w:rsidRDefault="008D4B2E" w:rsidP="000C2E93">
            <w:pPr>
              <w:spacing w:line="240" w:lineRule="exact"/>
              <w:jc w:val="center"/>
              <w:rPr>
                <w:rFonts w:ascii="宋体" w:eastAsia="宋体" w:hAnsi="宋体" w:cs="宋体"/>
                <w:sz w:val="18"/>
                <w:szCs w:val="18"/>
              </w:rPr>
            </w:pPr>
            <w:r w:rsidRPr="000C2E93">
              <w:rPr>
                <w:rFonts w:ascii="宋体" w:eastAsia="宋体" w:hAnsi="宋体" w:cs="宋体" w:hint="eastAsia"/>
                <w:sz w:val="18"/>
                <w:szCs w:val="18"/>
              </w:rPr>
              <w:t>与本公司关系</w:t>
            </w:r>
          </w:p>
        </w:tc>
      </w:tr>
      <w:tr w:rsidR="008D4B2E" w:rsidTr="00362F1D">
        <w:trPr>
          <w:divId w:val="1048996220"/>
          <w:trHeight w:val="397"/>
        </w:trPr>
        <w:tc>
          <w:tcPr>
            <w:tcW w:w="2802"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8D4B2E" w:rsidRPr="000C2E93" w:rsidRDefault="008D4B2E" w:rsidP="000C2E93">
            <w:pPr>
              <w:spacing w:line="240" w:lineRule="exact"/>
              <w:jc w:val="center"/>
              <w:rPr>
                <w:rFonts w:ascii="宋体" w:eastAsia="宋体" w:hAnsi="宋体" w:cs="宋体"/>
                <w:sz w:val="18"/>
                <w:szCs w:val="18"/>
              </w:rPr>
            </w:pPr>
            <w:r w:rsidRPr="000C2E93">
              <w:rPr>
                <w:rFonts w:ascii="宋体" w:eastAsia="宋体" w:hAnsi="宋体" w:cs="宋体" w:hint="eastAsia"/>
                <w:sz w:val="18"/>
                <w:szCs w:val="18"/>
              </w:rPr>
              <w:t>袁仲雪</w:t>
            </w:r>
          </w:p>
        </w:tc>
        <w:tc>
          <w:tcPr>
            <w:tcW w:w="218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8D4B2E" w:rsidRPr="000C2E93" w:rsidRDefault="008D4B2E" w:rsidP="000C2E93">
            <w:pPr>
              <w:spacing w:line="240" w:lineRule="exact"/>
              <w:jc w:val="center"/>
              <w:rPr>
                <w:rFonts w:ascii="宋体" w:eastAsia="宋体" w:hAnsi="宋体" w:cs="宋体"/>
                <w:sz w:val="18"/>
                <w:szCs w:val="18"/>
              </w:rPr>
            </w:pPr>
            <w:r w:rsidRPr="000C2E93">
              <w:rPr>
                <w:rFonts w:ascii="宋体" w:eastAsia="宋体" w:hAnsi="宋体" w:cs="宋体"/>
                <w:sz w:val="18"/>
                <w:szCs w:val="18"/>
              </w:rPr>
              <w:t>14.36</w:t>
            </w:r>
          </w:p>
        </w:tc>
        <w:tc>
          <w:tcPr>
            <w:tcW w:w="2186"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8D4B2E" w:rsidRPr="000C2E93" w:rsidRDefault="008D4B2E" w:rsidP="000C2E93">
            <w:pPr>
              <w:spacing w:line="240" w:lineRule="exact"/>
              <w:jc w:val="center"/>
              <w:rPr>
                <w:rFonts w:ascii="宋体" w:eastAsia="宋体" w:hAnsi="宋体" w:cs="宋体"/>
                <w:sz w:val="18"/>
                <w:szCs w:val="18"/>
              </w:rPr>
            </w:pPr>
            <w:r w:rsidRPr="000C2E93">
              <w:rPr>
                <w:rFonts w:ascii="宋体" w:eastAsia="宋体" w:hAnsi="宋体" w:cs="宋体"/>
                <w:sz w:val="18"/>
                <w:szCs w:val="18"/>
              </w:rPr>
              <w:t>14.36</w:t>
            </w:r>
          </w:p>
        </w:tc>
        <w:tc>
          <w:tcPr>
            <w:tcW w:w="2352" w:type="dxa"/>
            <w:tcBorders>
              <w:top w:val="nil"/>
              <w:left w:val="nil"/>
              <w:bottom w:val="single" w:sz="8" w:space="0" w:color="auto"/>
              <w:right w:val="single" w:sz="8" w:space="0" w:color="auto"/>
            </w:tcBorders>
            <w:tcMar>
              <w:top w:w="0" w:type="dxa"/>
              <w:left w:w="28" w:type="dxa"/>
              <w:bottom w:w="0" w:type="dxa"/>
              <w:right w:w="28" w:type="dxa"/>
            </w:tcMar>
            <w:vAlign w:val="center"/>
            <w:hideMark/>
          </w:tcPr>
          <w:p w:rsidR="008D4B2E" w:rsidRPr="000C2E93" w:rsidRDefault="008D4B2E" w:rsidP="000C2E93">
            <w:pPr>
              <w:spacing w:line="240" w:lineRule="exact"/>
              <w:jc w:val="center"/>
              <w:rPr>
                <w:rFonts w:ascii="宋体" w:eastAsia="宋体" w:hAnsi="宋体" w:cs="宋体"/>
                <w:sz w:val="18"/>
                <w:szCs w:val="18"/>
              </w:rPr>
            </w:pPr>
            <w:r w:rsidRPr="000C2E93">
              <w:rPr>
                <w:rFonts w:ascii="宋体" w:eastAsia="宋体" w:hAnsi="宋体" w:cs="宋体" w:hint="eastAsia"/>
                <w:sz w:val="18"/>
                <w:szCs w:val="18"/>
              </w:rPr>
              <w:t>控股股东、实际控制人</w:t>
            </w:r>
          </w:p>
        </w:tc>
      </w:tr>
    </w:tbl>
    <w:p w:rsidR="0010486D" w:rsidRDefault="008D4B2E" w:rsidP="00B87081">
      <w:pPr>
        <w:divId w:val="1048996220"/>
        <w:rPr>
          <w:rFonts w:ascii="宋体" w:eastAsia="宋体" w:hAnsi="宋体" w:cs="宋体"/>
          <w:sz w:val="18"/>
          <w:szCs w:val="18"/>
        </w:rPr>
      </w:pPr>
      <w:r w:rsidRPr="000C2E93">
        <w:rPr>
          <w:rFonts w:ascii="宋体" w:eastAsia="宋体" w:hAnsi="宋体" w:cs="宋体" w:hint="eastAsia"/>
          <w:sz w:val="18"/>
          <w:szCs w:val="18"/>
        </w:rPr>
        <w:t>说明：</w:t>
      </w:r>
    </w:p>
    <w:p w:rsidR="008D4B2E" w:rsidRPr="000C2E93" w:rsidRDefault="008D4B2E" w:rsidP="00B87081">
      <w:pPr>
        <w:ind w:firstLineChars="200" w:firstLine="360"/>
        <w:divId w:val="1048996220"/>
        <w:rPr>
          <w:rFonts w:ascii="宋体" w:eastAsia="宋体" w:hAnsi="宋体" w:cs="宋体"/>
          <w:sz w:val="18"/>
          <w:szCs w:val="18"/>
        </w:rPr>
      </w:pPr>
      <w:r w:rsidRPr="000C2E93">
        <w:rPr>
          <w:rFonts w:ascii="宋体" w:eastAsia="宋体" w:hAnsi="宋体" w:cs="宋体" w:hint="eastAsia"/>
          <w:sz w:val="18"/>
          <w:szCs w:val="18"/>
        </w:rPr>
        <w:t>公司控股股东袁仲雪先生及其控股的青岛瑞元鼎辉控股有限公司共持有公司股份</w:t>
      </w:r>
      <w:r w:rsidRPr="000C2E93">
        <w:rPr>
          <w:rFonts w:ascii="宋体" w:eastAsia="宋体" w:hAnsi="宋体" w:cs="宋体"/>
          <w:sz w:val="18"/>
          <w:szCs w:val="18"/>
        </w:rPr>
        <w:t>150,725,486</w:t>
      </w:r>
      <w:r w:rsidRPr="000C2E93">
        <w:rPr>
          <w:rFonts w:ascii="宋体" w:eastAsia="宋体" w:hAnsi="宋体" w:cs="宋体" w:hint="eastAsia"/>
          <w:sz w:val="18"/>
          <w:szCs w:val="18"/>
        </w:rPr>
        <w:t>股，占公司股份总数的</w:t>
      </w:r>
      <w:r w:rsidRPr="000C2E93">
        <w:rPr>
          <w:rFonts w:ascii="宋体" w:eastAsia="宋体" w:hAnsi="宋体" w:cs="宋体"/>
          <w:sz w:val="18"/>
          <w:szCs w:val="18"/>
        </w:rPr>
        <w:t>14.89%</w:t>
      </w:r>
      <w:r w:rsidRPr="000C2E93">
        <w:rPr>
          <w:rFonts w:ascii="宋体" w:eastAsia="宋体" w:hAnsi="宋体" w:cs="宋体" w:hint="eastAsia"/>
          <w:sz w:val="18"/>
          <w:szCs w:val="18"/>
        </w:rPr>
        <w:t>。</w:t>
      </w:r>
    </w:p>
    <w:p w:rsidR="008D4B2E" w:rsidRPr="000C2E93" w:rsidRDefault="008D4B2E" w:rsidP="00B87081">
      <w:pPr>
        <w:ind w:firstLineChars="200" w:firstLine="360"/>
        <w:divId w:val="1048996220"/>
        <w:rPr>
          <w:rFonts w:ascii="宋体" w:eastAsia="宋体" w:hAnsi="宋体" w:cs="宋体"/>
          <w:sz w:val="18"/>
          <w:szCs w:val="18"/>
        </w:rPr>
      </w:pPr>
      <w:r w:rsidRPr="000C2E93">
        <w:rPr>
          <w:rFonts w:ascii="宋体" w:eastAsia="宋体" w:hAnsi="宋体" w:cs="宋体"/>
          <w:sz w:val="18"/>
          <w:szCs w:val="18"/>
        </w:rPr>
        <w:t>2022</w:t>
      </w:r>
      <w:r w:rsidRPr="000C2E93">
        <w:rPr>
          <w:rFonts w:ascii="宋体" w:eastAsia="宋体" w:hAnsi="宋体" w:cs="宋体" w:hint="eastAsia"/>
          <w:sz w:val="18"/>
          <w:szCs w:val="18"/>
        </w:rPr>
        <w:t>年</w:t>
      </w:r>
      <w:r w:rsidRPr="000C2E93">
        <w:rPr>
          <w:rFonts w:ascii="宋体" w:eastAsia="宋体" w:hAnsi="宋体" w:cs="宋体"/>
          <w:sz w:val="18"/>
          <w:szCs w:val="18"/>
        </w:rPr>
        <w:t>6</w:t>
      </w:r>
      <w:r w:rsidRPr="000C2E93">
        <w:rPr>
          <w:rFonts w:ascii="宋体" w:eastAsia="宋体" w:hAnsi="宋体" w:cs="宋体" w:hint="eastAsia"/>
          <w:sz w:val="18"/>
          <w:szCs w:val="18"/>
        </w:rPr>
        <w:t>月</w:t>
      </w:r>
      <w:r w:rsidRPr="000C2E93">
        <w:rPr>
          <w:rFonts w:ascii="宋体" w:eastAsia="宋体" w:hAnsi="宋体" w:cs="宋体"/>
          <w:sz w:val="18"/>
          <w:szCs w:val="18"/>
        </w:rPr>
        <w:t>1</w:t>
      </w:r>
      <w:r w:rsidRPr="000C2E93">
        <w:rPr>
          <w:rFonts w:ascii="宋体" w:eastAsia="宋体" w:hAnsi="宋体" w:cs="宋体" w:hint="eastAsia"/>
          <w:sz w:val="18"/>
          <w:szCs w:val="18"/>
        </w:rPr>
        <w:t>日董事会公告袁仲雪先生及其一致行动人青岛瑞元鼎辉控股有限公司将所持有本公司的部分股份予以质押，质押开始日</w:t>
      </w:r>
      <w:r w:rsidRPr="000C2E93">
        <w:rPr>
          <w:rFonts w:ascii="宋体" w:eastAsia="宋体" w:hAnsi="宋体" w:cs="宋体"/>
          <w:sz w:val="18"/>
          <w:szCs w:val="18"/>
        </w:rPr>
        <w:t>2022</w:t>
      </w:r>
      <w:r w:rsidRPr="000C2E93">
        <w:rPr>
          <w:rFonts w:ascii="宋体" w:eastAsia="宋体" w:hAnsi="宋体" w:cs="宋体" w:hint="eastAsia"/>
          <w:sz w:val="18"/>
          <w:szCs w:val="18"/>
        </w:rPr>
        <w:t>年</w:t>
      </w:r>
      <w:r w:rsidRPr="000C2E93">
        <w:rPr>
          <w:rFonts w:ascii="宋体" w:eastAsia="宋体" w:hAnsi="宋体" w:cs="宋体"/>
          <w:sz w:val="18"/>
          <w:szCs w:val="18"/>
        </w:rPr>
        <w:t>5</w:t>
      </w:r>
      <w:r w:rsidRPr="000C2E93">
        <w:rPr>
          <w:rFonts w:ascii="宋体" w:eastAsia="宋体" w:hAnsi="宋体" w:cs="宋体" w:hint="eastAsia"/>
          <w:sz w:val="18"/>
          <w:szCs w:val="18"/>
        </w:rPr>
        <w:t>月</w:t>
      </w:r>
      <w:r w:rsidRPr="000C2E93">
        <w:rPr>
          <w:rFonts w:ascii="宋体" w:eastAsia="宋体" w:hAnsi="宋体" w:cs="宋体"/>
          <w:sz w:val="18"/>
          <w:szCs w:val="18"/>
        </w:rPr>
        <w:t>24</w:t>
      </w:r>
      <w:r w:rsidRPr="000C2E93">
        <w:rPr>
          <w:rFonts w:ascii="宋体" w:eastAsia="宋体" w:hAnsi="宋体" w:cs="宋体" w:hint="eastAsia"/>
          <w:sz w:val="18"/>
          <w:szCs w:val="18"/>
        </w:rPr>
        <w:t>日，质押到期日</w:t>
      </w:r>
      <w:r w:rsidRPr="000C2E93">
        <w:rPr>
          <w:rFonts w:ascii="宋体" w:eastAsia="宋体" w:hAnsi="宋体" w:cs="宋体"/>
          <w:sz w:val="18"/>
          <w:szCs w:val="18"/>
        </w:rPr>
        <w:t>2025</w:t>
      </w:r>
      <w:r w:rsidRPr="000C2E93">
        <w:rPr>
          <w:rFonts w:ascii="宋体" w:eastAsia="宋体" w:hAnsi="宋体" w:cs="宋体" w:hint="eastAsia"/>
          <w:sz w:val="18"/>
          <w:szCs w:val="18"/>
        </w:rPr>
        <w:t>年</w:t>
      </w:r>
      <w:r w:rsidRPr="000C2E93">
        <w:rPr>
          <w:rFonts w:ascii="宋体" w:eastAsia="宋体" w:hAnsi="宋体" w:cs="宋体"/>
          <w:sz w:val="18"/>
          <w:szCs w:val="18"/>
        </w:rPr>
        <w:t>5</w:t>
      </w:r>
      <w:r w:rsidRPr="000C2E93">
        <w:rPr>
          <w:rFonts w:ascii="宋体" w:eastAsia="宋体" w:hAnsi="宋体" w:cs="宋体" w:hint="eastAsia"/>
          <w:sz w:val="18"/>
          <w:szCs w:val="18"/>
        </w:rPr>
        <w:t>月</w:t>
      </w:r>
      <w:r w:rsidRPr="000C2E93">
        <w:rPr>
          <w:rFonts w:ascii="宋体" w:eastAsia="宋体" w:hAnsi="宋体" w:cs="宋体"/>
          <w:sz w:val="18"/>
          <w:szCs w:val="18"/>
        </w:rPr>
        <w:t>23</w:t>
      </w:r>
      <w:r w:rsidRPr="000C2E93">
        <w:rPr>
          <w:rFonts w:ascii="宋体" w:eastAsia="宋体" w:hAnsi="宋体" w:cs="宋体" w:hint="eastAsia"/>
          <w:sz w:val="18"/>
          <w:szCs w:val="18"/>
        </w:rPr>
        <w:t>日，质权人青岛农村商业银行股份有限公司李沧支行，质押股份累计数量为</w:t>
      </w:r>
      <w:r w:rsidRPr="000C2E93">
        <w:rPr>
          <w:rFonts w:ascii="宋体" w:eastAsia="宋体" w:hAnsi="宋体" w:cs="宋体"/>
          <w:sz w:val="18"/>
          <w:szCs w:val="18"/>
        </w:rPr>
        <w:t>115,000,000</w:t>
      </w:r>
      <w:r w:rsidRPr="000C2E93">
        <w:rPr>
          <w:rFonts w:ascii="宋体" w:eastAsia="宋体" w:hAnsi="宋体" w:cs="宋体" w:hint="eastAsia"/>
          <w:sz w:val="18"/>
          <w:szCs w:val="18"/>
        </w:rPr>
        <w:t>股，占其所持股份比例为</w:t>
      </w:r>
      <w:r w:rsidRPr="000C2E93">
        <w:rPr>
          <w:rFonts w:ascii="宋体" w:eastAsia="宋体" w:hAnsi="宋体" w:cs="宋体"/>
          <w:sz w:val="18"/>
          <w:szCs w:val="18"/>
        </w:rPr>
        <w:t>79.14%</w:t>
      </w:r>
      <w:r w:rsidRPr="000C2E93">
        <w:rPr>
          <w:rFonts w:ascii="宋体" w:eastAsia="宋体" w:hAnsi="宋体" w:cs="宋体" w:hint="eastAsia"/>
          <w:sz w:val="18"/>
          <w:szCs w:val="18"/>
        </w:rPr>
        <w:t>，占公司总股本比例为</w:t>
      </w:r>
      <w:r w:rsidRPr="000C2E93">
        <w:rPr>
          <w:rFonts w:ascii="宋体" w:eastAsia="宋体" w:hAnsi="宋体" w:cs="宋体"/>
          <w:sz w:val="18"/>
          <w:szCs w:val="18"/>
        </w:rPr>
        <w:t>11.36%</w:t>
      </w:r>
      <w:r w:rsidRPr="000C2E93">
        <w:rPr>
          <w:rFonts w:ascii="宋体" w:eastAsia="宋体" w:hAnsi="宋体" w:cs="宋体" w:hint="eastAsia"/>
          <w:sz w:val="18"/>
          <w:szCs w:val="18"/>
        </w:rPr>
        <w:t>。</w:t>
      </w:r>
    </w:p>
    <w:p w:rsidR="00BA0365" w:rsidRDefault="008D4B2E" w:rsidP="00B87081">
      <w:pPr>
        <w:ind w:firstLineChars="200" w:firstLine="360"/>
        <w:rPr>
          <w:rFonts w:ascii="宋体" w:eastAsia="宋体" w:hAnsi="宋体" w:cs="宋体"/>
          <w:sz w:val="18"/>
          <w:szCs w:val="18"/>
        </w:rPr>
      </w:pPr>
      <w:r>
        <w:rPr>
          <w:rFonts w:ascii="宋体" w:eastAsia="宋体" w:hAnsi="宋体" w:cs="宋体"/>
          <w:sz w:val="18"/>
          <w:szCs w:val="18"/>
        </w:rPr>
        <w:t>本企业最终控制方是袁仲雪。</w:t>
      </w:r>
    </w:p>
    <w:p w:rsidR="00BA0365" w:rsidRDefault="008D4B2E">
      <w:pPr>
        <w:pStyle w:val="3"/>
        <w:spacing w:line="280" w:lineRule="exact"/>
        <w:jc w:val="left"/>
        <w:rPr>
          <w:rFonts w:ascii="宋体" w:hAnsi="宋体" w:cs="宋体"/>
          <w:b/>
          <w:bCs/>
        </w:rPr>
      </w:pPr>
      <w:bookmarkStart w:id="386" w:name="_Toc989289"/>
      <w:r>
        <w:rPr>
          <w:rFonts w:ascii="宋体" w:hAnsi="宋体" w:cs="宋体"/>
          <w:b/>
          <w:bCs/>
        </w:rPr>
        <w:t>2、本企业的子公司情况</w:t>
      </w:r>
      <w:bookmarkEnd w:id="386"/>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本企业子公司的情况详见附注十、1、在子公司中的权益。</w:t>
      </w:r>
    </w:p>
    <w:p w:rsidR="00BA0365" w:rsidRDefault="008D4B2E">
      <w:pPr>
        <w:pStyle w:val="3"/>
        <w:spacing w:line="280" w:lineRule="exact"/>
        <w:jc w:val="left"/>
        <w:rPr>
          <w:rFonts w:ascii="宋体" w:hAnsi="宋体" w:cs="宋体"/>
          <w:b/>
          <w:bCs/>
        </w:rPr>
      </w:pPr>
      <w:bookmarkStart w:id="387" w:name="_Toc989290"/>
      <w:r>
        <w:rPr>
          <w:rFonts w:ascii="宋体" w:hAnsi="宋体" w:cs="宋体"/>
          <w:b/>
          <w:bCs/>
        </w:rPr>
        <w:t>3、本企业合营和联营企业情况</w:t>
      </w:r>
      <w:bookmarkEnd w:id="387"/>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本企业重要的合营或联营企业详见附注十、3、在合营企业或联营企业中的权益。</w:t>
      </w:r>
    </w:p>
    <w:p w:rsidR="00BA0365" w:rsidRDefault="008D4B2E">
      <w:pPr>
        <w:pStyle w:val="3"/>
        <w:spacing w:line="280" w:lineRule="exact"/>
        <w:jc w:val="left"/>
        <w:rPr>
          <w:rFonts w:ascii="宋体" w:hAnsi="宋体" w:cs="宋体"/>
          <w:b/>
          <w:bCs/>
        </w:rPr>
      </w:pPr>
      <w:bookmarkStart w:id="388" w:name="_Toc989291"/>
      <w:r>
        <w:rPr>
          <w:rFonts w:ascii="宋体" w:hAnsi="宋体" w:cs="宋体"/>
          <w:b/>
          <w:bCs/>
        </w:rPr>
        <w:t>4、其他关联方情况</w:t>
      </w:r>
      <w:bookmarkEnd w:id="388"/>
    </w:p>
    <w:tbl>
      <w:tblPr>
        <w:tblW w:w="9639" w:type="dxa"/>
        <w:tblLayout w:type="fixed"/>
        <w:tblLook w:val="04A0" w:firstRow="1" w:lastRow="0" w:firstColumn="1" w:lastColumn="0" w:noHBand="0" w:noVBand="1"/>
      </w:tblPr>
      <w:tblGrid>
        <w:gridCol w:w="4820"/>
        <w:gridCol w:w="4819"/>
      </w:tblGrid>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其他关联方名称</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其他关联方与本企业关系</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怡</w:t>
            </w:r>
            <w:proofErr w:type="gramEnd"/>
            <w:r>
              <w:rPr>
                <w:rFonts w:ascii="宋体" w:eastAsia="宋体" w:hAnsi="宋体" w:cs="宋体"/>
                <w:sz w:val="18"/>
                <w:szCs w:val="18"/>
              </w:rPr>
              <w:t>维</w:t>
            </w:r>
            <w:proofErr w:type="gramStart"/>
            <w:r>
              <w:rPr>
                <w:rFonts w:ascii="宋体" w:eastAsia="宋体" w:hAnsi="宋体" w:cs="宋体"/>
                <w:sz w:val="18"/>
                <w:szCs w:val="18"/>
              </w:rPr>
              <w:t>怡</w:t>
            </w:r>
            <w:proofErr w:type="gramEnd"/>
            <w:r>
              <w:rPr>
                <w:rFonts w:ascii="宋体" w:eastAsia="宋体" w:hAnsi="宋体" w:cs="宋体"/>
                <w:sz w:val="18"/>
                <w:szCs w:val="18"/>
              </w:rPr>
              <w:t>橡胶研究院有限公司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实际控制人控制的法人组织</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赛轮集团</w:t>
            </w:r>
            <w:proofErr w:type="gramEnd"/>
            <w:r>
              <w:rPr>
                <w:rFonts w:ascii="宋体" w:eastAsia="宋体" w:hAnsi="宋体" w:cs="宋体"/>
                <w:sz w:val="18"/>
                <w:szCs w:val="18"/>
              </w:rPr>
              <w:t>股份有限公司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实际控制人担任董事的法人组织</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赛轮金</w:t>
            </w:r>
            <w:proofErr w:type="gramEnd"/>
            <w:r>
              <w:rPr>
                <w:rFonts w:ascii="宋体" w:eastAsia="宋体" w:hAnsi="宋体" w:cs="宋体"/>
                <w:sz w:val="18"/>
                <w:szCs w:val="18"/>
              </w:rPr>
              <w:t>宇轮胎销售有限公司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实际控制人担任董事的法人组织</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赛轮国际</w:t>
            </w:r>
            <w:proofErr w:type="gramEnd"/>
            <w:r>
              <w:rPr>
                <w:rFonts w:ascii="宋体" w:eastAsia="宋体" w:hAnsi="宋体" w:cs="宋体"/>
                <w:sz w:val="18"/>
                <w:szCs w:val="18"/>
              </w:rPr>
              <w:t>轮胎有限公司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实际控制人担任董事的法人组织</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赛轮（越南）有限公司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实际控制人担任董事的法人组织</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赛轮（东营）轮胎股份有限公司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实际控制人担任董事的法人组织</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山东</w:t>
            </w:r>
            <w:proofErr w:type="gramStart"/>
            <w:r>
              <w:rPr>
                <w:rFonts w:ascii="宋体" w:eastAsia="宋体" w:hAnsi="宋体" w:cs="宋体"/>
                <w:sz w:val="18"/>
                <w:szCs w:val="18"/>
              </w:rPr>
              <w:t>赛轮金</w:t>
            </w:r>
            <w:proofErr w:type="gramEnd"/>
            <w:r>
              <w:rPr>
                <w:rFonts w:ascii="宋体" w:eastAsia="宋体" w:hAnsi="宋体" w:cs="宋体"/>
                <w:sz w:val="18"/>
                <w:szCs w:val="18"/>
              </w:rPr>
              <w:t>宇轮胎销售有限公司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实际控制人担任董事的法人组织</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赛轮金</w:t>
            </w:r>
            <w:proofErr w:type="gramEnd"/>
            <w:r>
              <w:rPr>
                <w:rFonts w:ascii="宋体" w:eastAsia="宋体" w:hAnsi="宋体" w:cs="宋体"/>
                <w:sz w:val="18"/>
                <w:szCs w:val="18"/>
              </w:rPr>
              <w:t>宇集团（香港）有限公司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实际控制人担任董事的法人组织</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赛轮（沈阳）轮胎有限公司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实际控制人担任董事的法人组织</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ACTR</w:t>
            </w:r>
            <w:r w:rsidR="005D4E78">
              <w:rPr>
                <w:rFonts w:ascii="宋体" w:eastAsia="宋体" w:hAnsi="宋体" w:cs="宋体"/>
                <w:sz w:val="18"/>
                <w:szCs w:val="18"/>
              </w:rPr>
              <w:t xml:space="preserve"> </w:t>
            </w:r>
            <w:r>
              <w:rPr>
                <w:rFonts w:ascii="宋体" w:eastAsia="宋体" w:hAnsi="宋体" w:cs="宋体"/>
                <w:sz w:val="18"/>
                <w:szCs w:val="18"/>
              </w:rPr>
              <w:t>COMPANY</w:t>
            </w:r>
            <w:r w:rsidR="005D4E78">
              <w:rPr>
                <w:rFonts w:ascii="宋体" w:eastAsia="宋体" w:hAnsi="宋体" w:cs="宋体"/>
                <w:sz w:val="18"/>
                <w:szCs w:val="18"/>
              </w:rPr>
              <w:t xml:space="preserve"> </w:t>
            </w:r>
            <w:r>
              <w:rPr>
                <w:rFonts w:ascii="宋体" w:eastAsia="宋体" w:hAnsi="宋体" w:cs="宋体"/>
                <w:sz w:val="18"/>
                <w:szCs w:val="18"/>
              </w:rPr>
              <w:t>LIMITED</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实际控制人担任董事的法人组织</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沈阳亨通能源有限公司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实际控制人担任董事的法人组织</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赛轮（潍坊）轮胎有限公司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实际控制人担任董事的法人组织</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CART TIRE CO., LTD.</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实际控制人担任董事的法人组织</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诸城涌安橡胶科技有限公司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实际控制人担任董事的法人组织</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青岛普元栋盛商业发展有限公司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实际控制人担任董事的法人组织</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深圳市</w:t>
            </w:r>
            <w:proofErr w:type="gramStart"/>
            <w:r>
              <w:rPr>
                <w:rFonts w:ascii="宋体" w:eastAsia="宋体" w:hAnsi="宋体" w:cs="宋体"/>
                <w:sz w:val="18"/>
                <w:szCs w:val="18"/>
              </w:rPr>
              <w:t>赛轮科技</w:t>
            </w:r>
            <w:proofErr w:type="gramEnd"/>
            <w:r>
              <w:rPr>
                <w:rFonts w:ascii="宋体" w:eastAsia="宋体" w:hAnsi="宋体" w:cs="宋体"/>
                <w:sz w:val="18"/>
                <w:szCs w:val="18"/>
              </w:rPr>
              <w:t>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实际控制人担任董事的法人组织</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青岛青维科技发展有限公司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联营企业</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四川凯力威科技股份有限公司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联营企业</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青岛纵联工业技术有限公司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联营企业</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青岛华商汇通控股有限公司</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联营企业</w:t>
            </w:r>
          </w:p>
        </w:tc>
      </w:tr>
    </w:tbl>
    <w:p w:rsidR="00BA0365" w:rsidRDefault="008D4B2E">
      <w:pPr>
        <w:pStyle w:val="3"/>
        <w:spacing w:line="280" w:lineRule="exact"/>
        <w:jc w:val="left"/>
        <w:rPr>
          <w:rFonts w:ascii="宋体" w:hAnsi="宋体" w:cs="宋体"/>
          <w:b/>
          <w:bCs/>
        </w:rPr>
      </w:pPr>
      <w:bookmarkStart w:id="389" w:name="_Toc989292"/>
      <w:r>
        <w:rPr>
          <w:rFonts w:ascii="宋体" w:hAnsi="宋体" w:cs="宋体"/>
          <w:b/>
          <w:bCs/>
        </w:rPr>
        <w:lastRenderedPageBreak/>
        <w:t>5、关联交易情况</w:t>
      </w:r>
      <w:bookmarkEnd w:id="389"/>
    </w:p>
    <w:p w:rsidR="00BA0365" w:rsidRDefault="008D4B2E">
      <w:pPr>
        <w:keepNext/>
        <w:keepLines/>
        <w:spacing w:before="300" w:after="300" w:line="280" w:lineRule="exact"/>
        <w:outlineLvl w:val="3"/>
        <w:rPr>
          <w:rFonts w:ascii="宋体" w:eastAsia="宋体" w:hAnsi="宋体" w:cs="宋体"/>
          <w:b/>
          <w:bCs/>
          <w:szCs w:val="21"/>
        </w:rPr>
      </w:pPr>
      <w:bookmarkStart w:id="390" w:name="_Toc989293"/>
      <w:r>
        <w:rPr>
          <w:rFonts w:ascii="宋体" w:eastAsia="宋体" w:hAnsi="宋体" w:cs="宋体"/>
          <w:b/>
          <w:bCs/>
          <w:szCs w:val="21"/>
        </w:rPr>
        <w:t>（1） 购销商品、提供和接受劳务的关联交易</w:t>
      </w:r>
      <w:bookmarkEnd w:id="390"/>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采购商品/接受劳务情况表</w:t>
      </w:r>
    </w:p>
    <w:p w:rsidR="00BA0365" w:rsidRDefault="008D4B2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2943"/>
        <w:gridCol w:w="1843"/>
        <w:gridCol w:w="1418"/>
        <w:gridCol w:w="992"/>
        <w:gridCol w:w="992"/>
        <w:gridCol w:w="1451"/>
      </w:tblGrid>
      <w:tr w:rsidR="00157EA0" w:rsidTr="0010486D">
        <w:trPr>
          <w:trHeight w:val="240"/>
        </w:trPr>
        <w:tc>
          <w:tcPr>
            <w:tcW w:w="294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关联方</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关联交易内容</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获批的交易额度</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是否超过交易额度</w:t>
            </w:r>
          </w:p>
        </w:tc>
        <w:tc>
          <w:tcPr>
            <w:tcW w:w="145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157EA0" w:rsidTr="0010486D">
        <w:trPr>
          <w:trHeight w:val="240"/>
        </w:trPr>
        <w:tc>
          <w:tcPr>
            <w:tcW w:w="294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赛轮集团</w:t>
            </w:r>
            <w:proofErr w:type="gramEnd"/>
            <w:r>
              <w:rPr>
                <w:rFonts w:ascii="宋体" w:eastAsia="宋体" w:hAnsi="宋体" w:cs="宋体"/>
                <w:sz w:val="18"/>
                <w:szCs w:val="18"/>
              </w:rPr>
              <w:t>股份有限公司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产品、材料费、委托加工</w:t>
            </w:r>
          </w:p>
        </w:tc>
        <w:tc>
          <w:tcPr>
            <w:tcW w:w="14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10,963,898.70</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14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36,946,109.09</w:t>
            </w:r>
          </w:p>
        </w:tc>
      </w:tr>
      <w:tr w:rsidR="00157EA0" w:rsidTr="0010486D">
        <w:trPr>
          <w:trHeight w:val="240"/>
        </w:trPr>
        <w:tc>
          <w:tcPr>
            <w:tcW w:w="294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赛轮（东营）轮胎股份有限公司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材料费、委托加工</w:t>
            </w:r>
          </w:p>
        </w:tc>
        <w:tc>
          <w:tcPr>
            <w:tcW w:w="14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983,389.96</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14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853,066.78</w:t>
            </w:r>
          </w:p>
        </w:tc>
      </w:tr>
      <w:tr w:rsidR="00157EA0" w:rsidTr="0010486D">
        <w:trPr>
          <w:trHeight w:val="240"/>
        </w:trPr>
        <w:tc>
          <w:tcPr>
            <w:tcW w:w="294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赛轮（沈阳）轮胎有限公司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材料费</w:t>
            </w:r>
          </w:p>
        </w:tc>
        <w:tc>
          <w:tcPr>
            <w:tcW w:w="14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1,406,123.89</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145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rsidTr="0010486D">
        <w:trPr>
          <w:trHeight w:val="240"/>
        </w:trPr>
        <w:tc>
          <w:tcPr>
            <w:tcW w:w="294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青岛纵联工业技术有限公司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材料费</w:t>
            </w:r>
          </w:p>
        </w:tc>
        <w:tc>
          <w:tcPr>
            <w:tcW w:w="14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10,114,312.43</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14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8,206,052.51</w:t>
            </w:r>
          </w:p>
        </w:tc>
      </w:tr>
      <w:tr w:rsidR="00157EA0" w:rsidTr="0010486D">
        <w:trPr>
          <w:trHeight w:val="240"/>
        </w:trPr>
        <w:tc>
          <w:tcPr>
            <w:tcW w:w="294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青岛普元栋盛商业发展有限公司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水电费、产品、材料费</w:t>
            </w:r>
          </w:p>
        </w:tc>
        <w:tc>
          <w:tcPr>
            <w:tcW w:w="14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348,180.54</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14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396,825.87</w:t>
            </w:r>
          </w:p>
        </w:tc>
      </w:tr>
      <w:tr w:rsidR="00157EA0" w:rsidTr="0010486D">
        <w:trPr>
          <w:trHeight w:val="240"/>
        </w:trPr>
        <w:tc>
          <w:tcPr>
            <w:tcW w:w="294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怡</w:t>
            </w:r>
            <w:proofErr w:type="gramEnd"/>
            <w:r>
              <w:rPr>
                <w:rFonts w:ascii="宋体" w:eastAsia="宋体" w:hAnsi="宋体" w:cs="宋体"/>
                <w:sz w:val="18"/>
                <w:szCs w:val="18"/>
              </w:rPr>
              <w:t>维</w:t>
            </w:r>
            <w:proofErr w:type="gramStart"/>
            <w:r>
              <w:rPr>
                <w:rFonts w:ascii="宋体" w:eastAsia="宋体" w:hAnsi="宋体" w:cs="宋体"/>
                <w:sz w:val="18"/>
                <w:szCs w:val="18"/>
              </w:rPr>
              <w:t>怡</w:t>
            </w:r>
            <w:proofErr w:type="gramEnd"/>
            <w:r>
              <w:rPr>
                <w:rFonts w:ascii="宋体" w:eastAsia="宋体" w:hAnsi="宋体" w:cs="宋体"/>
                <w:sz w:val="18"/>
                <w:szCs w:val="18"/>
              </w:rPr>
              <w:t>橡胶研究院有限公司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材料费</w:t>
            </w:r>
          </w:p>
        </w:tc>
        <w:tc>
          <w:tcPr>
            <w:tcW w:w="14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1,688.50</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14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243,431.37</w:t>
            </w:r>
          </w:p>
        </w:tc>
      </w:tr>
      <w:tr w:rsidR="00157EA0" w:rsidTr="0010486D">
        <w:trPr>
          <w:trHeight w:val="240"/>
        </w:trPr>
        <w:tc>
          <w:tcPr>
            <w:tcW w:w="294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深圳市</w:t>
            </w:r>
            <w:proofErr w:type="gramStart"/>
            <w:r>
              <w:rPr>
                <w:rFonts w:ascii="宋体" w:eastAsia="宋体" w:hAnsi="宋体" w:cs="宋体"/>
                <w:sz w:val="18"/>
                <w:szCs w:val="18"/>
              </w:rPr>
              <w:t>赛轮科技</w:t>
            </w:r>
            <w:proofErr w:type="gramEnd"/>
            <w:r>
              <w:rPr>
                <w:rFonts w:ascii="宋体" w:eastAsia="宋体" w:hAnsi="宋体" w:cs="宋体"/>
                <w:sz w:val="18"/>
                <w:szCs w:val="18"/>
              </w:rPr>
              <w:t>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车辆费</w:t>
            </w:r>
          </w:p>
        </w:tc>
        <w:tc>
          <w:tcPr>
            <w:tcW w:w="14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4,352.00</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145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rsidTr="0010486D">
        <w:trPr>
          <w:trHeight w:val="240"/>
        </w:trPr>
        <w:tc>
          <w:tcPr>
            <w:tcW w:w="294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诸城涌安橡胶科技有限公司</w:t>
            </w:r>
          </w:p>
        </w:tc>
        <w:tc>
          <w:tcPr>
            <w:tcW w:w="184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材料费</w:t>
            </w:r>
          </w:p>
        </w:tc>
        <w:tc>
          <w:tcPr>
            <w:tcW w:w="14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179,602.04</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c>
          <w:tcPr>
            <w:tcW w:w="145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bl>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出售商品/提供劳务情况表</w:t>
      </w:r>
    </w:p>
    <w:p w:rsidR="00BA0365" w:rsidRDefault="008D4B2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2802"/>
        <w:gridCol w:w="3402"/>
        <w:gridCol w:w="1701"/>
        <w:gridCol w:w="1734"/>
      </w:tblGrid>
      <w:tr w:rsidR="00157EA0" w:rsidTr="0010486D">
        <w:trPr>
          <w:trHeight w:val="240"/>
        </w:trPr>
        <w:tc>
          <w:tcPr>
            <w:tcW w:w="28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关联方</w:t>
            </w:r>
          </w:p>
        </w:tc>
        <w:tc>
          <w:tcPr>
            <w:tcW w:w="340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关联交易内容</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1734"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157EA0" w:rsidTr="0010486D">
        <w:trPr>
          <w:trHeight w:val="240"/>
        </w:trPr>
        <w:tc>
          <w:tcPr>
            <w:tcW w:w="28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赛轮（东营）轮胎股份有限公司</w:t>
            </w:r>
          </w:p>
        </w:tc>
        <w:tc>
          <w:tcPr>
            <w:tcW w:w="34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产品、材料、服务费</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330,116,896.02</w:t>
            </w:r>
          </w:p>
        </w:tc>
        <w:tc>
          <w:tcPr>
            <w:tcW w:w="17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195,120,174.40</w:t>
            </w:r>
          </w:p>
        </w:tc>
      </w:tr>
      <w:tr w:rsidR="00157EA0" w:rsidTr="0010486D">
        <w:trPr>
          <w:trHeight w:val="240"/>
        </w:trPr>
        <w:tc>
          <w:tcPr>
            <w:tcW w:w="28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赛轮</w:t>
            </w:r>
            <w:proofErr w:type="gramEnd"/>
            <w:r>
              <w:rPr>
                <w:rFonts w:ascii="宋体" w:eastAsia="宋体" w:hAnsi="宋体" w:cs="宋体"/>
                <w:sz w:val="18"/>
                <w:szCs w:val="18"/>
              </w:rPr>
              <w:t>(越南)有限公司</w:t>
            </w:r>
          </w:p>
        </w:tc>
        <w:tc>
          <w:tcPr>
            <w:tcW w:w="34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产品、服务费</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279,440,447.18</w:t>
            </w:r>
          </w:p>
        </w:tc>
        <w:tc>
          <w:tcPr>
            <w:tcW w:w="17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165,549,657.00</w:t>
            </w:r>
          </w:p>
        </w:tc>
      </w:tr>
      <w:tr w:rsidR="00157EA0" w:rsidTr="0010486D">
        <w:trPr>
          <w:trHeight w:val="240"/>
        </w:trPr>
        <w:tc>
          <w:tcPr>
            <w:tcW w:w="28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赛轮（沈阳）轮胎有限公司</w:t>
            </w:r>
          </w:p>
        </w:tc>
        <w:tc>
          <w:tcPr>
            <w:tcW w:w="34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产品、材料、服务费、备件</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186,905,553.38</w:t>
            </w:r>
          </w:p>
        </w:tc>
        <w:tc>
          <w:tcPr>
            <w:tcW w:w="17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69,174,105.08</w:t>
            </w:r>
          </w:p>
        </w:tc>
      </w:tr>
      <w:tr w:rsidR="00157EA0" w:rsidTr="0010486D">
        <w:trPr>
          <w:trHeight w:val="240"/>
        </w:trPr>
        <w:tc>
          <w:tcPr>
            <w:tcW w:w="28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赛轮集团</w:t>
            </w:r>
            <w:proofErr w:type="gramEnd"/>
            <w:r>
              <w:rPr>
                <w:rFonts w:ascii="宋体" w:eastAsia="宋体" w:hAnsi="宋体" w:cs="宋体"/>
                <w:sz w:val="18"/>
                <w:szCs w:val="18"/>
              </w:rPr>
              <w:t>股份有限公司</w:t>
            </w:r>
          </w:p>
        </w:tc>
        <w:tc>
          <w:tcPr>
            <w:tcW w:w="34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产品、材料、水电费、服务费、备件</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670,513,272.84</w:t>
            </w:r>
          </w:p>
        </w:tc>
        <w:tc>
          <w:tcPr>
            <w:tcW w:w="17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489,603,685.57</w:t>
            </w:r>
          </w:p>
        </w:tc>
      </w:tr>
      <w:tr w:rsidR="00157EA0" w:rsidTr="0010486D">
        <w:trPr>
          <w:trHeight w:val="240"/>
        </w:trPr>
        <w:tc>
          <w:tcPr>
            <w:tcW w:w="28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CART TIRE CO.,LTD</w:t>
            </w:r>
          </w:p>
        </w:tc>
        <w:tc>
          <w:tcPr>
            <w:tcW w:w="34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产品、服务费</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411,555,436.05</w:t>
            </w:r>
          </w:p>
        </w:tc>
        <w:tc>
          <w:tcPr>
            <w:tcW w:w="17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528,365,634.60</w:t>
            </w:r>
          </w:p>
        </w:tc>
      </w:tr>
      <w:tr w:rsidR="00157EA0" w:rsidTr="0010486D">
        <w:trPr>
          <w:trHeight w:val="240"/>
        </w:trPr>
        <w:tc>
          <w:tcPr>
            <w:tcW w:w="2802" w:type="dxa"/>
            <w:tcBorders>
              <w:top w:val="single" w:sz="2" w:space="0" w:color="auto"/>
              <w:left w:val="single" w:sz="2" w:space="0" w:color="auto"/>
              <w:bottom w:val="single" w:sz="2" w:space="0" w:color="auto"/>
              <w:right w:val="single" w:sz="2" w:space="0" w:color="auto"/>
            </w:tcBorders>
            <w:vAlign w:val="center"/>
          </w:tcPr>
          <w:p w:rsidR="00BA0365" w:rsidRDefault="005D4E78">
            <w:pPr>
              <w:spacing w:line="240" w:lineRule="exact"/>
              <w:rPr>
                <w:rFonts w:ascii="宋体" w:eastAsia="宋体" w:hAnsi="宋体" w:cs="宋体"/>
                <w:sz w:val="18"/>
                <w:szCs w:val="18"/>
              </w:rPr>
            </w:pPr>
            <w:r>
              <w:rPr>
                <w:rFonts w:ascii="宋体" w:eastAsia="宋体" w:hAnsi="宋体" w:cs="宋体"/>
                <w:sz w:val="18"/>
                <w:szCs w:val="18"/>
              </w:rPr>
              <w:t>ACTR COMPANY LIMITED</w:t>
            </w:r>
          </w:p>
        </w:tc>
        <w:tc>
          <w:tcPr>
            <w:tcW w:w="34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产品</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2,576,763.11</w:t>
            </w:r>
          </w:p>
        </w:tc>
        <w:tc>
          <w:tcPr>
            <w:tcW w:w="17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3,452,837.84</w:t>
            </w:r>
          </w:p>
        </w:tc>
      </w:tr>
      <w:tr w:rsidR="00157EA0" w:rsidTr="0010486D">
        <w:trPr>
          <w:trHeight w:val="240"/>
        </w:trPr>
        <w:tc>
          <w:tcPr>
            <w:tcW w:w="28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诸城涌安橡胶科技有限公司</w:t>
            </w:r>
          </w:p>
        </w:tc>
        <w:tc>
          <w:tcPr>
            <w:tcW w:w="34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产品、材料、服务费</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90,857,883.61</w:t>
            </w:r>
          </w:p>
        </w:tc>
        <w:tc>
          <w:tcPr>
            <w:tcW w:w="17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141,174,941.19</w:t>
            </w:r>
          </w:p>
        </w:tc>
      </w:tr>
      <w:tr w:rsidR="00157EA0" w:rsidTr="0010486D">
        <w:trPr>
          <w:trHeight w:val="240"/>
        </w:trPr>
        <w:tc>
          <w:tcPr>
            <w:tcW w:w="28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四川凯力威科技股份有限公司</w:t>
            </w:r>
          </w:p>
        </w:tc>
        <w:tc>
          <w:tcPr>
            <w:tcW w:w="34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产品、材料</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9,033,008.85</w:t>
            </w:r>
          </w:p>
        </w:tc>
        <w:tc>
          <w:tcPr>
            <w:tcW w:w="17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12,474,150.44</w:t>
            </w:r>
          </w:p>
        </w:tc>
      </w:tr>
      <w:tr w:rsidR="00157EA0" w:rsidTr="0010486D">
        <w:trPr>
          <w:trHeight w:val="240"/>
        </w:trPr>
        <w:tc>
          <w:tcPr>
            <w:tcW w:w="28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沈阳亨通能源有限公司</w:t>
            </w:r>
          </w:p>
        </w:tc>
        <w:tc>
          <w:tcPr>
            <w:tcW w:w="34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产品、材料</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62,917.70</w:t>
            </w:r>
          </w:p>
        </w:tc>
        <w:tc>
          <w:tcPr>
            <w:tcW w:w="17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10,938.50</w:t>
            </w:r>
          </w:p>
        </w:tc>
      </w:tr>
      <w:tr w:rsidR="00157EA0" w:rsidTr="0010486D">
        <w:trPr>
          <w:trHeight w:val="240"/>
        </w:trPr>
        <w:tc>
          <w:tcPr>
            <w:tcW w:w="28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深圳市</w:t>
            </w:r>
            <w:proofErr w:type="gramStart"/>
            <w:r>
              <w:rPr>
                <w:rFonts w:ascii="宋体" w:eastAsia="宋体" w:hAnsi="宋体" w:cs="宋体"/>
                <w:sz w:val="18"/>
                <w:szCs w:val="18"/>
              </w:rPr>
              <w:t>赛轮科技</w:t>
            </w:r>
            <w:proofErr w:type="gramEnd"/>
            <w:r>
              <w:rPr>
                <w:rFonts w:ascii="宋体" w:eastAsia="宋体" w:hAnsi="宋体" w:cs="宋体"/>
                <w:sz w:val="18"/>
                <w:szCs w:val="18"/>
              </w:rPr>
              <w:t>有限公司</w:t>
            </w:r>
          </w:p>
        </w:tc>
        <w:tc>
          <w:tcPr>
            <w:tcW w:w="340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服务费</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7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900.00</w:t>
            </w:r>
          </w:p>
        </w:tc>
      </w:tr>
    </w:tbl>
    <w:p w:rsidR="00BA0365" w:rsidRDefault="008D4B2E">
      <w:pPr>
        <w:keepNext/>
        <w:keepLines/>
        <w:spacing w:before="300" w:after="300" w:line="280" w:lineRule="exact"/>
        <w:outlineLvl w:val="3"/>
        <w:rPr>
          <w:rFonts w:ascii="宋体" w:eastAsia="宋体" w:hAnsi="宋体" w:cs="宋体"/>
          <w:b/>
          <w:bCs/>
          <w:szCs w:val="21"/>
        </w:rPr>
      </w:pPr>
      <w:bookmarkStart w:id="391" w:name="_Toc989299"/>
      <w:r>
        <w:rPr>
          <w:rFonts w:ascii="宋体" w:eastAsia="宋体" w:hAnsi="宋体" w:cs="宋体"/>
          <w:b/>
          <w:bCs/>
          <w:szCs w:val="21"/>
        </w:rPr>
        <w:t>（</w:t>
      </w:r>
      <w:r w:rsidR="0010486D">
        <w:rPr>
          <w:rFonts w:ascii="宋体" w:eastAsia="宋体" w:hAnsi="宋体" w:cs="宋体"/>
          <w:b/>
          <w:bCs/>
          <w:szCs w:val="21"/>
        </w:rPr>
        <w:t>2</w:t>
      </w:r>
      <w:r>
        <w:rPr>
          <w:rFonts w:ascii="宋体" w:eastAsia="宋体" w:hAnsi="宋体" w:cs="宋体"/>
          <w:b/>
          <w:bCs/>
          <w:szCs w:val="21"/>
        </w:rPr>
        <w:t>） 关键管理人员报酬</w:t>
      </w:r>
      <w:bookmarkEnd w:id="391"/>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3213"/>
        <w:gridCol w:w="3213"/>
        <w:gridCol w:w="3213"/>
      </w:tblGrid>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关键管理人员报酬</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8,077,700.00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6,952,000.00</w:t>
            </w:r>
          </w:p>
        </w:tc>
      </w:tr>
    </w:tbl>
    <w:p w:rsidR="00BA0365" w:rsidRDefault="008D4B2E">
      <w:pPr>
        <w:pStyle w:val="3"/>
        <w:spacing w:line="280" w:lineRule="exact"/>
        <w:jc w:val="left"/>
        <w:rPr>
          <w:rFonts w:ascii="宋体" w:hAnsi="宋体" w:cs="宋体"/>
          <w:b/>
          <w:bCs/>
        </w:rPr>
      </w:pPr>
      <w:bookmarkStart w:id="392" w:name="_Toc989301"/>
      <w:r>
        <w:rPr>
          <w:rFonts w:ascii="宋体" w:hAnsi="宋体" w:cs="宋体"/>
          <w:b/>
          <w:bCs/>
        </w:rPr>
        <w:t>6、关联方应收应付款项</w:t>
      </w:r>
      <w:bookmarkEnd w:id="392"/>
    </w:p>
    <w:p w:rsidR="00BA0365" w:rsidRDefault="008D4B2E">
      <w:pPr>
        <w:keepNext/>
        <w:keepLines/>
        <w:spacing w:before="300" w:after="300" w:line="280" w:lineRule="exact"/>
        <w:outlineLvl w:val="3"/>
        <w:rPr>
          <w:rFonts w:ascii="宋体" w:eastAsia="宋体" w:hAnsi="宋体" w:cs="宋体"/>
          <w:b/>
          <w:bCs/>
          <w:szCs w:val="21"/>
        </w:rPr>
      </w:pPr>
      <w:bookmarkStart w:id="393" w:name="_Toc989302"/>
      <w:r>
        <w:rPr>
          <w:rFonts w:ascii="宋体" w:eastAsia="宋体" w:hAnsi="宋体" w:cs="宋体"/>
          <w:b/>
          <w:bCs/>
          <w:szCs w:val="21"/>
        </w:rPr>
        <w:t>（1） 应收项目</w:t>
      </w:r>
      <w:bookmarkEnd w:id="393"/>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1242"/>
        <w:gridCol w:w="2583"/>
        <w:gridCol w:w="1528"/>
        <w:gridCol w:w="1418"/>
        <w:gridCol w:w="1559"/>
        <w:gridCol w:w="1309"/>
      </w:tblGrid>
      <w:tr w:rsidR="00157EA0" w:rsidTr="005D4E78">
        <w:trPr>
          <w:trHeight w:val="240"/>
        </w:trPr>
        <w:tc>
          <w:tcPr>
            <w:tcW w:w="124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项目名称</w:t>
            </w:r>
          </w:p>
        </w:tc>
        <w:tc>
          <w:tcPr>
            <w:tcW w:w="258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关联方</w:t>
            </w:r>
          </w:p>
        </w:tc>
        <w:tc>
          <w:tcPr>
            <w:tcW w:w="294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2868"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57EA0" w:rsidTr="005D4E78">
        <w:trPr>
          <w:trHeight w:val="240"/>
        </w:trPr>
        <w:tc>
          <w:tcPr>
            <w:tcW w:w="124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258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5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0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r>
      <w:tr w:rsidR="00157EA0" w:rsidTr="005D4E78">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应收账款</w:t>
            </w:r>
          </w:p>
        </w:tc>
        <w:tc>
          <w:tcPr>
            <w:tcW w:w="258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赛轮集团</w:t>
            </w:r>
            <w:proofErr w:type="gramEnd"/>
            <w:r>
              <w:rPr>
                <w:rFonts w:ascii="宋体" w:eastAsia="宋体" w:hAnsi="宋体" w:cs="宋体"/>
                <w:sz w:val="18"/>
                <w:szCs w:val="18"/>
              </w:rPr>
              <w:t>股份有限公司</w:t>
            </w:r>
          </w:p>
        </w:tc>
        <w:tc>
          <w:tcPr>
            <w:tcW w:w="15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61,414,735.81</w:t>
            </w:r>
          </w:p>
        </w:tc>
        <w:tc>
          <w:tcPr>
            <w:tcW w:w="14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6,497,315.41</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45,533,339.56</w:t>
            </w:r>
          </w:p>
        </w:tc>
        <w:tc>
          <w:tcPr>
            <w:tcW w:w="130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6,051,457.74</w:t>
            </w:r>
          </w:p>
        </w:tc>
      </w:tr>
      <w:tr w:rsidR="00157EA0" w:rsidTr="005D4E78">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应收账款</w:t>
            </w:r>
          </w:p>
        </w:tc>
        <w:tc>
          <w:tcPr>
            <w:tcW w:w="258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赛轮（东营）轮胎股份有限公司</w:t>
            </w:r>
          </w:p>
        </w:tc>
        <w:tc>
          <w:tcPr>
            <w:tcW w:w="15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96,045,771.47</w:t>
            </w:r>
          </w:p>
        </w:tc>
        <w:tc>
          <w:tcPr>
            <w:tcW w:w="14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5,049,783.82</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109,984,387.82</w:t>
            </w:r>
          </w:p>
        </w:tc>
        <w:tc>
          <w:tcPr>
            <w:tcW w:w="130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4,517,312.11</w:t>
            </w:r>
          </w:p>
        </w:tc>
      </w:tr>
      <w:tr w:rsidR="00157EA0" w:rsidTr="005D4E78">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应收账款</w:t>
            </w:r>
          </w:p>
        </w:tc>
        <w:tc>
          <w:tcPr>
            <w:tcW w:w="258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赛轮（沈阳）轮胎有限公司</w:t>
            </w:r>
          </w:p>
        </w:tc>
        <w:tc>
          <w:tcPr>
            <w:tcW w:w="15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35,061,179.78</w:t>
            </w:r>
          </w:p>
        </w:tc>
        <w:tc>
          <w:tcPr>
            <w:tcW w:w="14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2,264,385.97</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94,048,595.75</w:t>
            </w:r>
          </w:p>
        </w:tc>
        <w:tc>
          <w:tcPr>
            <w:tcW w:w="130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4,423,707.83</w:t>
            </w:r>
          </w:p>
        </w:tc>
      </w:tr>
      <w:tr w:rsidR="00157EA0" w:rsidTr="005D4E78">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应收账款</w:t>
            </w:r>
          </w:p>
        </w:tc>
        <w:tc>
          <w:tcPr>
            <w:tcW w:w="2583" w:type="dxa"/>
            <w:tcBorders>
              <w:top w:val="single" w:sz="2" w:space="0" w:color="auto"/>
              <w:left w:val="single" w:sz="2" w:space="0" w:color="auto"/>
              <w:bottom w:val="single" w:sz="2" w:space="0" w:color="auto"/>
              <w:right w:val="single" w:sz="2" w:space="0" w:color="auto"/>
            </w:tcBorders>
            <w:vAlign w:val="center"/>
          </w:tcPr>
          <w:p w:rsidR="00BA0365" w:rsidRDefault="005D4E78">
            <w:pPr>
              <w:spacing w:line="240" w:lineRule="exact"/>
              <w:rPr>
                <w:rFonts w:ascii="宋体" w:eastAsia="宋体" w:hAnsi="宋体" w:cs="宋体"/>
                <w:sz w:val="18"/>
                <w:szCs w:val="18"/>
              </w:rPr>
            </w:pPr>
            <w:r>
              <w:rPr>
                <w:rFonts w:ascii="宋体" w:eastAsia="宋体" w:hAnsi="宋体" w:cs="宋体"/>
                <w:sz w:val="18"/>
                <w:szCs w:val="18"/>
              </w:rPr>
              <w:t>ACTR COMPANY LIMITED</w:t>
            </w:r>
            <w:bookmarkStart w:id="394" w:name="_GoBack"/>
            <w:bookmarkEnd w:id="394"/>
          </w:p>
        </w:tc>
        <w:tc>
          <w:tcPr>
            <w:tcW w:w="15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208,257.18</w:t>
            </w:r>
          </w:p>
        </w:tc>
        <w:tc>
          <w:tcPr>
            <w:tcW w:w="14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4,165.14</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320,405.75</w:t>
            </w:r>
          </w:p>
        </w:tc>
        <w:tc>
          <w:tcPr>
            <w:tcW w:w="130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7,139.40</w:t>
            </w:r>
          </w:p>
        </w:tc>
      </w:tr>
      <w:tr w:rsidR="00157EA0" w:rsidTr="005D4E78">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lastRenderedPageBreak/>
              <w:t>应收账款</w:t>
            </w:r>
          </w:p>
        </w:tc>
        <w:tc>
          <w:tcPr>
            <w:tcW w:w="258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赛轮</w:t>
            </w:r>
            <w:proofErr w:type="gramEnd"/>
            <w:r>
              <w:rPr>
                <w:rFonts w:ascii="宋体" w:eastAsia="宋体" w:hAnsi="宋体" w:cs="宋体"/>
                <w:sz w:val="18"/>
                <w:szCs w:val="18"/>
              </w:rPr>
              <w:t>(越南)有限公司</w:t>
            </w:r>
          </w:p>
        </w:tc>
        <w:tc>
          <w:tcPr>
            <w:tcW w:w="15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37,648,411.31</w:t>
            </w:r>
          </w:p>
        </w:tc>
        <w:tc>
          <w:tcPr>
            <w:tcW w:w="14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752,968.23</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32,817,308.68</w:t>
            </w:r>
          </w:p>
        </w:tc>
        <w:tc>
          <w:tcPr>
            <w:tcW w:w="130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656,346.17</w:t>
            </w:r>
          </w:p>
        </w:tc>
      </w:tr>
      <w:tr w:rsidR="00157EA0" w:rsidTr="005D4E78">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应收账款</w:t>
            </w:r>
          </w:p>
        </w:tc>
        <w:tc>
          <w:tcPr>
            <w:tcW w:w="258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四川凯力威科技股份有限公司</w:t>
            </w:r>
          </w:p>
        </w:tc>
        <w:tc>
          <w:tcPr>
            <w:tcW w:w="15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1,919,338.70</w:t>
            </w:r>
          </w:p>
        </w:tc>
        <w:tc>
          <w:tcPr>
            <w:tcW w:w="14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38,386.77</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309"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rsidTr="005D4E78">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应收账款</w:t>
            </w:r>
          </w:p>
        </w:tc>
        <w:tc>
          <w:tcPr>
            <w:tcW w:w="258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怡</w:t>
            </w:r>
            <w:proofErr w:type="gramEnd"/>
            <w:r>
              <w:rPr>
                <w:rFonts w:ascii="宋体" w:eastAsia="宋体" w:hAnsi="宋体" w:cs="宋体"/>
                <w:sz w:val="18"/>
                <w:szCs w:val="18"/>
              </w:rPr>
              <w:t>维</w:t>
            </w:r>
            <w:proofErr w:type="gramStart"/>
            <w:r>
              <w:rPr>
                <w:rFonts w:ascii="宋体" w:eastAsia="宋体" w:hAnsi="宋体" w:cs="宋体"/>
                <w:sz w:val="18"/>
                <w:szCs w:val="18"/>
              </w:rPr>
              <w:t>怡</w:t>
            </w:r>
            <w:proofErr w:type="gramEnd"/>
            <w:r>
              <w:rPr>
                <w:rFonts w:ascii="宋体" w:eastAsia="宋体" w:hAnsi="宋体" w:cs="宋体"/>
                <w:sz w:val="18"/>
                <w:szCs w:val="18"/>
              </w:rPr>
              <w:t>橡胶研究院有限公司</w:t>
            </w:r>
          </w:p>
        </w:tc>
        <w:tc>
          <w:tcPr>
            <w:tcW w:w="15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4,300.00</w:t>
            </w:r>
          </w:p>
        </w:tc>
        <w:tc>
          <w:tcPr>
            <w:tcW w:w="14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215.00</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4,300.00</w:t>
            </w:r>
          </w:p>
        </w:tc>
        <w:tc>
          <w:tcPr>
            <w:tcW w:w="130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86.00</w:t>
            </w:r>
          </w:p>
        </w:tc>
      </w:tr>
      <w:tr w:rsidR="00157EA0" w:rsidTr="005D4E78">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应收账款</w:t>
            </w:r>
          </w:p>
        </w:tc>
        <w:tc>
          <w:tcPr>
            <w:tcW w:w="258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沈阳亨通能源有限公司</w:t>
            </w:r>
          </w:p>
        </w:tc>
        <w:tc>
          <w:tcPr>
            <w:tcW w:w="15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10,857.11</w:t>
            </w:r>
          </w:p>
        </w:tc>
        <w:tc>
          <w:tcPr>
            <w:tcW w:w="14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217.14</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6,055.00</w:t>
            </w:r>
          </w:p>
        </w:tc>
        <w:tc>
          <w:tcPr>
            <w:tcW w:w="130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121.10</w:t>
            </w:r>
          </w:p>
        </w:tc>
      </w:tr>
      <w:tr w:rsidR="00157EA0" w:rsidTr="005D4E78">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应收账款</w:t>
            </w:r>
          </w:p>
        </w:tc>
        <w:tc>
          <w:tcPr>
            <w:tcW w:w="258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青岛纵联工业技术有限公司</w:t>
            </w:r>
          </w:p>
        </w:tc>
        <w:tc>
          <w:tcPr>
            <w:tcW w:w="15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925,711.54</w:t>
            </w:r>
          </w:p>
        </w:tc>
        <w:tc>
          <w:tcPr>
            <w:tcW w:w="14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342,251.01</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925,711.54</w:t>
            </w:r>
          </w:p>
        </w:tc>
        <w:tc>
          <w:tcPr>
            <w:tcW w:w="130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163,198.48</w:t>
            </w:r>
          </w:p>
        </w:tc>
      </w:tr>
      <w:tr w:rsidR="00157EA0" w:rsidTr="005D4E78">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应收账款</w:t>
            </w:r>
          </w:p>
        </w:tc>
        <w:tc>
          <w:tcPr>
            <w:tcW w:w="2583" w:type="dxa"/>
            <w:tcBorders>
              <w:top w:val="single" w:sz="2" w:space="0" w:color="auto"/>
              <w:left w:val="single" w:sz="2" w:space="0" w:color="auto"/>
              <w:bottom w:val="single" w:sz="2" w:space="0" w:color="auto"/>
              <w:right w:val="single" w:sz="2" w:space="0" w:color="auto"/>
            </w:tcBorders>
            <w:vAlign w:val="center"/>
          </w:tcPr>
          <w:p w:rsidR="00BA0365" w:rsidRDefault="005D4E78">
            <w:pPr>
              <w:spacing w:line="240" w:lineRule="exact"/>
              <w:rPr>
                <w:rFonts w:ascii="宋体" w:eastAsia="宋体" w:hAnsi="宋体" w:cs="宋体"/>
                <w:sz w:val="18"/>
                <w:szCs w:val="18"/>
              </w:rPr>
            </w:pPr>
            <w:r>
              <w:rPr>
                <w:rFonts w:ascii="宋体" w:eastAsia="宋体" w:hAnsi="宋体" w:cs="宋体"/>
                <w:sz w:val="18"/>
                <w:szCs w:val="18"/>
              </w:rPr>
              <w:t>CART TIRE CO., LTD.</w:t>
            </w:r>
          </w:p>
        </w:tc>
        <w:tc>
          <w:tcPr>
            <w:tcW w:w="15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152,335,690.78</w:t>
            </w:r>
          </w:p>
        </w:tc>
        <w:tc>
          <w:tcPr>
            <w:tcW w:w="14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3,046,713.81</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20,335,932.74</w:t>
            </w:r>
          </w:p>
        </w:tc>
        <w:tc>
          <w:tcPr>
            <w:tcW w:w="130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406,718.65</w:t>
            </w:r>
          </w:p>
        </w:tc>
      </w:tr>
      <w:tr w:rsidR="00157EA0" w:rsidTr="005D4E78">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应收账款</w:t>
            </w:r>
          </w:p>
        </w:tc>
        <w:tc>
          <w:tcPr>
            <w:tcW w:w="258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诸城涌安橡胶科技有限公司</w:t>
            </w:r>
          </w:p>
        </w:tc>
        <w:tc>
          <w:tcPr>
            <w:tcW w:w="15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6,252,050.40</w:t>
            </w:r>
          </w:p>
        </w:tc>
        <w:tc>
          <w:tcPr>
            <w:tcW w:w="14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245,041.01</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69,730,995.24</w:t>
            </w:r>
          </w:p>
        </w:tc>
        <w:tc>
          <w:tcPr>
            <w:tcW w:w="130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1,545,519.91</w:t>
            </w:r>
          </w:p>
        </w:tc>
      </w:tr>
      <w:tr w:rsidR="00157EA0" w:rsidTr="005D4E78">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预付款项</w:t>
            </w:r>
          </w:p>
        </w:tc>
        <w:tc>
          <w:tcPr>
            <w:tcW w:w="258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赛轮集团</w:t>
            </w:r>
            <w:proofErr w:type="gramEnd"/>
            <w:r>
              <w:rPr>
                <w:rFonts w:ascii="宋体" w:eastAsia="宋体" w:hAnsi="宋体" w:cs="宋体"/>
                <w:sz w:val="18"/>
                <w:szCs w:val="18"/>
              </w:rPr>
              <w:t>股份有限公司</w:t>
            </w:r>
          </w:p>
        </w:tc>
        <w:tc>
          <w:tcPr>
            <w:tcW w:w="15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0.64</w:t>
            </w:r>
          </w:p>
        </w:tc>
        <w:tc>
          <w:tcPr>
            <w:tcW w:w="141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8,955.78</w:t>
            </w:r>
          </w:p>
        </w:tc>
        <w:tc>
          <w:tcPr>
            <w:tcW w:w="1309"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rsidTr="005D4E78">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预付款项</w:t>
            </w:r>
          </w:p>
        </w:tc>
        <w:tc>
          <w:tcPr>
            <w:tcW w:w="258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赛轮（东营）轮胎股份有限公司</w:t>
            </w:r>
          </w:p>
        </w:tc>
        <w:tc>
          <w:tcPr>
            <w:tcW w:w="15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11,679.94</w:t>
            </w:r>
          </w:p>
        </w:tc>
        <w:tc>
          <w:tcPr>
            <w:tcW w:w="141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11,679.94</w:t>
            </w:r>
          </w:p>
        </w:tc>
        <w:tc>
          <w:tcPr>
            <w:tcW w:w="1309"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rsidTr="005D4E78">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预付款项</w:t>
            </w:r>
          </w:p>
        </w:tc>
        <w:tc>
          <w:tcPr>
            <w:tcW w:w="258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青岛纵联工业技术有限公司</w:t>
            </w:r>
          </w:p>
        </w:tc>
        <w:tc>
          <w:tcPr>
            <w:tcW w:w="15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27,202.12</w:t>
            </w:r>
          </w:p>
        </w:tc>
        <w:tc>
          <w:tcPr>
            <w:tcW w:w="141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309"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rsidTr="005D4E78">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其他应收款</w:t>
            </w:r>
          </w:p>
        </w:tc>
        <w:tc>
          <w:tcPr>
            <w:tcW w:w="258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青岛纵联工业技术有限公司</w:t>
            </w:r>
          </w:p>
        </w:tc>
        <w:tc>
          <w:tcPr>
            <w:tcW w:w="15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100,000.00</w:t>
            </w:r>
          </w:p>
        </w:tc>
        <w:tc>
          <w:tcPr>
            <w:tcW w:w="14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50,000.00</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100,000.00</w:t>
            </w:r>
          </w:p>
        </w:tc>
        <w:tc>
          <w:tcPr>
            <w:tcW w:w="130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10,000.00</w:t>
            </w:r>
          </w:p>
        </w:tc>
      </w:tr>
      <w:tr w:rsidR="00157EA0" w:rsidTr="005D4E78">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其他应收款</w:t>
            </w:r>
          </w:p>
        </w:tc>
        <w:tc>
          <w:tcPr>
            <w:tcW w:w="258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赛轮集团</w:t>
            </w:r>
            <w:proofErr w:type="gramEnd"/>
            <w:r>
              <w:rPr>
                <w:rFonts w:ascii="宋体" w:eastAsia="宋体" w:hAnsi="宋体" w:cs="宋体"/>
                <w:sz w:val="18"/>
                <w:szCs w:val="18"/>
              </w:rPr>
              <w:t>股份有限公司</w:t>
            </w:r>
          </w:p>
        </w:tc>
        <w:tc>
          <w:tcPr>
            <w:tcW w:w="15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500,000.00</w:t>
            </w:r>
          </w:p>
        </w:tc>
        <w:tc>
          <w:tcPr>
            <w:tcW w:w="14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500,000.00</w:t>
            </w:r>
          </w:p>
        </w:tc>
        <w:tc>
          <w:tcPr>
            <w:tcW w:w="155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500,000.00</w:t>
            </w:r>
          </w:p>
        </w:tc>
        <w:tc>
          <w:tcPr>
            <w:tcW w:w="1309"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500,000.00</w:t>
            </w:r>
          </w:p>
        </w:tc>
      </w:tr>
    </w:tbl>
    <w:p w:rsidR="00BA0365" w:rsidRDefault="008D4B2E">
      <w:pPr>
        <w:keepNext/>
        <w:keepLines/>
        <w:spacing w:before="300" w:after="300" w:line="280" w:lineRule="exact"/>
        <w:outlineLvl w:val="3"/>
        <w:rPr>
          <w:rFonts w:ascii="宋体" w:eastAsia="宋体" w:hAnsi="宋体" w:cs="宋体"/>
          <w:b/>
          <w:bCs/>
          <w:szCs w:val="21"/>
        </w:rPr>
      </w:pPr>
      <w:bookmarkStart w:id="395" w:name="_Toc989303"/>
      <w:r>
        <w:rPr>
          <w:rFonts w:ascii="宋体" w:eastAsia="宋体" w:hAnsi="宋体" w:cs="宋体"/>
          <w:b/>
          <w:bCs/>
          <w:szCs w:val="21"/>
        </w:rPr>
        <w:t>（2） 应付项目</w:t>
      </w:r>
      <w:bookmarkEnd w:id="395"/>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1951"/>
        <w:gridCol w:w="3827"/>
        <w:gridCol w:w="1985"/>
        <w:gridCol w:w="1876"/>
      </w:tblGrid>
      <w:tr w:rsidR="00157EA0" w:rsidTr="0010486D">
        <w:trPr>
          <w:trHeight w:val="240"/>
        </w:trPr>
        <w:tc>
          <w:tcPr>
            <w:tcW w:w="195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项目名称</w:t>
            </w:r>
          </w:p>
        </w:tc>
        <w:tc>
          <w:tcPr>
            <w:tcW w:w="382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关联方</w:t>
            </w:r>
          </w:p>
        </w:tc>
        <w:tc>
          <w:tcPr>
            <w:tcW w:w="198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期末账面余额</w:t>
            </w:r>
          </w:p>
        </w:tc>
        <w:tc>
          <w:tcPr>
            <w:tcW w:w="1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期初账面余额</w:t>
            </w:r>
          </w:p>
        </w:tc>
      </w:tr>
      <w:tr w:rsidR="00157EA0" w:rsidTr="0010486D">
        <w:trPr>
          <w:trHeight w:val="240"/>
        </w:trPr>
        <w:tc>
          <w:tcPr>
            <w:tcW w:w="19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应付账款</w:t>
            </w:r>
          </w:p>
        </w:tc>
        <w:tc>
          <w:tcPr>
            <w:tcW w:w="382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赛轮集团</w:t>
            </w:r>
            <w:proofErr w:type="gramEnd"/>
            <w:r>
              <w:rPr>
                <w:rFonts w:ascii="宋体" w:eastAsia="宋体" w:hAnsi="宋体" w:cs="宋体"/>
                <w:sz w:val="18"/>
                <w:szCs w:val="18"/>
              </w:rPr>
              <w:t>股份有限公司</w:t>
            </w:r>
          </w:p>
        </w:tc>
        <w:tc>
          <w:tcPr>
            <w:tcW w:w="198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2,282,197.43</w:t>
            </w:r>
          </w:p>
        </w:tc>
        <w:tc>
          <w:tcPr>
            <w:tcW w:w="1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7,032,617.01</w:t>
            </w:r>
          </w:p>
        </w:tc>
      </w:tr>
      <w:tr w:rsidR="00157EA0" w:rsidTr="0010486D">
        <w:trPr>
          <w:trHeight w:val="240"/>
        </w:trPr>
        <w:tc>
          <w:tcPr>
            <w:tcW w:w="19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应付账款</w:t>
            </w:r>
          </w:p>
        </w:tc>
        <w:tc>
          <w:tcPr>
            <w:tcW w:w="382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青岛普元栋盛商业发展有限公司</w:t>
            </w:r>
          </w:p>
        </w:tc>
        <w:tc>
          <w:tcPr>
            <w:tcW w:w="198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84,823.90</w:t>
            </w:r>
          </w:p>
        </w:tc>
      </w:tr>
      <w:tr w:rsidR="00157EA0" w:rsidTr="0010486D">
        <w:trPr>
          <w:trHeight w:val="240"/>
        </w:trPr>
        <w:tc>
          <w:tcPr>
            <w:tcW w:w="19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应付账款</w:t>
            </w:r>
          </w:p>
        </w:tc>
        <w:tc>
          <w:tcPr>
            <w:tcW w:w="382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青岛纵联工业技术有限公司</w:t>
            </w:r>
          </w:p>
        </w:tc>
        <w:tc>
          <w:tcPr>
            <w:tcW w:w="198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9,602,581.23</w:t>
            </w:r>
          </w:p>
        </w:tc>
        <w:tc>
          <w:tcPr>
            <w:tcW w:w="1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5,461,052.88</w:t>
            </w:r>
          </w:p>
        </w:tc>
      </w:tr>
      <w:tr w:rsidR="00157EA0" w:rsidTr="0010486D">
        <w:trPr>
          <w:trHeight w:val="240"/>
        </w:trPr>
        <w:tc>
          <w:tcPr>
            <w:tcW w:w="19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应付账款</w:t>
            </w:r>
          </w:p>
        </w:tc>
        <w:tc>
          <w:tcPr>
            <w:tcW w:w="382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赛轮（东营）轮胎股份有限公司</w:t>
            </w:r>
          </w:p>
        </w:tc>
        <w:tc>
          <w:tcPr>
            <w:tcW w:w="198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137,634.00</w:t>
            </w:r>
          </w:p>
        </w:tc>
        <w:tc>
          <w:tcPr>
            <w:tcW w:w="1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rsidTr="0010486D">
        <w:trPr>
          <w:trHeight w:val="240"/>
        </w:trPr>
        <w:tc>
          <w:tcPr>
            <w:tcW w:w="19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其他应付款</w:t>
            </w:r>
          </w:p>
        </w:tc>
        <w:tc>
          <w:tcPr>
            <w:tcW w:w="382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青岛普元栋盛商业发展有限公司</w:t>
            </w:r>
          </w:p>
        </w:tc>
        <w:tc>
          <w:tcPr>
            <w:tcW w:w="198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6,055.33</w:t>
            </w:r>
          </w:p>
        </w:tc>
      </w:tr>
      <w:tr w:rsidR="00157EA0" w:rsidTr="0010486D">
        <w:trPr>
          <w:trHeight w:val="240"/>
        </w:trPr>
        <w:tc>
          <w:tcPr>
            <w:tcW w:w="19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其他应付款</w:t>
            </w:r>
          </w:p>
        </w:tc>
        <w:tc>
          <w:tcPr>
            <w:tcW w:w="382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怡</w:t>
            </w:r>
            <w:proofErr w:type="gramEnd"/>
            <w:r>
              <w:rPr>
                <w:rFonts w:ascii="宋体" w:eastAsia="宋体" w:hAnsi="宋体" w:cs="宋体"/>
                <w:sz w:val="18"/>
                <w:szCs w:val="18"/>
              </w:rPr>
              <w:t>维</w:t>
            </w:r>
            <w:proofErr w:type="gramStart"/>
            <w:r>
              <w:rPr>
                <w:rFonts w:ascii="宋体" w:eastAsia="宋体" w:hAnsi="宋体" w:cs="宋体"/>
                <w:sz w:val="18"/>
                <w:szCs w:val="18"/>
              </w:rPr>
              <w:t>怡</w:t>
            </w:r>
            <w:proofErr w:type="gramEnd"/>
            <w:r>
              <w:rPr>
                <w:rFonts w:ascii="宋体" w:eastAsia="宋体" w:hAnsi="宋体" w:cs="宋体"/>
                <w:sz w:val="18"/>
                <w:szCs w:val="18"/>
              </w:rPr>
              <w:t>橡胶研究院有限公司</w:t>
            </w:r>
          </w:p>
        </w:tc>
        <w:tc>
          <w:tcPr>
            <w:tcW w:w="198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5,152.73</w:t>
            </w:r>
          </w:p>
        </w:tc>
        <w:tc>
          <w:tcPr>
            <w:tcW w:w="1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5,152.73</w:t>
            </w:r>
          </w:p>
        </w:tc>
      </w:tr>
      <w:tr w:rsidR="00157EA0" w:rsidTr="0010486D">
        <w:trPr>
          <w:trHeight w:val="240"/>
        </w:trPr>
        <w:tc>
          <w:tcPr>
            <w:tcW w:w="19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其他应付款</w:t>
            </w:r>
          </w:p>
        </w:tc>
        <w:tc>
          <w:tcPr>
            <w:tcW w:w="382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赛轮（东营）轮胎股份有限公司</w:t>
            </w:r>
          </w:p>
        </w:tc>
        <w:tc>
          <w:tcPr>
            <w:tcW w:w="198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7,178.04</w:t>
            </w:r>
          </w:p>
        </w:tc>
      </w:tr>
      <w:tr w:rsidR="00157EA0" w:rsidTr="0010486D">
        <w:trPr>
          <w:trHeight w:val="240"/>
        </w:trPr>
        <w:tc>
          <w:tcPr>
            <w:tcW w:w="19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预收款项</w:t>
            </w:r>
          </w:p>
        </w:tc>
        <w:tc>
          <w:tcPr>
            <w:tcW w:w="382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赛轮集团</w:t>
            </w:r>
            <w:proofErr w:type="gramEnd"/>
            <w:r>
              <w:rPr>
                <w:rFonts w:ascii="宋体" w:eastAsia="宋体" w:hAnsi="宋体" w:cs="宋体"/>
                <w:sz w:val="18"/>
                <w:szCs w:val="18"/>
              </w:rPr>
              <w:t>股份有限公司</w:t>
            </w:r>
          </w:p>
        </w:tc>
        <w:tc>
          <w:tcPr>
            <w:tcW w:w="198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297,567,176.41</w:t>
            </w:r>
          </w:p>
        </w:tc>
        <w:tc>
          <w:tcPr>
            <w:tcW w:w="1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169,464,018.69</w:t>
            </w:r>
          </w:p>
        </w:tc>
      </w:tr>
      <w:tr w:rsidR="00157EA0" w:rsidTr="0010486D">
        <w:trPr>
          <w:trHeight w:val="240"/>
        </w:trPr>
        <w:tc>
          <w:tcPr>
            <w:tcW w:w="19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预收款项</w:t>
            </w:r>
          </w:p>
        </w:tc>
        <w:tc>
          <w:tcPr>
            <w:tcW w:w="382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赛轮（东营）轮胎股份有限公司</w:t>
            </w:r>
          </w:p>
        </w:tc>
        <w:tc>
          <w:tcPr>
            <w:tcW w:w="198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1,090,100.00</w:t>
            </w:r>
          </w:p>
        </w:tc>
        <w:tc>
          <w:tcPr>
            <w:tcW w:w="1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1,115,398.24</w:t>
            </w:r>
          </w:p>
        </w:tc>
      </w:tr>
      <w:tr w:rsidR="00157EA0" w:rsidTr="0010486D">
        <w:trPr>
          <w:trHeight w:val="240"/>
        </w:trPr>
        <w:tc>
          <w:tcPr>
            <w:tcW w:w="19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预收款项</w:t>
            </w:r>
          </w:p>
        </w:tc>
        <w:tc>
          <w:tcPr>
            <w:tcW w:w="382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CART TIRE CO.,LTD.</w:t>
            </w:r>
          </w:p>
        </w:tc>
        <w:tc>
          <w:tcPr>
            <w:tcW w:w="198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40,942,207.96</w:t>
            </w:r>
          </w:p>
        </w:tc>
        <w:tc>
          <w:tcPr>
            <w:tcW w:w="1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62,254,575.54</w:t>
            </w:r>
          </w:p>
        </w:tc>
      </w:tr>
      <w:tr w:rsidR="00157EA0" w:rsidTr="0010486D">
        <w:trPr>
          <w:trHeight w:val="240"/>
        </w:trPr>
        <w:tc>
          <w:tcPr>
            <w:tcW w:w="19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预收款项</w:t>
            </w:r>
          </w:p>
        </w:tc>
        <w:tc>
          <w:tcPr>
            <w:tcW w:w="382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赛轮（越南）有限公司</w:t>
            </w:r>
          </w:p>
        </w:tc>
        <w:tc>
          <w:tcPr>
            <w:tcW w:w="198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101,648,182.86</w:t>
            </w:r>
          </w:p>
        </w:tc>
        <w:tc>
          <w:tcPr>
            <w:tcW w:w="1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98,301,642.08</w:t>
            </w:r>
          </w:p>
        </w:tc>
      </w:tr>
      <w:tr w:rsidR="00157EA0" w:rsidTr="0010486D">
        <w:trPr>
          <w:trHeight w:val="240"/>
        </w:trPr>
        <w:tc>
          <w:tcPr>
            <w:tcW w:w="19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预收款项</w:t>
            </w:r>
          </w:p>
        </w:tc>
        <w:tc>
          <w:tcPr>
            <w:tcW w:w="382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诸城涌安橡胶科技有限公司</w:t>
            </w:r>
          </w:p>
        </w:tc>
        <w:tc>
          <w:tcPr>
            <w:tcW w:w="198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10,007,592.94</w:t>
            </w:r>
          </w:p>
        </w:tc>
        <w:tc>
          <w:tcPr>
            <w:tcW w:w="1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rsidTr="0010486D">
        <w:trPr>
          <w:trHeight w:val="240"/>
        </w:trPr>
        <w:tc>
          <w:tcPr>
            <w:tcW w:w="19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预收款项</w:t>
            </w:r>
          </w:p>
        </w:tc>
        <w:tc>
          <w:tcPr>
            <w:tcW w:w="382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四川凯力威科技股份有限公司</w:t>
            </w:r>
          </w:p>
        </w:tc>
        <w:tc>
          <w:tcPr>
            <w:tcW w:w="1985"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6,155,227.67</w:t>
            </w:r>
          </w:p>
        </w:tc>
      </w:tr>
    </w:tbl>
    <w:p w:rsidR="00BA0365" w:rsidRDefault="008D4B2E">
      <w:pPr>
        <w:pStyle w:val="2"/>
        <w:spacing w:before="300" w:after="300" w:line="320" w:lineRule="exact"/>
        <w:rPr>
          <w:rFonts w:ascii="宋体" w:eastAsia="宋体" w:hAnsi="宋体" w:cs="宋体"/>
          <w:b/>
          <w:bCs/>
          <w:sz w:val="24"/>
          <w:szCs w:val="24"/>
        </w:rPr>
      </w:pPr>
      <w:bookmarkStart w:id="396" w:name="_Toc989306"/>
      <w:r>
        <w:rPr>
          <w:rFonts w:ascii="宋体" w:eastAsia="宋体" w:hAnsi="宋体" w:cs="宋体"/>
          <w:b/>
          <w:bCs/>
          <w:sz w:val="24"/>
          <w:szCs w:val="24"/>
        </w:rPr>
        <w:t>十五、股份支付</w:t>
      </w:r>
      <w:bookmarkEnd w:id="396"/>
    </w:p>
    <w:p w:rsidR="00BA0365" w:rsidRDefault="008D4B2E">
      <w:pPr>
        <w:pStyle w:val="3"/>
        <w:spacing w:line="280" w:lineRule="exact"/>
        <w:jc w:val="left"/>
        <w:rPr>
          <w:rFonts w:ascii="宋体" w:hAnsi="宋体" w:cs="宋体"/>
          <w:b/>
          <w:bCs/>
        </w:rPr>
      </w:pPr>
      <w:bookmarkStart w:id="397" w:name="_Toc989307"/>
      <w:r>
        <w:rPr>
          <w:rFonts w:ascii="宋体" w:hAnsi="宋体" w:cs="宋体"/>
          <w:b/>
          <w:bCs/>
        </w:rPr>
        <w:t>1、股份支付总体情况</w:t>
      </w:r>
      <w:bookmarkEnd w:id="397"/>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BA0365" w:rsidRDefault="008D4B2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1071"/>
        <w:gridCol w:w="1071"/>
        <w:gridCol w:w="1071"/>
        <w:gridCol w:w="1071"/>
        <w:gridCol w:w="1071"/>
        <w:gridCol w:w="1071"/>
        <w:gridCol w:w="1071"/>
        <w:gridCol w:w="1071"/>
        <w:gridCol w:w="1071"/>
      </w:tblGrid>
      <w:tr w:rsidR="00157EA0">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授予对象类别</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本期授予</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本期行权</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本期解锁</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本期失效</w:t>
            </w:r>
          </w:p>
        </w:tc>
      </w:tr>
      <w:tr w:rsidR="00157EA0">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数量</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数量</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数量</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数量</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r>
      <w:tr w:rsidR="00157EA0">
        <w:trPr>
          <w:trHeight w:val="240"/>
        </w:trPr>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关键员工</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37,500,000.00</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150,000,000.00</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5,099,830.00</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41,890,003.62</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20,452,270.00</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77,470,849.70</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10,000.00</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38,600.00</w:t>
            </w:r>
          </w:p>
        </w:tc>
      </w:tr>
      <w:tr w:rsidR="00157EA0">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37,500,000.00</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150,000,000.00</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5,099,830.00</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41,890,003.62</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20,452,270.00</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77,470,849.70</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10,000.00</w:t>
            </w:r>
          </w:p>
        </w:tc>
        <w:tc>
          <w:tcPr>
            <w:tcW w:w="107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38,600.00</w:t>
            </w:r>
          </w:p>
        </w:tc>
      </w:tr>
    </w:tbl>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期末发行在外的股票期权或其他权益工具</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其他说明：</w:t>
      </w:r>
    </w:p>
    <w:p w:rsidR="008D4B2E" w:rsidRDefault="008D4B2E">
      <w:pPr>
        <w:pStyle w:val="a3"/>
        <w:spacing w:before="0" w:beforeAutospacing="0" w:after="0" w:afterAutospacing="0" w:line="400" w:lineRule="atLeast"/>
        <w:ind w:left="482"/>
        <w:jc w:val="both"/>
        <w:divId w:val="525408917"/>
        <w:rPr>
          <w:rFonts w:ascii="Arial" w:hAnsi="Arial" w:cs="Arial"/>
          <w:sz w:val="20"/>
          <w:szCs w:val="20"/>
        </w:rPr>
      </w:pPr>
      <w:r>
        <w:rPr>
          <w:rStyle w:val="a4"/>
          <w:rFonts w:cs="Arial" w:hint="eastAsia"/>
          <w:sz w:val="20"/>
          <w:szCs w:val="20"/>
        </w:rPr>
        <w:t>（</w:t>
      </w:r>
      <w:r>
        <w:rPr>
          <w:rStyle w:val="a4"/>
          <w:rFonts w:ascii="Arial" w:hAnsi="Arial" w:cs="Arial"/>
          <w:sz w:val="20"/>
          <w:szCs w:val="20"/>
        </w:rPr>
        <w:t>1</w:t>
      </w:r>
      <w:r>
        <w:rPr>
          <w:rStyle w:val="a4"/>
          <w:rFonts w:cs="Arial" w:hint="eastAsia"/>
          <w:sz w:val="20"/>
          <w:szCs w:val="20"/>
        </w:rPr>
        <w:t>）</w:t>
      </w:r>
      <w:r>
        <w:rPr>
          <w:rStyle w:val="a4"/>
          <w:rFonts w:ascii="Arial" w:hAnsi="Arial" w:cs="Arial"/>
          <w:sz w:val="20"/>
          <w:szCs w:val="20"/>
        </w:rPr>
        <w:t>2019</w:t>
      </w:r>
      <w:r>
        <w:rPr>
          <w:rStyle w:val="a4"/>
          <w:rFonts w:cs="Arial" w:hint="eastAsia"/>
          <w:sz w:val="20"/>
          <w:szCs w:val="20"/>
        </w:rPr>
        <w:t>年期</w:t>
      </w:r>
    </w:p>
    <w:tbl>
      <w:tblPr>
        <w:tblW w:w="9606" w:type="dxa"/>
        <w:tblCellMar>
          <w:left w:w="0" w:type="dxa"/>
          <w:right w:w="0" w:type="dxa"/>
        </w:tblCellMar>
        <w:tblLook w:val="04A0" w:firstRow="1" w:lastRow="0" w:firstColumn="1" w:lastColumn="0" w:noHBand="0" w:noVBand="1"/>
      </w:tblPr>
      <w:tblGrid>
        <w:gridCol w:w="4219"/>
        <w:gridCol w:w="5387"/>
      </w:tblGrid>
      <w:tr w:rsidR="008D4B2E" w:rsidTr="0010486D">
        <w:trPr>
          <w:divId w:val="525408917"/>
          <w:trHeight w:val="380"/>
          <w:tblHeader/>
        </w:trPr>
        <w:tc>
          <w:tcPr>
            <w:tcW w:w="4219"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8D4B2E" w:rsidRPr="000C2E93" w:rsidRDefault="008D4B2E" w:rsidP="000C2E93">
            <w:pPr>
              <w:spacing w:line="240" w:lineRule="exact"/>
              <w:jc w:val="center"/>
              <w:rPr>
                <w:rFonts w:ascii="宋体" w:eastAsia="宋体" w:hAnsi="宋体" w:cs="宋体"/>
                <w:sz w:val="18"/>
                <w:szCs w:val="18"/>
              </w:rPr>
            </w:pPr>
            <w:r w:rsidRPr="000C2E93">
              <w:rPr>
                <w:rFonts w:ascii="宋体" w:eastAsia="宋体" w:hAnsi="宋体" w:cs="宋体" w:hint="eastAsia"/>
                <w:sz w:val="18"/>
                <w:szCs w:val="18"/>
              </w:rPr>
              <w:lastRenderedPageBreak/>
              <w:t>项目</w:t>
            </w:r>
          </w:p>
        </w:tc>
        <w:tc>
          <w:tcPr>
            <w:tcW w:w="5387" w:type="dxa"/>
            <w:tcBorders>
              <w:top w:val="single" w:sz="8" w:space="0" w:color="auto"/>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rsidR="008D4B2E" w:rsidRPr="000C2E93" w:rsidRDefault="008D4B2E" w:rsidP="000C2E93">
            <w:pPr>
              <w:spacing w:line="240" w:lineRule="exact"/>
              <w:jc w:val="center"/>
              <w:rPr>
                <w:rFonts w:ascii="宋体" w:eastAsia="宋体" w:hAnsi="宋体" w:cs="宋体"/>
                <w:sz w:val="18"/>
                <w:szCs w:val="18"/>
              </w:rPr>
            </w:pPr>
            <w:r w:rsidRPr="000C2E93">
              <w:rPr>
                <w:rFonts w:ascii="宋体" w:eastAsia="宋体" w:hAnsi="宋体" w:cs="宋体" w:hint="eastAsia"/>
                <w:sz w:val="18"/>
                <w:szCs w:val="18"/>
              </w:rPr>
              <w:t>相关内容</w:t>
            </w:r>
          </w:p>
        </w:tc>
      </w:tr>
      <w:tr w:rsidR="008D4B2E" w:rsidTr="0010486D">
        <w:trPr>
          <w:divId w:val="525408917"/>
          <w:trHeight w:val="360"/>
        </w:trPr>
        <w:tc>
          <w:tcPr>
            <w:tcW w:w="42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4B2E" w:rsidRPr="000C2E93" w:rsidRDefault="008D4B2E" w:rsidP="000C2E93">
            <w:pPr>
              <w:spacing w:line="240" w:lineRule="exact"/>
              <w:rPr>
                <w:rFonts w:ascii="宋体" w:eastAsia="宋体" w:hAnsi="宋体" w:cs="宋体"/>
                <w:sz w:val="18"/>
                <w:szCs w:val="18"/>
              </w:rPr>
            </w:pPr>
            <w:r w:rsidRPr="000C2E93">
              <w:rPr>
                <w:rFonts w:ascii="宋体" w:eastAsia="宋体" w:hAnsi="宋体" w:cs="宋体" w:hint="eastAsia"/>
                <w:sz w:val="18"/>
                <w:szCs w:val="18"/>
              </w:rPr>
              <w:t>公司本期授予的各项权益工具总额</w:t>
            </w:r>
          </w:p>
        </w:tc>
        <w:tc>
          <w:tcPr>
            <w:tcW w:w="53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0C2E93" w:rsidRDefault="008D4B2E" w:rsidP="000C2E93">
            <w:pPr>
              <w:spacing w:line="240" w:lineRule="exact"/>
              <w:rPr>
                <w:rFonts w:ascii="宋体" w:eastAsia="宋体" w:hAnsi="宋体" w:cs="宋体"/>
                <w:sz w:val="18"/>
                <w:szCs w:val="18"/>
              </w:rPr>
            </w:pPr>
            <w:r w:rsidRPr="000C2E93">
              <w:rPr>
                <w:rFonts w:ascii="宋体" w:eastAsia="宋体" w:hAnsi="宋体" w:cs="宋体"/>
                <w:sz w:val="18"/>
                <w:szCs w:val="18"/>
              </w:rPr>
              <w:t> </w:t>
            </w:r>
          </w:p>
        </w:tc>
      </w:tr>
      <w:tr w:rsidR="008D4B2E" w:rsidTr="0010486D">
        <w:trPr>
          <w:divId w:val="525408917"/>
          <w:trHeight w:val="360"/>
        </w:trPr>
        <w:tc>
          <w:tcPr>
            <w:tcW w:w="42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4B2E" w:rsidRPr="000C2E93" w:rsidRDefault="008D4B2E" w:rsidP="000C2E93">
            <w:pPr>
              <w:spacing w:line="240" w:lineRule="exact"/>
              <w:rPr>
                <w:rFonts w:ascii="宋体" w:eastAsia="宋体" w:hAnsi="宋体" w:cs="宋体"/>
                <w:sz w:val="18"/>
                <w:szCs w:val="18"/>
              </w:rPr>
            </w:pPr>
            <w:r w:rsidRPr="000C2E93">
              <w:rPr>
                <w:rFonts w:ascii="宋体" w:eastAsia="宋体" w:hAnsi="宋体" w:cs="宋体" w:hint="eastAsia"/>
                <w:sz w:val="18"/>
                <w:szCs w:val="18"/>
              </w:rPr>
              <w:t>公司本期行权的各项权益工具总额</w:t>
            </w:r>
            <w:r w:rsidR="0010486D">
              <w:rPr>
                <w:rFonts w:ascii="宋体" w:eastAsia="宋体" w:hAnsi="宋体" w:cs="宋体" w:hint="eastAsia"/>
                <w:sz w:val="18"/>
                <w:szCs w:val="18"/>
              </w:rPr>
              <w:t>（元）</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rsidR="008D4B2E" w:rsidRPr="000C2E93" w:rsidRDefault="008D4B2E" w:rsidP="000C2E93">
            <w:pPr>
              <w:spacing w:line="240" w:lineRule="exact"/>
              <w:jc w:val="right"/>
              <w:rPr>
                <w:rFonts w:ascii="宋体" w:eastAsia="宋体" w:hAnsi="宋体" w:cs="宋体"/>
                <w:sz w:val="18"/>
                <w:szCs w:val="18"/>
              </w:rPr>
            </w:pPr>
            <w:r w:rsidRPr="000C2E93">
              <w:rPr>
                <w:rFonts w:ascii="宋体" w:eastAsia="宋体" w:hAnsi="宋体" w:cs="宋体"/>
                <w:sz w:val="18"/>
                <w:szCs w:val="18"/>
              </w:rPr>
              <w:t>17,319,449.64</w:t>
            </w:r>
          </w:p>
        </w:tc>
      </w:tr>
      <w:tr w:rsidR="008D4B2E" w:rsidTr="0010486D">
        <w:trPr>
          <w:divId w:val="525408917"/>
          <w:trHeight w:val="360"/>
        </w:trPr>
        <w:tc>
          <w:tcPr>
            <w:tcW w:w="42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4B2E" w:rsidRPr="000C2E93" w:rsidRDefault="008D4B2E" w:rsidP="000C2E93">
            <w:pPr>
              <w:spacing w:line="240" w:lineRule="exact"/>
              <w:rPr>
                <w:rFonts w:ascii="宋体" w:eastAsia="宋体" w:hAnsi="宋体" w:cs="宋体"/>
                <w:sz w:val="18"/>
                <w:szCs w:val="18"/>
              </w:rPr>
            </w:pPr>
            <w:r w:rsidRPr="000C2E93">
              <w:rPr>
                <w:rFonts w:ascii="宋体" w:eastAsia="宋体" w:hAnsi="宋体" w:cs="宋体" w:hint="eastAsia"/>
                <w:sz w:val="18"/>
                <w:szCs w:val="18"/>
              </w:rPr>
              <w:t>公司本期失效的各项权益工具总额</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rsidR="008D4B2E" w:rsidRPr="000C2E93" w:rsidRDefault="008D4B2E" w:rsidP="000C2E93">
            <w:pPr>
              <w:spacing w:line="240" w:lineRule="exact"/>
              <w:rPr>
                <w:rFonts w:ascii="宋体" w:eastAsia="宋体" w:hAnsi="宋体" w:cs="宋体"/>
                <w:sz w:val="18"/>
                <w:szCs w:val="18"/>
              </w:rPr>
            </w:pPr>
            <w:r w:rsidRPr="000C2E93">
              <w:rPr>
                <w:rFonts w:ascii="宋体" w:eastAsia="宋体" w:hAnsi="宋体" w:cs="宋体"/>
                <w:sz w:val="18"/>
                <w:szCs w:val="18"/>
              </w:rPr>
              <w:t> </w:t>
            </w:r>
          </w:p>
        </w:tc>
      </w:tr>
      <w:tr w:rsidR="008D4B2E" w:rsidTr="0010486D">
        <w:trPr>
          <w:divId w:val="525408917"/>
          <w:trHeight w:val="510"/>
        </w:trPr>
        <w:tc>
          <w:tcPr>
            <w:tcW w:w="42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4B2E" w:rsidRPr="000C2E93" w:rsidRDefault="008D4B2E" w:rsidP="000C2E93">
            <w:pPr>
              <w:spacing w:line="240" w:lineRule="exact"/>
              <w:rPr>
                <w:rFonts w:ascii="宋体" w:eastAsia="宋体" w:hAnsi="宋体" w:cs="宋体"/>
                <w:sz w:val="18"/>
                <w:szCs w:val="18"/>
              </w:rPr>
            </w:pPr>
            <w:r w:rsidRPr="000C2E93">
              <w:rPr>
                <w:rFonts w:ascii="宋体" w:eastAsia="宋体" w:hAnsi="宋体" w:cs="宋体" w:hint="eastAsia"/>
                <w:sz w:val="18"/>
                <w:szCs w:val="18"/>
              </w:rPr>
              <w:t>公司期末发行在外的股份期权行权价格的范围和合同剩余期限</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rsidR="008D4B2E" w:rsidRPr="000C2E93" w:rsidRDefault="008D4B2E" w:rsidP="000C2E93">
            <w:pPr>
              <w:spacing w:line="240" w:lineRule="exact"/>
              <w:rPr>
                <w:rFonts w:ascii="宋体" w:eastAsia="宋体" w:hAnsi="宋体" w:cs="宋体"/>
                <w:sz w:val="18"/>
                <w:szCs w:val="18"/>
              </w:rPr>
            </w:pPr>
            <w:r w:rsidRPr="000C2E93">
              <w:rPr>
                <w:rFonts w:ascii="宋体" w:eastAsia="宋体" w:hAnsi="宋体" w:cs="宋体"/>
                <w:sz w:val="18"/>
                <w:szCs w:val="18"/>
              </w:rPr>
              <w:t> </w:t>
            </w:r>
          </w:p>
        </w:tc>
      </w:tr>
      <w:tr w:rsidR="008D4B2E" w:rsidTr="0010486D">
        <w:trPr>
          <w:divId w:val="525408917"/>
          <w:trHeight w:val="495"/>
        </w:trPr>
        <w:tc>
          <w:tcPr>
            <w:tcW w:w="42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4B2E" w:rsidRPr="000C2E93" w:rsidRDefault="008D4B2E" w:rsidP="000C2E93">
            <w:pPr>
              <w:spacing w:line="240" w:lineRule="exact"/>
              <w:rPr>
                <w:rFonts w:ascii="宋体" w:eastAsia="宋体" w:hAnsi="宋体" w:cs="宋体"/>
                <w:sz w:val="18"/>
                <w:szCs w:val="18"/>
              </w:rPr>
            </w:pPr>
            <w:r w:rsidRPr="000C2E93">
              <w:rPr>
                <w:rFonts w:ascii="宋体" w:eastAsia="宋体" w:hAnsi="宋体" w:cs="宋体" w:hint="eastAsia"/>
                <w:sz w:val="18"/>
                <w:szCs w:val="18"/>
              </w:rPr>
              <w:t>公司期末其他权益工具行权价格的范围和合同剩余期限</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rsidR="008D4B2E" w:rsidRPr="000C2E93" w:rsidRDefault="008D4B2E" w:rsidP="000C2E93">
            <w:pPr>
              <w:spacing w:line="240" w:lineRule="exact"/>
              <w:rPr>
                <w:rFonts w:ascii="宋体" w:eastAsia="宋体" w:hAnsi="宋体" w:cs="宋体"/>
                <w:sz w:val="18"/>
                <w:szCs w:val="18"/>
              </w:rPr>
            </w:pPr>
            <w:r w:rsidRPr="000C2E93">
              <w:rPr>
                <w:rFonts w:ascii="宋体" w:eastAsia="宋体" w:hAnsi="宋体" w:cs="宋体" w:hint="eastAsia"/>
                <w:sz w:val="18"/>
                <w:szCs w:val="18"/>
              </w:rPr>
              <w:t>授予价格为</w:t>
            </w:r>
            <w:r w:rsidRPr="000C2E93">
              <w:rPr>
                <w:rFonts w:ascii="宋体" w:eastAsia="宋体" w:hAnsi="宋体" w:cs="宋体"/>
                <w:sz w:val="18"/>
                <w:szCs w:val="18"/>
              </w:rPr>
              <w:t>2.13</w:t>
            </w:r>
            <w:r w:rsidRPr="000C2E93">
              <w:rPr>
                <w:rFonts w:ascii="宋体" w:eastAsia="宋体" w:hAnsi="宋体" w:cs="宋体" w:hint="eastAsia"/>
                <w:sz w:val="18"/>
                <w:szCs w:val="18"/>
              </w:rPr>
              <w:t>元</w:t>
            </w:r>
            <w:r w:rsidRPr="000C2E93">
              <w:rPr>
                <w:rFonts w:ascii="宋体" w:eastAsia="宋体" w:hAnsi="宋体" w:cs="宋体"/>
                <w:sz w:val="18"/>
                <w:szCs w:val="18"/>
              </w:rPr>
              <w:t>/</w:t>
            </w:r>
            <w:r w:rsidRPr="000C2E93">
              <w:rPr>
                <w:rFonts w:ascii="宋体" w:eastAsia="宋体" w:hAnsi="宋体" w:cs="宋体" w:hint="eastAsia"/>
                <w:sz w:val="18"/>
                <w:szCs w:val="18"/>
              </w:rPr>
              <w:t>股；员工持股计划的有效期自限制性股票授予登记完成之日起至激励</w:t>
            </w:r>
            <w:proofErr w:type="gramStart"/>
            <w:r w:rsidRPr="000C2E93">
              <w:rPr>
                <w:rFonts w:ascii="宋体" w:eastAsia="宋体" w:hAnsi="宋体" w:cs="宋体" w:hint="eastAsia"/>
                <w:sz w:val="18"/>
                <w:szCs w:val="18"/>
              </w:rPr>
              <w:t>对象获</w:t>
            </w:r>
            <w:proofErr w:type="gramEnd"/>
            <w:r w:rsidRPr="000C2E93">
              <w:rPr>
                <w:rFonts w:ascii="宋体" w:eastAsia="宋体" w:hAnsi="宋体" w:cs="宋体" w:hint="eastAsia"/>
                <w:sz w:val="18"/>
                <w:szCs w:val="18"/>
              </w:rPr>
              <w:t>授的限制性股票全部解除限售或回购注销之日止，最长锁定期为</w:t>
            </w:r>
            <w:r w:rsidRPr="000C2E93">
              <w:rPr>
                <w:rFonts w:ascii="宋体" w:eastAsia="宋体" w:hAnsi="宋体" w:cs="宋体"/>
                <w:sz w:val="18"/>
                <w:szCs w:val="18"/>
              </w:rPr>
              <w:t>36</w:t>
            </w:r>
            <w:r w:rsidRPr="000C2E93">
              <w:rPr>
                <w:rFonts w:ascii="宋体" w:eastAsia="宋体" w:hAnsi="宋体" w:cs="宋体" w:hint="eastAsia"/>
                <w:sz w:val="18"/>
                <w:szCs w:val="18"/>
              </w:rPr>
              <w:t>个月</w:t>
            </w:r>
          </w:p>
        </w:tc>
      </w:tr>
    </w:tbl>
    <w:p w:rsidR="008D4B2E" w:rsidRPr="000C2E93" w:rsidRDefault="008D4B2E" w:rsidP="00B87081">
      <w:pPr>
        <w:ind w:firstLineChars="200" w:firstLine="360"/>
        <w:divId w:val="525408917"/>
        <w:rPr>
          <w:rFonts w:ascii="宋体" w:eastAsia="宋体" w:hAnsi="宋体" w:cs="宋体"/>
          <w:sz w:val="18"/>
          <w:szCs w:val="18"/>
        </w:rPr>
      </w:pPr>
      <w:r w:rsidRPr="000C2E93">
        <w:rPr>
          <w:rFonts w:ascii="宋体" w:eastAsia="宋体" w:hAnsi="宋体" w:cs="宋体" w:hint="eastAsia"/>
          <w:sz w:val="18"/>
          <w:szCs w:val="18"/>
        </w:rPr>
        <w:t>①公司于</w:t>
      </w:r>
      <w:r w:rsidRPr="000C2E93">
        <w:rPr>
          <w:rFonts w:ascii="宋体" w:eastAsia="宋体" w:hAnsi="宋体" w:cs="宋体"/>
          <w:sz w:val="18"/>
          <w:szCs w:val="18"/>
        </w:rPr>
        <w:t>2019</w:t>
      </w:r>
      <w:r w:rsidRPr="000C2E93">
        <w:rPr>
          <w:rFonts w:ascii="宋体" w:eastAsia="宋体" w:hAnsi="宋体" w:cs="宋体" w:hint="eastAsia"/>
          <w:sz w:val="18"/>
          <w:szCs w:val="18"/>
        </w:rPr>
        <w:t>年</w:t>
      </w:r>
      <w:r w:rsidRPr="000C2E93">
        <w:rPr>
          <w:rFonts w:ascii="宋体" w:eastAsia="宋体" w:hAnsi="宋体" w:cs="宋体"/>
          <w:sz w:val="18"/>
          <w:szCs w:val="18"/>
        </w:rPr>
        <w:t>12</w:t>
      </w:r>
      <w:r w:rsidRPr="000C2E93">
        <w:rPr>
          <w:rFonts w:ascii="宋体" w:eastAsia="宋体" w:hAnsi="宋体" w:cs="宋体" w:hint="eastAsia"/>
          <w:sz w:val="18"/>
          <w:szCs w:val="18"/>
        </w:rPr>
        <w:t>月</w:t>
      </w:r>
      <w:r w:rsidRPr="000C2E93">
        <w:rPr>
          <w:rFonts w:ascii="宋体" w:eastAsia="宋体" w:hAnsi="宋体" w:cs="宋体"/>
          <w:sz w:val="18"/>
          <w:szCs w:val="18"/>
        </w:rPr>
        <w:t>29</w:t>
      </w:r>
      <w:r w:rsidRPr="000C2E93">
        <w:rPr>
          <w:rFonts w:ascii="宋体" w:eastAsia="宋体" w:hAnsi="宋体" w:cs="宋体" w:hint="eastAsia"/>
          <w:sz w:val="18"/>
          <w:szCs w:val="18"/>
        </w:rPr>
        <w:t>日召开第七届董事会第四次会议审议通过了《关于</w:t>
      </w:r>
      <w:r w:rsidRPr="000C2E93">
        <w:rPr>
          <w:rFonts w:ascii="宋体" w:eastAsia="宋体" w:hAnsi="宋体" w:cs="宋体"/>
          <w:sz w:val="18"/>
          <w:szCs w:val="18"/>
        </w:rPr>
        <w:t>〈2019</w:t>
      </w:r>
      <w:r w:rsidRPr="000C2E93">
        <w:rPr>
          <w:rFonts w:ascii="宋体" w:eastAsia="宋体" w:hAnsi="宋体" w:cs="宋体" w:hint="eastAsia"/>
          <w:sz w:val="18"/>
          <w:szCs w:val="18"/>
        </w:rPr>
        <w:t>年员工持股计划（草案）</w:t>
      </w:r>
      <w:r w:rsidRPr="000C2E93">
        <w:rPr>
          <w:rFonts w:ascii="宋体" w:eastAsia="宋体" w:hAnsi="宋体" w:cs="宋体"/>
          <w:sz w:val="18"/>
          <w:szCs w:val="18"/>
        </w:rPr>
        <w:t>〉</w:t>
      </w:r>
      <w:r w:rsidRPr="000C2E93">
        <w:rPr>
          <w:rFonts w:ascii="宋体" w:eastAsia="宋体" w:hAnsi="宋体" w:cs="宋体" w:hint="eastAsia"/>
          <w:sz w:val="18"/>
          <w:szCs w:val="18"/>
        </w:rPr>
        <w:t>及其摘要的议案》、《关于制定</w:t>
      </w:r>
      <w:r w:rsidRPr="000C2E93">
        <w:rPr>
          <w:rFonts w:ascii="宋体" w:eastAsia="宋体" w:hAnsi="宋体" w:cs="宋体"/>
          <w:sz w:val="18"/>
          <w:szCs w:val="18"/>
        </w:rPr>
        <w:t>〈</w:t>
      </w:r>
      <w:r w:rsidRPr="000C2E93">
        <w:rPr>
          <w:rFonts w:ascii="宋体" w:eastAsia="宋体" w:hAnsi="宋体" w:cs="宋体" w:hint="eastAsia"/>
          <w:sz w:val="18"/>
          <w:szCs w:val="18"/>
        </w:rPr>
        <w:t>员工持股计划管理办法</w:t>
      </w:r>
      <w:r w:rsidRPr="000C2E93">
        <w:rPr>
          <w:rFonts w:ascii="宋体" w:eastAsia="宋体" w:hAnsi="宋体" w:cs="宋体"/>
          <w:sz w:val="18"/>
          <w:szCs w:val="18"/>
        </w:rPr>
        <w:t>〉</w:t>
      </w:r>
      <w:r w:rsidRPr="000C2E93">
        <w:rPr>
          <w:rFonts w:ascii="宋体" w:eastAsia="宋体" w:hAnsi="宋体" w:cs="宋体" w:hint="eastAsia"/>
          <w:sz w:val="18"/>
          <w:szCs w:val="18"/>
        </w:rPr>
        <w:t>的议案》，确定</w:t>
      </w:r>
      <w:proofErr w:type="gramStart"/>
      <w:r w:rsidRPr="000C2E93">
        <w:rPr>
          <w:rFonts w:ascii="宋体" w:eastAsia="宋体" w:hAnsi="宋体" w:cs="宋体" w:hint="eastAsia"/>
          <w:sz w:val="18"/>
          <w:szCs w:val="18"/>
        </w:rPr>
        <w:t>本期员工</w:t>
      </w:r>
      <w:proofErr w:type="gramEnd"/>
      <w:r w:rsidRPr="000C2E93">
        <w:rPr>
          <w:rFonts w:ascii="宋体" w:eastAsia="宋体" w:hAnsi="宋体" w:cs="宋体" w:hint="eastAsia"/>
          <w:sz w:val="18"/>
          <w:szCs w:val="18"/>
        </w:rPr>
        <w:t>持股计划的参加对象为经董事会认定对公司发展有贡献的董事、监事、高级管理人员、公司中高层管理人员、公司核心技术及其他员工，本次员工持股计划参加对象总人数为不超过</w:t>
      </w:r>
      <w:r w:rsidRPr="000C2E93">
        <w:rPr>
          <w:rFonts w:ascii="宋体" w:eastAsia="宋体" w:hAnsi="宋体" w:cs="宋体"/>
          <w:sz w:val="18"/>
          <w:szCs w:val="18"/>
        </w:rPr>
        <w:t>98</w:t>
      </w:r>
      <w:r w:rsidRPr="000C2E93">
        <w:rPr>
          <w:rFonts w:ascii="宋体" w:eastAsia="宋体" w:hAnsi="宋体" w:cs="宋体" w:hint="eastAsia"/>
          <w:sz w:val="18"/>
          <w:szCs w:val="18"/>
        </w:rPr>
        <w:t>人（含），认购</w:t>
      </w:r>
      <w:r w:rsidRPr="000C2E93">
        <w:rPr>
          <w:rFonts w:ascii="宋体" w:eastAsia="宋体" w:hAnsi="宋体" w:cs="宋体"/>
          <w:sz w:val="18"/>
          <w:szCs w:val="18"/>
        </w:rPr>
        <w:t>27,360,900</w:t>
      </w:r>
      <w:r w:rsidRPr="000C2E93">
        <w:rPr>
          <w:rFonts w:ascii="宋体" w:eastAsia="宋体" w:hAnsi="宋体" w:cs="宋体" w:hint="eastAsia"/>
          <w:sz w:val="18"/>
          <w:szCs w:val="18"/>
        </w:rPr>
        <w:t>股限制性股票，股票面值</w:t>
      </w:r>
      <w:r w:rsidRPr="000C2E93">
        <w:rPr>
          <w:rFonts w:ascii="宋体" w:eastAsia="宋体" w:hAnsi="宋体" w:cs="宋体"/>
          <w:sz w:val="18"/>
          <w:szCs w:val="18"/>
        </w:rPr>
        <w:t>1</w:t>
      </w:r>
      <w:r w:rsidRPr="000C2E93">
        <w:rPr>
          <w:rFonts w:ascii="宋体" w:eastAsia="宋体" w:hAnsi="宋体" w:cs="宋体" w:hint="eastAsia"/>
          <w:sz w:val="18"/>
          <w:szCs w:val="18"/>
        </w:rPr>
        <w:t>元，认购价格为</w:t>
      </w:r>
      <w:r w:rsidRPr="000C2E93">
        <w:rPr>
          <w:rFonts w:ascii="宋体" w:eastAsia="宋体" w:hAnsi="宋体" w:cs="宋体"/>
          <w:sz w:val="18"/>
          <w:szCs w:val="18"/>
        </w:rPr>
        <w:t>2.13</w:t>
      </w:r>
      <w:r w:rsidRPr="000C2E93">
        <w:rPr>
          <w:rFonts w:ascii="宋体" w:eastAsia="宋体" w:hAnsi="宋体" w:cs="宋体" w:hint="eastAsia"/>
          <w:sz w:val="18"/>
          <w:szCs w:val="18"/>
        </w:rPr>
        <w:t>元</w:t>
      </w:r>
      <w:r w:rsidRPr="000C2E93">
        <w:rPr>
          <w:rFonts w:ascii="宋体" w:eastAsia="宋体" w:hAnsi="宋体" w:cs="宋体"/>
          <w:sz w:val="18"/>
          <w:szCs w:val="18"/>
        </w:rPr>
        <w:t>/</w:t>
      </w:r>
      <w:r w:rsidRPr="000C2E93">
        <w:rPr>
          <w:rFonts w:ascii="宋体" w:eastAsia="宋体" w:hAnsi="宋体" w:cs="宋体" w:hint="eastAsia"/>
          <w:sz w:val="18"/>
          <w:szCs w:val="18"/>
        </w:rPr>
        <w:t>股。本期以权益结算的股份支付确认的费用总额</w:t>
      </w:r>
      <w:r w:rsidRPr="000C2E93">
        <w:rPr>
          <w:rFonts w:ascii="宋体" w:eastAsia="宋体" w:hAnsi="宋体" w:cs="宋体"/>
          <w:sz w:val="18"/>
          <w:szCs w:val="18"/>
        </w:rPr>
        <w:t>5,292,054.07</w:t>
      </w:r>
      <w:r w:rsidRPr="000C2E93">
        <w:rPr>
          <w:rFonts w:ascii="宋体" w:eastAsia="宋体" w:hAnsi="宋体" w:cs="宋体" w:hint="eastAsia"/>
          <w:sz w:val="18"/>
          <w:szCs w:val="18"/>
        </w:rPr>
        <w:t>元。</w:t>
      </w:r>
    </w:p>
    <w:p w:rsidR="008D4B2E" w:rsidRPr="000C2E93" w:rsidRDefault="008D4B2E" w:rsidP="00B87081">
      <w:pPr>
        <w:ind w:firstLineChars="200" w:firstLine="360"/>
        <w:divId w:val="525408917"/>
        <w:rPr>
          <w:rFonts w:ascii="宋体" w:eastAsia="宋体" w:hAnsi="宋体" w:cs="宋体"/>
          <w:sz w:val="18"/>
          <w:szCs w:val="18"/>
        </w:rPr>
      </w:pPr>
      <w:r w:rsidRPr="000C2E93">
        <w:rPr>
          <w:rFonts w:ascii="宋体" w:eastAsia="宋体" w:hAnsi="宋体" w:cs="宋体" w:hint="eastAsia"/>
          <w:sz w:val="18"/>
          <w:szCs w:val="18"/>
        </w:rPr>
        <w:t>②</w:t>
      </w:r>
      <w:proofErr w:type="gramStart"/>
      <w:r w:rsidRPr="000C2E93">
        <w:rPr>
          <w:rFonts w:ascii="宋体" w:eastAsia="宋体" w:hAnsi="宋体" w:cs="宋体" w:hint="eastAsia"/>
          <w:sz w:val="18"/>
          <w:szCs w:val="18"/>
        </w:rPr>
        <w:t>本期员工</w:t>
      </w:r>
      <w:proofErr w:type="gramEnd"/>
      <w:r w:rsidRPr="000C2E93">
        <w:rPr>
          <w:rFonts w:ascii="宋体" w:eastAsia="宋体" w:hAnsi="宋体" w:cs="宋体" w:hint="eastAsia"/>
          <w:sz w:val="18"/>
          <w:szCs w:val="18"/>
        </w:rPr>
        <w:t>持股计划通过</w:t>
      </w:r>
      <w:proofErr w:type="gramStart"/>
      <w:r w:rsidRPr="000C2E93">
        <w:rPr>
          <w:rFonts w:ascii="宋体" w:eastAsia="宋体" w:hAnsi="宋体" w:cs="宋体" w:hint="eastAsia"/>
          <w:sz w:val="18"/>
          <w:szCs w:val="18"/>
        </w:rPr>
        <w:t>非交易</w:t>
      </w:r>
      <w:proofErr w:type="gramEnd"/>
      <w:r w:rsidRPr="000C2E93">
        <w:rPr>
          <w:rFonts w:ascii="宋体" w:eastAsia="宋体" w:hAnsi="宋体" w:cs="宋体" w:hint="eastAsia"/>
          <w:sz w:val="18"/>
          <w:szCs w:val="18"/>
        </w:rPr>
        <w:t>性过户等法律法规许可的方式所获标的股票，分三期解锁，解锁时点分别为自公司公告最后一笔标的股票过户至</w:t>
      </w:r>
      <w:proofErr w:type="gramStart"/>
      <w:r w:rsidRPr="000C2E93">
        <w:rPr>
          <w:rFonts w:ascii="宋体" w:eastAsia="宋体" w:hAnsi="宋体" w:cs="宋体" w:hint="eastAsia"/>
          <w:sz w:val="18"/>
          <w:szCs w:val="18"/>
        </w:rPr>
        <w:t>本期员工</w:t>
      </w:r>
      <w:proofErr w:type="gramEnd"/>
      <w:r w:rsidRPr="000C2E93">
        <w:rPr>
          <w:rFonts w:ascii="宋体" w:eastAsia="宋体" w:hAnsi="宋体" w:cs="宋体" w:hint="eastAsia"/>
          <w:sz w:val="18"/>
          <w:szCs w:val="18"/>
        </w:rPr>
        <w:t>持股计划名下之日起满</w:t>
      </w:r>
      <w:r w:rsidRPr="000C2E93">
        <w:rPr>
          <w:rFonts w:ascii="宋体" w:eastAsia="宋体" w:hAnsi="宋体" w:cs="宋体"/>
          <w:sz w:val="18"/>
          <w:szCs w:val="18"/>
        </w:rPr>
        <w:t>12</w:t>
      </w:r>
      <w:r w:rsidRPr="000C2E93">
        <w:rPr>
          <w:rFonts w:ascii="宋体" w:eastAsia="宋体" w:hAnsi="宋体" w:cs="宋体" w:hint="eastAsia"/>
          <w:sz w:val="18"/>
          <w:szCs w:val="18"/>
        </w:rPr>
        <w:t>个月、</w:t>
      </w:r>
      <w:r w:rsidRPr="000C2E93">
        <w:rPr>
          <w:rFonts w:ascii="宋体" w:eastAsia="宋体" w:hAnsi="宋体" w:cs="宋体"/>
          <w:sz w:val="18"/>
          <w:szCs w:val="18"/>
        </w:rPr>
        <w:t>24</w:t>
      </w:r>
      <w:r w:rsidRPr="000C2E93">
        <w:rPr>
          <w:rFonts w:ascii="宋体" w:eastAsia="宋体" w:hAnsi="宋体" w:cs="宋体" w:hint="eastAsia"/>
          <w:sz w:val="18"/>
          <w:szCs w:val="18"/>
        </w:rPr>
        <w:t>个月、</w:t>
      </w:r>
      <w:r w:rsidRPr="000C2E93">
        <w:rPr>
          <w:rFonts w:ascii="宋体" w:eastAsia="宋体" w:hAnsi="宋体" w:cs="宋体"/>
          <w:sz w:val="18"/>
          <w:szCs w:val="18"/>
        </w:rPr>
        <w:t>36</w:t>
      </w:r>
      <w:r w:rsidRPr="000C2E93">
        <w:rPr>
          <w:rFonts w:ascii="宋体" w:eastAsia="宋体" w:hAnsi="宋体" w:cs="宋体" w:hint="eastAsia"/>
          <w:sz w:val="18"/>
          <w:szCs w:val="18"/>
        </w:rPr>
        <w:t>个月，最长锁定期为</w:t>
      </w:r>
      <w:r w:rsidRPr="000C2E93">
        <w:rPr>
          <w:rFonts w:ascii="宋体" w:eastAsia="宋体" w:hAnsi="宋体" w:cs="宋体"/>
          <w:sz w:val="18"/>
          <w:szCs w:val="18"/>
        </w:rPr>
        <w:t>36</w:t>
      </w:r>
      <w:r w:rsidRPr="000C2E93">
        <w:rPr>
          <w:rFonts w:ascii="宋体" w:eastAsia="宋体" w:hAnsi="宋体" w:cs="宋体" w:hint="eastAsia"/>
          <w:sz w:val="18"/>
          <w:szCs w:val="18"/>
        </w:rPr>
        <w:t>个月，每期解锁的标的股票比例分别为</w:t>
      </w:r>
      <w:r w:rsidRPr="000C2E93">
        <w:rPr>
          <w:rFonts w:ascii="宋体" w:eastAsia="宋体" w:hAnsi="宋体" w:cs="宋体"/>
          <w:sz w:val="18"/>
          <w:szCs w:val="18"/>
        </w:rPr>
        <w:t>40%</w:t>
      </w:r>
      <w:r w:rsidRPr="000C2E93">
        <w:rPr>
          <w:rFonts w:ascii="宋体" w:eastAsia="宋体" w:hAnsi="宋体" w:cs="宋体" w:hint="eastAsia"/>
          <w:sz w:val="18"/>
          <w:szCs w:val="18"/>
        </w:rPr>
        <w:t>、</w:t>
      </w:r>
      <w:r w:rsidRPr="000C2E93">
        <w:rPr>
          <w:rFonts w:ascii="宋体" w:eastAsia="宋体" w:hAnsi="宋体" w:cs="宋体"/>
          <w:sz w:val="18"/>
          <w:szCs w:val="18"/>
        </w:rPr>
        <w:t>30%</w:t>
      </w:r>
      <w:r w:rsidRPr="000C2E93">
        <w:rPr>
          <w:rFonts w:ascii="宋体" w:eastAsia="宋体" w:hAnsi="宋体" w:cs="宋体" w:hint="eastAsia"/>
          <w:sz w:val="18"/>
          <w:szCs w:val="18"/>
        </w:rPr>
        <w:t>、</w:t>
      </w:r>
      <w:r w:rsidRPr="000C2E93">
        <w:rPr>
          <w:rFonts w:ascii="宋体" w:eastAsia="宋体" w:hAnsi="宋体" w:cs="宋体"/>
          <w:sz w:val="18"/>
          <w:szCs w:val="18"/>
        </w:rPr>
        <w:t>30%</w:t>
      </w:r>
      <w:r w:rsidRPr="000C2E93">
        <w:rPr>
          <w:rFonts w:ascii="宋体" w:eastAsia="宋体" w:hAnsi="宋体" w:cs="宋体" w:hint="eastAsia"/>
          <w:sz w:val="18"/>
          <w:szCs w:val="18"/>
        </w:rPr>
        <w:t>，各年度具体解锁比例和数量根据公司业绩指标和持有人考核结果计算确定。</w:t>
      </w:r>
    </w:p>
    <w:p w:rsidR="008D4B2E" w:rsidRPr="000C2E93" w:rsidRDefault="008D4B2E" w:rsidP="00B87081">
      <w:pPr>
        <w:ind w:firstLineChars="200" w:firstLine="360"/>
        <w:divId w:val="525408917"/>
        <w:rPr>
          <w:rFonts w:ascii="宋体" w:eastAsia="宋体" w:hAnsi="宋体" w:cs="宋体"/>
          <w:sz w:val="18"/>
          <w:szCs w:val="18"/>
        </w:rPr>
      </w:pPr>
      <w:r w:rsidRPr="000C2E93">
        <w:rPr>
          <w:rFonts w:ascii="宋体" w:eastAsia="宋体" w:hAnsi="宋体" w:cs="宋体" w:hint="eastAsia"/>
          <w:sz w:val="18"/>
          <w:szCs w:val="18"/>
        </w:rPr>
        <w:t>③</w:t>
      </w:r>
      <w:r w:rsidRPr="000C2E93">
        <w:rPr>
          <w:rFonts w:ascii="宋体" w:eastAsia="宋体" w:hAnsi="宋体" w:cs="宋体"/>
          <w:sz w:val="18"/>
          <w:szCs w:val="18"/>
        </w:rPr>
        <w:t>2020</w:t>
      </w:r>
      <w:r w:rsidRPr="000C2E93">
        <w:rPr>
          <w:rFonts w:ascii="宋体" w:eastAsia="宋体" w:hAnsi="宋体" w:cs="宋体" w:hint="eastAsia"/>
          <w:sz w:val="18"/>
          <w:szCs w:val="18"/>
        </w:rPr>
        <w:t>年</w:t>
      </w:r>
      <w:r w:rsidRPr="000C2E93">
        <w:rPr>
          <w:rFonts w:ascii="宋体" w:eastAsia="宋体" w:hAnsi="宋体" w:cs="宋体"/>
          <w:sz w:val="18"/>
          <w:szCs w:val="18"/>
        </w:rPr>
        <w:t>1</w:t>
      </w:r>
      <w:r w:rsidRPr="000C2E93">
        <w:rPr>
          <w:rFonts w:ascii="宋体" w:eastAsia="宋体" w:hAnsi="宋体" w:cs="宋体" w:hint="eastAsia"/>
          <w:sz w:val="18"/>
          <w:szCs w:val="18"/>
        </w:rPr>
        <w:t>月</w:t>
      </w:r>
      <w:r w:rsidRPr="000C2E93">
        <w:rPr>
          <w:rFonts w:ascii="宋体" w:eastAsia="宋体" w:hAnsi="宋体" w:cs="宋体"/>
          <w:sz w:val="18"/>
          <w:szCs w:val="18"/>
        </w:rPr>
        <w:t>20</w:t>
      </w:r>
      <w:r w:rsidRPr="000C2E93">
        <w:rPr>
          <w:rFonts w:ascii="宋体" w:eastAsia="宋体" w:hAnsi="宋体" w:cs="宋体" w:hint="eastAsia"/>
          <w:sz w:val="18"/>
          <w:szCs w:val="18"/>
        </w:rPr>
        <w:t>日，公司收到中国证券登记结算有限责任公司深圳分公司下发的《证券过户登记确认书》，</w:t>
      </w:r>
      <w:r w:rsidRPr="000C2E93">
        <w:rPr>
          <w:rFonts w:ascii="宋体" w:eastAsia="宋体" w:hAnsi="宋体" w:cs="宋体"/>
          <w:sz w:val="18"/>
          <w:szCs w:val="18"/>
        </w:rPr>
        <w:t>“</w:t>
      </w:r>
      <w:r w:rsidRPr="000C2E93">
        <w:rPr>
          <w:rFonts w:ascii="宋体" w:eastAsia="宋体" w:hAnsi="宋体" w:cs="宋体" w:hint="eastAsia"/>
          <w:sz w:val="18"/>
          <w:szCs w:val="18"/>
        </w:rPr>
        <w:t>软控股份有限公司回购专用证券账户</w:t>
      </w:r>
      <w:r w:rsidRPr="000C2E93">
        <w:rPr>
          <w:rFonts w:ascii="宋体" w:eastAsia="宋体" w:hAnsi="宋体" w:cs="宋体"/>
          <w:sz w:val="18"/>
          <w:szCs w:val="18"/>
        </w:rPr>
        <w:t>”</w:t>
      </w:r>
      <w:r w:rsidRPr="000C2E93">
        <w:rPr>
          <w:rFonts w:ascii="宋体" w:eastAsia="宋体" w:hAnsi="宋体" w:cs="宋体" w:hint="eastAsia"/>
          <w:sz w:val="18"/>
          <w:szCs w:val="18"/>
        </w:rPr>
        <w:t>所持有的公司股票已于</w:t>
      </w:r>
      <w:r w:rsidRPr="000C2E93">
        <w:rPr>
          <w:rFonts w:ascii="宋体" w:eastAsia="宋体" w:hAnsi="宋体" w:cs="宋体"/>
          <w:sz w:val="18"/>
          <w:szCs w:val="18"/>
        </w:rPr>
        <w:t>2020</w:t>
      </w:r>
      <w:r w:rsidRPr="000C2E93">
        <w:rPr>
          <w:rFonts w:ascii="宋体" w:eastAsia="宋体" w:hAnsi="宋体" w:cs="宋体" w:hint="eastAsia"/>
          <w:sz w:val="18"/>
          <w:szCs w:val="18"/>
        </w:rPr>
        <w:t>年</w:t>
      </w:r>
      <w:r w:rsidRPr="000C2E93">
        <w:rPr>
          <w:rFonts w:ascii="宋体" w:eastAsia="宋体" w:hAnsi="宋体" w:cs="宋体"/>
          <w:sz w:val="18"/>
          <w:szCs w:val="18"/>
        </w:rPr>
        <w:t>1</w:t>
      </w:r>
      <w:r w:rsidRPr="000C2E93">
        <w:rPr>
          <w:rFonts w:ascii="宋体" w:eastAsia="宋体" w:hAnsi="宋体" w:cs="宋体" w:hint="eastAsia"/>
          <w:sz w:val="18"/>
          <w:szCs w:val="18"/>
        </w:rPr>
        <w:t>月</w:t>
      </w:r>
      <w:r w:rsidRPr="000C2E93">
        <w:rPr>
          <w:rFonts w:ascii="宋体" w:eastAsia="宋体" w:hAnsi="宋体" w:cs="宋体"/>
          <w:sz w:val="18"/>
          <w:szCs w:val="18"/>
        </w:rPr>
        <w:t>20</w:t>
      </w:r>
      <w:r w:rsidRPr="000C2E93">
        <w:rPr>
          <w:rFonts w:ascii="宋体" w:eastAsia="宋体" w:hAnsi="宋体" w:cs="宋体" w:hint="eastAsia"/>
          <w:sz w:val="18"/>
          <w:szCs w:val="18"/>
        </w:rPr>
        <w:t>日</w:t>
      </w:r>
      <w:proofErr w:type="gramStart"/>
      <w:r w:rsidRPr="000C2E93">
        <w:rPr>
          <w:rFonts w:ascii="宋体" w:eastAsia="宋体" w:hAnsi="宋体" w:cs="宋体" w:hint="eastAsia"/>
          <w:sz w:val="18"/>
          <w:szCs w:val="18"/>
        </w:rPr>
        <w:t>非交易</w:t>
      </w:r>
      <w:proofErr w:type="gramEnd"/>
      <w:r w:rsidRPr="000C2E93">
        <w:rPr>
          <w:rFonts w:ascii="宋体" w:eastAsia="宋体" w:hAnsi="宋体" w:cs="宋体" w:hint="eastAsia"/>
          <w:sz w:val="18"/>
          <w:szCs w:val="18"/>
        </w:rPr>
        <w:t>过户至</w:t>
      </w:r>
      <w:r w:rsidRPr="000C2E93">
        <w:rPr>
          <w:rFonts w:ascii="宋体" w:eastAsia="宋体" w:hAnsi="宋体" w:cs="宋体"/>
          <w:sz w:val="18"/>
          <w:szCs w:val="18"/>
        </w:rPr>
        <w:t>“</w:t>
      </w:r>
      <w:r w:rsidRPr="000C2E93">
        <w:rPr>
          <w:rFonts w:ascii="宋体" w:eastAsia="宋体" w:hAnsi="宋体" w:cs="宋体" w:hint="eastAsia"/>
          <w:sz w:val="18"/>
          <w:szCs w:val="18"/>
        </w:rPr>
        <w:t>软控股份有限公司</w:t>
      </w:r>
      <w:r w:rsidRPr="000C2E93">
        <w:rPr>
          <w:rFonts w:ascii="宋体" w:eastAsia="宋体" w:hAnsi="宋体" w:cs="宋体"/>
          <w:sz w:val="18"/>
          <w:szCs w:val="18"/>
        </w:rPr>
        <w:t>—</w:t>
      </w:r>
      <w:r w:rsidRPr="000C2E93">
        <w:rPr>
          <w:rFonts w:ascii="宋体" w:eastAsia="宋体" w:hAnsi="宋体" w:cs="宋体" w:hint="eastAsia"/>
          <w:sz w:val="18"/>
          <w:szCs w:val="18"/>
        </w:rPr>
        <w:t>第一期员工持股计划</w:t>
      </w:r>
      <w:r w:rsidRPr="000C2E93">
        <w:rPr>
          <w:rFonts w:ascii="宋体" w:eastAsia="宋体" w:hAnsi="宋体" w:cs="宋体"/>
          <w:sz w:val="18"/>
          <w:szCs w:val="18"/>
        </w:rPr>
        <w:t>”</w:t>
      </w:r>
      <w:r w:rsidRPr="000C2E93">
        <w:rPr>
          <w:rFonts w:ascii="宋体" w:eastAsia="宋体" w:hAnsi="宋体" w:cs="宋体" w:hint="eastAsia"/>
          <w:sz w:val="18"/>
          <w:szCs w:val="18"/>
        </w:rPr>
        <w:t>，过户股数为</w:t>
      </w:r>
      <w:r w:rsidRPr="000C2E93">
        <w:rPr>
          <w:rFonts w:ascii="宋体" w:eastAsia="宋体" w:hAnsi="宋体" w:cs="宋体"/>
          <w:sz w:val="18"/>
          <w:szCs w:val="18"/>
        </w:rPr>
        <w:t>27,360,900</w:t>
      </w:r>
      <w:r w:rsidRPr="000C2E93">
        <w:rPr>
          <w:rFonts w:ascii="宋体" w:eastAsia="宋体" w:hAnsi="宋体" w:cs="宋体" w:hint="eastAsia"/>
          <w:sz w:val="18"/>
          <w:szCs w:val="18"/>
        </w:rPr>
        <w:t>股。过户价格为</w:t>
      </w:r>
      <w:r w:rsidRPr="000C2E93">
        <w:rPr>
          <w:rFonts w:ascii="宋体" w:eastAsia="宋体" w:hAnsi="宋体" w:cs="宋体"/>
          <w:sz w:val="18"/>
          <w:szCs w:val="18"/>
        </w:rPr>
        <w:t>2.13</w:t>
      </w:r>
      <w:r w:rsidRPr="000C2E93">
        <w:rPr>
          <w:rFonts w:ascii="宋体" w:eastAsia="宋体" w:hAnsi="宋体" w:cs="宋体" w:hint="eastAsia"/>
          <w:sz w:val="18"/>
          <w:szCs w:val="18"/>
        </w:rPr>
        <w:t>元</w:t>
      </w:r>
      <w:r w:rsidRPr="000C2E93">
        <w:rPr>
          <w:rFonts w:ascii="宋体" w:eastAsia="宋体" w:hAnsi="宋体" w:cs="宋体"/>
          <w:sz w:val="18"/>
          <w:szCs w:val="18"/>
        </w:rPr>
        <w:t>/</w:t>
      </w:r>
      <w:r w:rsidRPr="000C2E93">
        <w:rPr>
          <w:rFonts w:ascii="宋体" w:eastAsia="宋体" w:hAnsi="宋体" w:cs="宋体" w:hint="eastAsia"/>
          <w:sz w:val="18"/>
          <w:szCs w:val="18"/>
        </w:rPr>
        <w:t>股。公司全部有效的员工持股计划所持有的股票总数累计未超过公司股本总额的</w:t>
      </w:r>
      <w:r w:rsidRPr="000C2E93">
        <w:rPr>
          <w:rFonts w:ascii="宋体" w:eastAsia="宋体" w:hAnsi="宋体" w:cs="宋体"/>
          <w:sz w:val="18"/>
          <w:szCs w:val="18"/>
        </w:rPr>
        <w:t>10%</w:t>
      </w:r>
      <w:r w:rsidRPr="000C2E93">
        <w:rPr>
          <w:rFonts w:ascii="宋体" w:eastAsia="宋体" w:hAnsi="宋体" w:cs="宋体" w:hint="eastAsia"/>
          <w:sz w:val="18"/>
          <w:szCs w:val="18"/>
        </w:rPr>
        <w:t>，单个员工所获股份权益对应的股票总数累计未超过公司股本总额的</w:t>
      </w:r>
      <w:r w:rsidRPr="000C2E93">
        <w:rPr>
          <w:rFonts w:ascii="宋体" w:eastAsia="宋体" w:hAnsi="宋体" w:cs="宋体"/>
          <w:sz w:val="18"/>
          <w:szCs w:val="18"/>
        </w:rPr>
        <w:t>1%</w:t>
      </w:r>
      <w:r w:rsidRPr="000C2E93">
        <w:rPr>
          <w:rFonts w:ascii="宋体" w:eastAsia="宋体" w:hAnsi="宋体" w:cs="宋体" w:hint="eastAsia"/>
          <w:sz w:val="18"/>
          <w:szCs w:val="18"/>
        </w:rPr>
        <w:t>。</w:t>
      </w:r>
    </w:p>
    <w:p w:rsidR="008D4B2E" w:rsidRPr="000C2E93" w:rsidRDefault="008D4B2E" w:rsidP="00B87081">
      <w:pPr>
        <w:ind w:firstLineChars="200" w:firstLine="360"/>
        <w:divId w:val="525408917"/>
        <w:rPr>
          <w:rFonts w:ascii="宋体" w:eastAsia="宋体" w:hAnsi="宋体" w:cs="宋体"/>
          <w:sz w:val="18"/>
          <w:szCs w:val="18"/>
        </w:rPr>
      </w:pPr>
      <w:r w:rsidRPr="000C2E93">
        <w:rPr>
          <w:rFonts w:ascii="宋体" w:eastAsia="宋体" w:hAnsi="宋体" w:cs="宋体" w:hint="eastAsia"/>
          <w:sz w:val="18"/>
          <w:szCs w:val="18"/>
        </w:rPr>
        <w:t>④</w:t>
      </w:r>
      <w:r w:rsidRPr="000C2E93">
        <w:rPr>
          <w:rFonts w:ascii="宋体" w:eastAsia="宋体" w:hAnsi="宋体" w:cs="宋体"/>
          <w:sz w:val="18"/>
          <w:szCs w:val="18"/>
        </w:rPr>
        <w:t>2020</w:t>
      </w:r>
      <w:r w:rsidRPr="000C2E93">
        <w:rPr>
          <w:rFonts w:ascii="宋体" w:eastAsia="宋体" w:hAnsi="宋体" w:cs="宋体" w:hint="eastAsia"/>
          <w:sz w:val="18"/>
          <w:szCs w:val="18"/>
        </w:rPr>
        <w:t>年受国内外经济形势的不确定性仍将对短期经营产生影响，尤其是随着公司国际化战略的推进，出口项目订单占比超</w:t>
      </w:r>
      <w:r w:rsidRPr="000C2E93">
        <w:rPr>
          <w:rFonts w:ascii="宋体" w:eastAsia="宋体" w:hAnsi="宋体" w:cs="宋体"/>
          <w:sz w:val="18"/>
          <w:szCs w:val="18"/>
        </w:rPr>
        <w:t>50%</w:t>
      </w:r>
      <w:r w:rsidRPr="000C2E93">
        <w:rPr>
          <w:rFonts w:ascii="宋体" w:eastAsia="宋体" w:hAnsi="宋体" w:cs="宋体" w:hint="eastAsia"/>
          <w:sz w:val="18"/>
          <w:szCs w:val="18"/>
        </w:rPr>
        <w:t>，由此今年以来受物流及交付延期（尤其出口项目）影响明显，考虑到公司实际情况，</w:t>
      </w:r>
      <w:r w:rsidRPr="000C2E93">
        <w:rPr>
          <w:rFonts w:ascii="宋体" w:eastAsia="宋体" w:hAnsi="宋体" w:cs="宋体"/>
          <w:sz w:val="18"/>
          <w:szCs w:val="18"/>
        </w:rPr>
        <w:t>2020</w:t>
      </w:r>
      <w:r w:rsidRPr="000C2E93">
        <w:rPr>
          <w:rFonts w:ascii="宋体" w:eastAsia="宋体" w:hAnsi="宋体" w:cs="宋体" w:hint="eastAsia"/>
          <w:sz w:val="18"/>
          <w:szCs w:val="18"/>
        </w:rPr>
        <w:t>年</w:t>
      </w:r>
      <w:r w:rsidRPr="000C2E93">
        <w:rPr>
          <w:rFonts w:ascii="宋体" w:eastAsia="宋体" w:hAnsi="宋体" w:cs="宋体"/>
          <w:sz w:val="18"/>
          <w:szCs w:val="18"/>
        </w:rPr>
        <w:t>4</w:t>
      </w:r>
      <w:r w:rsidRPr="000C2E93">
        <w:rPr>
          <w:rFonts w:ascii="宋体" w:eastAsia="宋体" w:hAnsi="宋体" w:cs="宋体" w:hint="eastAsia"/>
          <w:sz w:val="18"/>
          <w:szCs w:val="18"/>
        </w:rPr>
        <w:t>月</w:t>
      </w:r>
      <w:r w:rsidRPr="000C2E93">
        <w:rPr>
          <w:rFonts w:ascii="宋体" w:eastAsia="宋体" w:hAnsi="宋体" w:cs="宋体"/>
          <w:sz w:val="18"/>
          <w:szCs w:val="18"/>
        </w:rPr>
        <w:t>17</w:t>
      </w:r>
      <w:r w:rsidRPr="000C2E93">
        <w:rPr>
          <w:rFonts w:ascii="宋体" w:eastAsia="宋体" w:hAnsi="宋体" w:cs="宋体" w:hint="eastAsia"/>
          <w:sz w:val="18"/>
          <w:szCs w:val="18"/>
        </w:rPr>
        <w:t>日公司发布《软控股份有限公司关于修订</w:t>
      </w:r>
      <w:r w:rsidRPr="000C2E93">
        <w:rPr>
          <w:rFonts w:ascii="宋体" w:eastAsia="宋体" w:hAnsi="宋体" w:cs="宋体"/>
          <w:sz w:val="18"/>
          <w:szCs w:val="18"/>
        </w:rPr>
        <w:t>2019</w:t>
      </w:r>
      <w:r w:rsidRPr="000C2E93">
        <w:rPr>
          <w:rFonts w:ascii="宋体" w:eastAsia="宋体" w:hAnsi="宋体" w:cs="宋体" w:hint="eastAsia"/>
          <w:sz w:val="18"/>
          <w:szCs w:val="18"/>
        </w:rPr>
        <w:t>年员工持股计划公司业绩考核指标的公告》，修改后条款如下：</w:t>
      </w:r>
    </w:p>
    <w:tbl>
      <w:tblPr>
        <w:tblW w:w="9629" w:type="dxa"/>
        <w:tblCellMar>
          <w:left w:w="0" w:type="dxa"/>
          <w:right w:w="0" w:type="dxa"/>
        </w:tblCellMar>
        <w:tblLook w:val="04A0" w:firstRow="1" w:lastRow="0" w:firstColumn="1" w:lastColumn="0" w:noHBand="0" w:noVBand="1"/>
      </w:tblPr>
      <w:tblGrid>
        <w:gridCol w:w="2040"/>
        <w:gridCol w:w="7589"/>
      </w:tblGrid>
      <w:tr w:rsidR="008D4B2E" w:rsidTr="00B87081">
        <w:trPr>
          <w:divId w:val="525408917"/>
          <w:trHeight w:val="398"/>
        </w:trPr>
        <w:tc>
          <w:tcPr>
            <w:tcW w:w="2040" w:type="dxa"/>
            <w:tcBorders>
              <w:top w:val="single" w:sz="8" w:space="0" w:color="auto"/>
              <w:left w:val="single" w:sz="8" w:space="0" w:color="auto"/>
              <w:bottom w:val="single" w:sz="8" w:space="0" w:color="auto"/>
              <w:right w:val="single" w:sz="8" w:space="0" w:color="auto"/>
            </w:tcBorders>
            <w:shd w:val="clear" w:color="auto" w:fill="D3D3D3"/>
            <w:vAlign w:val="center"/>
            <w:hideMark/>
          </w:tcPr>
          <w:p w:rsidR="008D4B2E" w:rsidRPr="0010486D" w:rsidRDefault="008D4B2E" w:rsidP="0010486D">
            <w:pPr>
              <w:spacing w:line="240" w:lineRule="exact"/>
              <w:jc w:val="center"/>
              <w:rPr>
                <w:rFonts w:ascii="宋体" w:eastAsia="宋体" w:hAnsi="宋体" w:cs="宋体"/>
                <w:sz w:val="18"/>
                <w:szCs w:val="18"/>
              </w:rPr>
            </w:pPr>
            <w:r w:rsidRPr="0010486D">
              <w:rPr>
                <w:rFonts w:ascii="宋体" w:eastAsia="宋体" w:hAnsi="宋体" w:cs="宋体" w:hint="eastAsia"/>
                <w:sz w:val="18"/>
                <w:szCs w:val="18"/>
              </w:rPr>
              <w:t>解锁期</w:t>
            </w:r>
          </w:p>
        </w:tc>
        <w:tc>
          <w:tcPr>
            <w:tcW w:w="7589" w:type="dxa"/>
            <w:tcBorders>
              <w:top w:val="single" w:sz="8" w:space="0" w:color="auto"/>
              <w:left w:val="nil"/>
              <w:bottom w:val="single" w:sz="8" w:space="0" w:color="auto"/>
              <w:right w:val="single" w:sz="8" w:space="0" w:color="auto"/>
            </w:tcBorders>
            <w:shd w:val="clear" w:color="auto" w:fill="D3D3D3"/>
            <w:vAlign w:val="center"/>
            <w:hideMark/>
          </w:tcPr>
          <w:p w:rsidR="008D4B2E" w:rsidRPr="0010486D" w:rsidRDefault="008D4B2E" w:rsidP="0010486D">
            <w:pPr>
              <w:spacing w:line="240" w:lineRule="exact"/>
              <w:jc w:val="center"/>
              <w:rPr>
                <w:rFonts w:ascii="宋体" w:eastAsia="宋体" w:hAnsi="宋体" w:cs="宋体"/>
                <w:sz w:val="18"/>
                <w:szCs w:val="18"/>
              </w:rPr>
            </w:pPr>
            <w:r w:rsidRPr="0010486D">
              <w:rPr>
                <w:rFonts w:ascii="宋体" w:eastAsia="宋体" w:hAnsi="宋体" w:cs="宋体" w:hint="eastAsia"/>
                <w:sz w:val="18"/>
                <w:szCs w:val="18"/>
              </w:rPr>
              <w:t>业绩考核目标</w:t>
            </w:r>
          </w:p>
        </w:tc>
      </w:tr>
      <w:tr w:rsidR="008D4B2E" w:rsidTr="00B87081">
        <w:trPr>
          <w:divId w:val="525408917"/>
          <w:trHeight w:val="546"/>
        </w:trPr>
        <w:tc>
          <w:tcPr>
            <w:tcW w:w="2040" w:type="dxa"/>
            <w:tcBorders>
              <w:top w:val="nil"/>
              <w:left w:val="single" w:sz="8" w:space="0" w:color="auto"/>
              <w:bottom w:val="single" w:sz="8" w:space="0" w:color="auto"/>
              <w:right w:val="single" w:sz="8" w:space="0" w:color="auto"/>
            </w:tcBorders>
            <w:vAlign w:val="center"/>
            <w:hideMark/>
          </w:tcPr>
          <w:p w:rsidR="008D4B2E" w:rsidRPr="000C2E93" w:rsidRDefault="008D4B2E" w:rsidP="00362F1D">
            <w:pPr>
              <w:spacing w:line="240" w:lineRule="exact"/>
              <w:rPr>
                <w:rFonts w:ascii="宋体" w:eastAsia="宋体" w:hAnsi="宋体" w:cs="宋体"/>
                <w:sz w:val="18"/>
                <w:szCs w:val="18"/>
              </w:rPr>
            </w:pPr>
            <w:r w:rsidRPr="000C2E93">
              <w:rPr>
                <w:rFonts w:ascii="宋体" w:eastAsia="宋体" w:hAnsi="宋体" w:cs="宋体" w:hint="eastAsia"/>
                <w:sz w:val="18"/>
                <w:szCs w:val="18"/>
              </w:rPr>
              <w:t>第一个解锁期</w:t>
            </w:r>
          </w:p>
        </w:tc>
        <w:tc>
          <w:tcPr>
            <w:tcW w:w="7589" w:type="dxa"/>
            <w:tcBorders>
              <w:top w:val="nil"/>
              <w:left w:val="nil"/>
              <w:bottom w:val="single" w:sz="8" w:space="0" w:color="auto"/>
              <w:right w:val="single" w:sz="8" w:space="0" w:color="auto"/>
            </w:tcBorders>
            <w:vAlign w:val="center"/>
            <w:hideMark/>
          </w:tcPr>
          <w:p w:rsidR="008D4B2E" w:rsidRPr="000C2E93" w:rsidRDefault="008D4B2E" w:rsidP="0010486D">
            <w:pPr>
              <w:spacing w:line="240" w:lineRule="exact"/>
              <w:rPr>
                <w:rFonts w:ascii="宋体" w:eastAsia="宋体" w:hAnsi="宋体" w:cs="宋体"/>
                <w:sz w:val="18"/>
                <w:szCs w:val="18"/>
              </w:rPr>
            </w:pPr>
            <w:r w:rsidRPr="000C2E93">
              <w:rPr>
                <w:rFonts w:ascii="宋体" w:eastAsia="宋体" w:hAnsi="宋体" w:cs="宋体" w:hint="eastAsia"/>
                <w:sz w:val="18"/>
                <w:szCs w:val="18"/>
              </w:rPr>
              <w:t>公司需满足下列两个条件之一：①</w:t>
            </w:r>
            <w:r w:rsidRPr="000C2E93">
              <w:rPr>
                <w:rFonts w:ascii="宋体" w:eastAsia="宋体" w:hAnsi="宋体" w:cs="宋体"/>
                <w:sz w:val="18"/>
                <w:szCs w:val="18"/>
              </w:rPr>
              <w:t>2019</w:t>
            </w:r>
            <w:r w:rsidRPr="000C2E93">
              <w:rPr>
                <w:rFonts w:ascii="宋体" w:eastAsia="宋体" w:hAnsi="宋体" w:cs="宋体" w:hint="eastAsia"/>
                <w:sz w:val="18"/>
                <w:szCs w:val="18"/>
              </w:rPr>
              <w:t>年营业收入不低于</w:t>
            </w:r>
            <w:r w:rsidRPr="000C2E93">
              <w:rPr>
                <w:rFonts w:ascii="宋体" w:eastAsia="宋体" w:hAnsi="宋体" w:cs="宋体"/>
                <w:sz w:val="18"/>
                <w:szCs w:val="18"/>
              </w:rPr>
              <w:t>270,000</w:t>
            </w:r>
            <w:r w:rsidRPr="000C2E93">
              <w:rPr>
                <w:rFonts w:ascii="宋体" w:eastAsia="宋体" w:hAnsi="宋体" w:cs="宋体" w:hint="eastAsia"/>
                <w:sz w:val="18"/>
                <w:szCs w:val="18"/>
              </w:rPr>
              <w:t>万元；或②</w:t>
            </w:r>
            <w:r w:rsidRPr="000C2E93">
              <w:rPr>
                <w:rFonts w:ascii="宋体" w:eastAsia="宋体" w:hAnsi="宋体" w:cs="宋体"/>
                <w:sz w:val="18"/>
                <w:szCs w:val="18"/>
              </w:rPr>
              <w:t>2019</w:t>
            </w:r>
            <w:r w:rsidRPr="000C2E93">
              <w:rPr>
                <w:rFonts w:ascii="宋体" w:eastAsia="宋体" w:hAnsi="宋体" w:cs="宋体" w:hint="eastAsia"/>
                <w:sz w:val="18"/>
                <w:szCs w:val="18"/>
              </w:rPr>
              <w:t>年净利润不低于</w:t>
            </w:r>
            <w:r w:rsidRPr="000C2E93">
              <w:rPr>
                <w:rFonts w:ascii="宋体" w:eastAsia="宋体" w:hAnsi="宋体" w:cs="宋体"/>
                <w:sz w:val="18"/>
                <w:szCs w:val="18"/>
              </w:rPr>
              <w:t>8,000</w:t>
            </w:r>
            <w:r w:rsidRPr="000C2E93">
              <w:rPr>
                <w:rFonts w:ascii="宋体" w:eastAsia="宋体" w:hAnsi="宋体" w:cs="宋体" w:hint="eastAsia"/>
                <w:sz w:val="18"/>
                <w:szCs w:val="18"/>
              </w:rPr>
              <w:t>万元</w:t>
            </w:r>
          </w:p>
        </w:tc>
      </w:tr>
      <w:tr w:rsidR="008D4B2E" w:rsidTr="00B87081">
        <w:trPr>
          <w:divId w:val="525408917"/>
          <w:trHeight w:val="540"/>
        </w:trPr>
        <w:tc>
          <w:tcPr>
            <w:tcW w:w="2040" w:type="dxa"/>
            <w:tcBorders>
              <w:top w:val="nil"/>
              <w:left w:val="single" w:sz="8" w:space="0" w:color="auto"/>
              <w:bottom w:val="single" w:sz="8" w:space="0" w:color="auto"/>
              <w:right w:val="single" w:sz="8" w:space="0" w:color="auto"/>
            </w:tcBorders>
            <w:vAlign w:val="center"/>
            <w:hideMark/>
          </w:tcPr>
          <w:p w:rsidR="008D4B2E" w:rsidRPr="000C2E93" w:rsidRDefault="008D4B2E" w:rsidP="00362F1D">
            <w:pPr>
              <w:spacing w:line="240" w:lineRule="exact"/>
              <w:rPr>
                <w:rFonts w:ascii="宋体" w:eastAsia="宋体" w:hAnsi="宋体" w:cs="宋体"/>
                <w:sz w:val="18"/>
                <w:szCs w:val="18"/>
              </w:rPr>
            </w:pPr>
            <w:r w:rsidRPr="000C2E93">
              <w:rPr>
                <w:rFonts w:ascii="宋体" w:eastAsia="宋体" w:hAnsi="宋体" w:cs="宋体" w:hint="eastAsia"/>
                <w:sz w:val="18"/>
                <w:szCs w:val="18"/>
              </w:rPr>
              <w:t>第二个解锁期</w:t>
            </w:r>
          </w:p>
        </w:tc>
        <w:tc>
          <w:tcPr>
            <w:tcW w:w="7589" w:type="dxa"/>
            <w:tcBorders>
              <w:top w:val="nil"/>
              <w:left w:val="nil"/>
              <w:bottom w:val="single" w:sz="8" w:space="0" w:color="auto"/>
              <w:right w:val="single" w:sz="8" w:space="0" w:color="auto"/>
            </w:tcBorders>
            <w:vAlign w:val="center"/>
            <w:hideMark/>
          </w:tcPr>
          <w:p w:rsidR="008D4B2E" w:rsidRPr="000C2E93" w:rsidRDefault="008D4B2E" w:rsidP="0010486D">
            <w:pPr>
              <w:spacing w:line="240" w:lineRule="exact"/>
              <w:rPr>
                <w:rFonts w:ascii="宋体" w:eastAsia="宋体" w:hAnsi="宋体" w:cs="宋体"/>
                <w:sz w:val="18"/>
                <w:szCs w:val="18"/>
              </w:rPr>
            </w:pPr>
            <w:r w:rsidRPr="000C2E93">
              <w:rPr>
                <w:rFonts w:ascii="宋体" w:eastAsia="宋体" w:hAnsi="宋体" w:cs="宋体" w:hint="eastAsia"/>
                <w:sz w:val="18"/>
                <w:szCs w:val="18"/>
              </w:rPr>
              <w:t>公司需满足下列两个条件之一：①</w:t>
            </w:r>
            <w:r w:rsidRPr="000C2E93">
              <w:rPr>
                <w:rFonts w:ascii="宋体" w:eastAsia="宋体" w:hAnsi="宋体" w:cs="宋体"/>
                <w:sz w:val="18"/>
                <w:szCs w:val="18"/>
              </w:rPr>
              <w:t>2020</w:t>
            </w:r>
            <w:r w:rsidRPr="000C2E93">
              <w:rPr>
                <w:rFonts w:ascii="宋体" w:eastAsia="宋体" w:hAnsi="宋体" w:cs="宋体" w:hint="eastAsia"/>
                <w:sz w:val="18"/>
                <w:szCs w:val="18"/>
              </w:rPr>
              <w:t>年营业收入不低于</w:t>
            </w:r>
            <w:r w:rsidRPr="000C2E93">
              <w:rPr>
                <w:rFonts w:ascii="宋体" w:eastAsia="宋体" w:hAnsi="宋体" w:cs="宋体"/>
                <w:sz w:val="18"/>
                <w:szCs w:val="18"/>
              </w:rPr>
              <w:t>200,000</w:t>
            </w:r>
            <w:r w:rsidRPr="000C2E93">
              <w:rPr>
                <w:rFonts w:ascii="宋体" w:eastAsia="宋体" w:hAnsi="宋体" w:cs="宋体" w:hint="eastAsia"/>
                <w:sz w:val="18"/>
                <w:szCs w:val="18"/>
              </w:rPr>
              <w:t>万元；或②</w:t>
            </w:r>
            <w:r w:rsidRPr="000C2E93">
              <w:rPr>
                <w:rFonts w:ascii="宋体" w:eastAsia="宋体" w:hAnsi="宋体" w:cs="宋体"/>
                <w:sz w:val="18"/>
                <w:szCs w:val="18"/>
              </w:rPr>
              <w:t>2020</w:t>
            </w:r>
            <w:r w:rsidRPr="000C2E93">
              <w:rPr>
                <w:rFonts w:ascii="宋体" w:eastAsia="宋体" w:hAnsi="宋体" w:cs="宋体" w:hint="eastAsia"/>
                <w:sz w:val="18"/>
                <w:szCs w:val="18"/>
              </w:rPr>
              <w:t>年净利润不低于</w:t>
            </w:r>
            <w:r w:rsidRPr="000C2E93">
              <w:rPr>
                <w:rFonts w:ascii="宋体" w:eastAsia="宋体" w:hAnsi="宋体" w:cs="宋体"/>
                <w:sz w:val="18"/>
                <w:szCs w:val="18"/>
              </w:rPr>
              <w:t>5,000</w:t>
            </w:r>
            <w:r w:rsidRPr="000C2E93">
              <w:rPr>
                <w:rFonts w:ascii="宋体" w:eastAsia="宋体" w:hAnsi="宋体" w:cs="宋体" w:hint="eastAsia"/>
                <w:sz w:val="18"/>
                <w:szCs w:val="18"/>
              </w:rPr>
              <w:t>万元</w:t>
            </w:r>
          </w:p>
        </w:tc>
      </w:tr>
      <w:tr w:rsidR="008D4B2E" w:rsidTr="00B87081">
        <w:trPr>
          <w:divId w:val="525408917"/>
          <w:trHeight w:val="548"/>
        </w:trPr>
        <w:tc>
          <w:tcPr>
            <w:tcW w:w="2040" w:type="dxa"/>
            <w:tcBorders>
              <w:top w:val="nil"/>
              <w:left w:val="single" w:sz="8" w:space="0" w:color="auto"/>
              <w:bottom w:val="single" w:sz="8" w:space="0" w:color="auto"/>
              <w:right w:val="single" w:sz="8" w:space="0" w:color="auto"/>
            </w:tcBorders>
            <w:vAlign w:val="center"/>
            <w:hideMark/>
          </w:tcPr>
          <w:p w:rsidR="008D4B2E" w:rsidRPr="000C2E93" w:rsidRDefault="008D4B2E" w:rsidP="00362F1D">
            <w:pPr>
              <w:spacing w:line="240" w:lineRule="exact"/>
              <w:rPr>
                <w:rFonts w:ascii="宋体" w:eastAsia="宋体" w:hAnsi="宋体" w:cs="宋体"/>
                <w:sz w:val="18"/>
                <w:szCs w:val="18"/>
              </w:rPr>
            </w:pPr>
            <w:r w:rsidRPr="000C2E93">
              <w:rPr>
                <w:rFonts w:ascii="宋体" w:eastAsia="宋体" w:hAnsi="宋体" w:cs="宋体" w:hint="eastAsia"/>
                <w:sz w:val="18"/>
                <w:szCs w:val="18"/>
              </w:rPr>
              <w:t>第三个解锁期</w:t>
            </w:r>
          </w:p>
        </w:tc>
        <w:tc>
          <w:tcPr>
            <w:tcW w:w="7589" w:type="dxa"/>
            <w:tcBorders>
              <w:top w:val="nil"/>
              <w:left w:val="nil"/>
              <w:bottom w:val="single" w:sz="8" w:space="0" w:color="auto"/>
              <w:right w:val="single" w:sz="8" w:space="0" w:color="auto"/>
            </w:tcBorders>
            <w:vAlign w:val="center"/>
            <w:hideMark/>
          </w:tcPr>
          <w:p w:rsidR="008D4B2E" w:rsidRPr="000C2E93" w:rsidRDefault="008D4B2E" w:rsidP="0010486D">
            <w:pPr>
              <w:spacing w:line="240" w:lineRule="exact"/>
              <w:rPr>
                <w:rFonts w:ascii="宋体" w:eastAsia="宋体" w:hAnsi="宋体" w:cs="宋体"/>
                <w:sz w:val="18"/>
                <w:szCs w:val="18"/>
              </w:rPr>
            </w:pPr>
            <w:r w:rsidRPr="000C2E93">
              <w:rPr>
                <w:rFonts w:ascii="宋体" w:eastAsia="宋体" w:hAnsi="宋体" w:cs="宋体" w:hint="eastAsia"/>
                <w:sz w:val="18"/>
                <w:szCs w:val="18"/>
              </w:rPr>
              <w:t>公司需满足下列两个条件之一：①</w:t>
            </w:r>
            <w:r w:rsidRPr="000C2E93">
              <w:rPr>
                <w:rFonts w:ascii="宋体" w:eastAsia="宋体" w:hAnsi="宋体" w:cs="宋体"/>
                <w:sz w:val="18"/>
                <w:szCs w:val="18"/>
              </w:rPr>
              <w:t>2021</w:t>
            </w:r>
            <w:r w:rsidRPr="000C2E93">
              <w:rPr>
                <w:rFonts w:ascii="宋体" w:eastAsia="宋体" w:hAnsi="宋体" w:cs="宋体" w:hint="eastAsia"/>
                <w:sz w:val="18"/>
                <w:szCs w:val="18"/>
              </w:rPr>
              <w:t>年营业收入不低于</w:t>
            </w:r>
            <w:r w:rsidRPr="000C2E93">
              <w:rPr>
                <w:rFonts w:ascii="宋体" w:eastAsia="宋体" w:hAnsi="宋体" w:cs="宋体"/>
                <w:sz w:val="18"/>
                <w:szCs w:val="18"/>
              </w:rPr>
              <w:t>300,000</w:t>
            </w:r>
            <w:r w:rsidRPr="000C2E93">
              <w:rPr>
                <w:rFonts w:ascii="宋体" w:eastAsia="宋体" w:hAnsi="宋体" w:cs="宋体" w:hint="eastAsia"/>
                <w:sz w:val="18"/>
                <w:szCs w:val="18"/>
              </w:rPr>
              <w:t>万元；或②</w:t>
            </w:r>
            <w:r w:rsidRPr="000C2E93">
              <w:rPr>
                <w:rFonts w:ascii="宋体" w:eastAsia="宋体" w:hAnsi="宋体" w:cs="宋体"/>
                <w:sz w:val="18"/>
                <w:szCs w:val="18"/>
              </w:rPr>
              <w:t>2021</w:t>
            </w:r>
            <w:r w:rsidRPr="000C2E93">
              <w:rPr>
                <w:rFonts w:ascii="宋体" w:eastAsia="宋体" w:hAnsi="宋体" w:cs="宋体" w:hint="eastAsia"/>
                <w:sz w:val="18"/>
                <w:szCs w:val="18"/>
              </w:rPr>
              <w:t>年净利润不低于</w:t>
            </w:r>
            <w:r w:rsidRPr="000C2E93">
              <w:rPr>
                <w:rFonts w:ascii="宋体" w:eastAsia="宋体" w:hAnsi="宋体" w:cs="宋体"/>
                <w:sz w:val="18"/>
                <w:szCs w:val="18"/>
              </w:rPr>
              <w:t>1</w:t>
            </w:r>
            <w:r w:rsidRPr="000C2E93">
              <w:rPr>
                <w:rFonts w:ascii="宋体" w:eastAsia="宋体" w:hAnsi="宋体" w:cs="宋体" w:hint="eastAsia"/>
                <w:sz w:val="18"/>
                <w:szCs w:val="18"/>
              </w:rPr>
              <w:t>亿元</w:t>
            </w:r>
          </w:p>
        </w:tc>
      </w:tr>
    </w:tbl>
    <w:p w:rsidR="008D4B2E" w:rsidRPr="000C2E93" w:rsidRDefault="008D4B2E" w:rsidP="00B87081">
      <w:pPr>
        <w:divId w:val="525408917"/>
        <w:rPr>
          <w:rFonts w:ascii="宋体" w:eastAsia="宋体" w:hAnsi="宋体" w:cs="宋体"/>
          <w:sz w:val="18"/>
          <w:szCs w:val="18"/>
        </w:rPr>
      </w:pPr>
      <w:r w:rsidRPr="000C2E93">
        <w:rPr>
          <w:rFonts w:ascii="宋体" w:eastAsia="宋体" w:hAnsi="宋体" w:cs="宋体" w:hint="eastAsia"/>
          <w:sz w:val="18"/>
          <w:szCs w:val="18"/>
        </w:rPr>
        <w:t>注：上述</w:t>
      </w:r>
      <w:r w:rsidRPr="000C2E93">
        <w:rPr>
          <w:rFonts w:ascii="宋体" w:eastAsia="宋体" w:hAnsi="宋体" w:cs="宋体"/>
          <w:sz w:val="18"/>
          <w:szCs w:val="18"/>
        </w:rPr>
        <w:t>“</w:t>
      </w:r>
      <w:r w:rsidRPr="000C2E93">
        <w:rPr>
          <w:rFonts w:ascii="宋体" w:eastAsia="宋体" w:hAnsi="宋体" w:cs="宋体" w:hint="eastAsia"/>
          <w:sz w:val="18"/>
          <w:szCs w:val="18"/>
        </w:rPr>
        <w:t>营业收入</w:t>
      </w:r>
      <w:r w:rsidRPr="000C2E93">
        <w:rPr>
          <w:rFonts w:ascii="宋体" w:eastAsia="宋体" w:hAnsi="宋体" w:cs="宋体"/>
          <w:sz w:val="18"/>
          <w:szCs w:val="18"/>
        </w:rPr>
        <w:t>”</w:t>
      </w:r>
      <w:r w:rsidRPr="000C2E93">
        <w:rPr>
          <w:rFonts w:ascii="宋体" w:eastAsia="宋体" w:hAnsi="宋体" w:cs="宋体" w:hint="eastAsia"/>
          <w:sz w:val="18"/>
          <w:szCs w:val="18"/>
        </w:rPr>
        <w:t>和</w:t>
      </w:r>
      <w:r w:rsidRPr="000C2E93">
        <w:rPr>
          <w:rFonts w:ascii="宋体" w:eastAsia="宋体" w:hAnsi="宋体" w:cs="宋体"/>
          <w:sz w:val="18"/>
          <w:szCs w:val="18"/>
        </w:rPr>
        <w:t>“</w:t>
      </w:r>
      <w:r w:rsidRPr="000C2E93">
        <w:rPr>
          <w:rFonts w:ascii="宋体" w:eastAsia="宋体" w:hAnsi="宋体" w:cs="宋体" w:hint="eastAsia"/>
          <w:sz w:val="18"/>
          <w:szCs w:val="18"/>
        </w:rPr>
        <w:t>净利润</w:t>
      </w:r>
      <w:r w:rsidRPr="000C2E93">
        <w:rPr>
          <w:rFonts w:ascii="宋体" w:eastAsia="宋体" w:hAnsi="宋体" w:cs="宋体"/>
          <w:sz w:val="18"/>
          <w:szCs w:val="18"/>
        </w:rPr>
        <w:t>”</w:t>
      </w:r>
      <w:r w:rsidRPr="000C2E93">
        <w:rPr>
          <w:rFonts w:ascii="宋体" w:eastAsia="宋体" w:hAnsi="宋体" w:cs="宋体" w:hint="eastAsia"/>
          <w:sz w:val="18"/>
          <w:szCs w:val="18"/>
        </w:rPr>
        <w:t>以经审计的金额为准，</w:t>
      </w:r>
      <w:r w:rsidRPr="000C2E93">
        <w:rPr>
          <w:rFonts w:ascii="宋体" w:eastAsia="宋体" w:hAnsi="宋体" w:cs="宋体"/>
          <w:sz w:val="18"/>
          <w:szCs w:val="18"/>
        </w:rPr>
        <w:t>“</w:t>
      </w:r>
      <w:r w:rsidRPr="000C2E93">
        <w:rPr>
          <w:rFonts w:ascii="宋体" w:eastAsia="宋体" w:hAnsi="宋体" w:cs="宋体" w:hint="eastAsia"/>
          <w:sz w:val="18"/>
          <w:szCs w:val="18"/>
        </w:rPr>
        <w:t>营业收入</w:t>
      </w:r>
      <w:r w:rsidRPr="000C2E93">
        <w:rPr>
          <w:rFonts w:ascii="宋体" w:eastAsia="宋体" w:hAnsi="宋体" w:cs="宋体"/>
          <w:sz w:val="18"/>
          <w:szCs w:val="18"/>
        </w:rPr>
        <w:t>”</w:t>
      </w:r>
      <w:r w:rsidRPr="000C2E93">
        <w:rPr>
          <w:rFonts w:ascii="宋体" w:eastAsia="宋体" w:hAnsi="宋体" w:cs="宋体" w:hint="eastAsia"/>
          <w:sz w:val="18"/>
          <w:szCs w:val="18"/>
        </w:rPr>
        <w:t>指公司合并财务报表营业总收入，</w:t>
      </w:r>
      <w:r w:rsidRPr="000C2E93">
        <w:rPr>
          <w:rFonts w:ascii="宋体" w:eastAsia="宋体" w:hAnsi="宋体" w:cs="宋体"/>
          <w:sz w:val="18"/>
          <w:szCs w:val="18"/>
        </w:rPr>
        <w:t>“</w:t>
      </w:r>
      <w:r w:rsidRPr="000C2E93">
        <w:rPr>
          <w:rFonts w:ascii="宋体" w:eastAsia="宋体" w:hAnsi="宋体" w:cs="宋体" w:hint="eastAsia"/>
          <w:sz w:val="18"/>
          <w:szCs w:val="18"/>
        </w:rPr>
        <w:t>净利润</w:t>
      </w:r>
      <w:r w:rsidRPr="000C2E93">
        <w:rPr>
          <w:rFonts w:ascii="宋体" w:eastAsia="宋体" w:hAnsi="宋体" w:cs="宋体"/>
          <w:sz w:val="18"/>
          <w:szCs w:val="18"/>
        </w:rPr>
        <w:t>”</w:t>
      </w:r>
      <w:r w:rsidRPr="000C2E93">
        <w:rPr>
          <w:rFonts w:ascii="宋体" w:eastAsia="宋体" w:hAnsi="宋体" w:cs="宋体" w:hint="eastAsia"/>
          <w:sz w:val="18"/>
          <w:szCs w:val="18"/>
        </w:rPr>
        <w:t>指公司合并财务报表归属于上市股东的净利润，且</w:t>
      </w:r>
      <w:proofErr w:type="gramStart"/>
      <w:r w:rsidRPr="000C2E93">
        <w:rPr>
          <w:rFonts w:ascii="宋体" w:eastAsia="宋体" w:hAnsi="宋体" w:cs="宋体" w:hint="eastAsia"/>
          <w:sz w:val="18"/>
          <w:szCs w:val="18"/>
        </w:rPr>
        <w:t>剔除因</w:t>
      </w:r>
      <w:proofErr w:type="gramEnd"/>
      <w:r w:rsidRPr="000C2E93">
        <w:rPr>
          <w:rFonts w:ascii="宋体" w:eastAsia="宋体" w:hAnsi="宋体" w:cs="宋体" w:hint="eastAsia"/>
          <w:sz w:val="18"/>
          <w:szCs w:val="18"/>
        </w:rPr>
        <w:t>本公司实施股权激励和员工持股计划所确认的股份支付费用对公司损益的影响数。</w:t>
      </w:r>
    </w:p>
    <w:p w:rsidR="008D4B2E" w:rsidRDefault="008D4B2E">
      <w:pPr>
        <w:pStyle w:val="a3"/>
        <w:spacing w:before="0" w:beforeAutospacing="0" w:after="0" w:afterAutospacing="0" w:line="400" w:lineRule="atLeast"/>
        <w:ind w:left="482"/>
        <w:jc w:val="both"/>
        <w:divId w:val="525408917"/>
        <w:rPr>
          <w:rFonts w:ascii="Arial" w:hAnsi="Arial" w:cs="Arial"/>
          <w:sz w:val="20"/>
          <w:szCs w:val="20"/>
        </w:rPr>
      </w:pPr>
      <w:r>
        <w:rPr>
          <w:rStyle w:val="a4"/>
          <w:rFonts w:cs="Arial" w:hint="eastAsia"/>
          <w:sz w:val="20"/>
          <w:szCs w:val="20"/>
        </w:rPr>
        <w:t>（</w:t>
      </w:r>
      <w:r>
        <w:rPr>
          <w:rStyle w:val="a4"/>
          <w:rFonts w:ascii="Arial" w:hAnsi="Arial" w:cs="Arial"/>
          <w:sz w:val="20"/>
          <w:szCs w:val="20"/>
        </w:rPr>
        <w:t>2</w:t>
      </w:r>
      <w:r>
        <w:rPr>
          <w:rStyle w:val="a4"/>
          <w:rFonts w:cs="Arial" w:hint="eastAsia"/>
          <w:sz w:val="20"/>
          <w:szCs w:val="20"/>
        </w:rPr>
        <w:t>）</w:t>
      </w:r>
      <w:r>
        <w:rPr>
          <w:rStyle w:val="a4"/>
          <w:rFonts w:ascii="Arial" w:hAnsi="Arial" w:cs="Arial"/>
          <w:sz w:val="20"/>
          <w:szCs w:val="20"/>
        </w:rPr>
        <w:t>2021</w:t>
      </w:r>
      <w:r>
        <w:rPr>
          <w:rStyle w:val="a4"/>
          <w:rFonts w:cs="Arial" w:hint="eastAsia"/>
          <w:sz w:val="20"/>
          <w:szCs w:val="20"/>
        </w:rPr>
        <w:t>年期</w:t>
      </w:r>
    </w:p>
    <w:tbl>
      <w:tblPr>
        <w:tblW w:w="9629" w:type="dxa"/>
        <w:tblCellMar>
          <w:left w:w="0" w:type="dxa"/>
          <w:right w:w="0" w:type="dxa"/>
        </w:tblCellMar>
        <w:tblLook w:val="04A0" w:firstRow="1" w:lastRow="0" w:firstColumn="1" w:lastColumn="0" w:noHBand="0" w:noVBand="1"/>
      </w:tblPr>
      <w:tblGrid>
        <w:gridCol w:w="4077"/>
        <w:gridCol w:w="5552"/>
      </w:tblGrid>
      <w:tr w:rsidR="008D4B2E" w:rsidTr="00B87081">
        <w:trPr>
          <w:divId w:val="525408917"/>
          <w:trHeight w:val="380"/>
          <w:tblHeader/>
        </w:trPr>
        <w:tc>
          <w:tcPr>
            <w:tcW w:w="4077"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8D4B2E" w:rsidRPr="000C2E93" w:rsidRDefault="008D4B2E" w:rsidP="0010486D">
            <w:pPr>
              <w:spacing w:line="240" w:lineRule="exact"/>
              <w:jc w:val="center"/>
              <w:rPr>
                <w:rFonts w:ascii="宋体" w:eastAsia="宋体" w:hAnsi="宋体" w:cs="宋体"/>
                <w:sz w:val="18"/>
                <w:szCs w:val="18"/>
              </w:rPr>
            </w:pPr>
            <w:r w:rsidRPr="000C2E93">
              <w:rPr>
                <w:rFonts w:ascii="宋体" w:eastAsia="宋体" w:hAnsi="宋体" w:cs="宋体" w:hint="eastAsia"/>
                <w:sz w:val="18"/>
                <w:szCs w:val="18"/>
              </w:rPr>
              <w:t>项目</w:t>
            </w:r>
          </w:p>
        </w:tc>
        <w:tc>
          <w:tcPr>
            <w:tcW w:w="5552" w:type="dxa"/>
            <w:tcBorders>
              <w:top w:val="single" w:sz="8" w:space="0" w:color="auto"/>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rsidR="008D4B2E" w:rsidRPr="000C2E93" w:rsidRDefault="008D4B2E" w:rsidP="0010486D">
            <w:pPr>
              <w:spacing w:line="240" w:lineRule="exact"/>
              <w:jc w:val="center"/>
              <w:rPr>
                <w:rFonts w:ascii="宋体" w:eastAsia="宋体" w:hAnsi="宋体" w:cs="宋体"/>
                <w:sz w:val="18"/>
                <w:szCs w:val="18"/>
              </w:rPr>
            </w:pPr>
            <w:r w:rsidRPr="000C2E93">
              <w:rPr>
                <w:rFonts w:ascii="宋体" w:eastAsia="宋体" w:hAnsi="宋体" w:cs="宋体" w:hint="eastAsia"/>
                <w:sz w:val="18"/>
                <w:szCs w:val="18"/>
              </w:rPr>
              <w:t>相关内容</w:t>
            </w:r>
          </w:p>
        </w:tc>
      </w:tr>
      <w:tr w:rsidR="008D4B2E" w:rsidTr="00B87081">
        <w:trPr>
          <w:divId w:val="525408917"/>
          <w:trHeight w:val="360"/>
        </w:trPr>
        <w:tc>
          <w:tcPr>
            <w:tcW w:w="40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4B2E" w:rsidRPr="000C2E93" w:rsidRDefault="008D4B2E" w:rsidP="000C2E93">
            <w:pPr>
              <w:spacing w:line="240" w:lineRule="exact"/>
              <w:rPr>
                <w:rFonts w:ascii="宋体" w:eastAsia="宋体" w:hAnsi="宋体" w:cs="宋体"/>
                <w:sz w:val="18"/>
                <w:szCs w:val="18"/>
              </w:rPr>
            </w:pPr>
            <w:r w:rsidRPr="000C2E93">
              <w:rPr>
                <w:rFonts w:ascii="宋体" w:eastAsia="宋体" w:hAnsi="宋体" w:cs="宋体" w:hint="eastAsia"/>
                <w:sz w:val="18"/>
                <w:szCs w:val="18"/>
              </w:rPr>
              <w:t>公司本期授予的各项权益工具总额</w:t>
            </w:r>
          </w:p>
        </w:tc>
        <w:tc>
          <w:tcPr>
            <w:tcW w:w="5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0C2E93" w:rsidRDefault="008D4B2E" w:rsidP="000C2E93">
            <w:pPr>
              <w:spacing w:line="240" w:lineRule="exact"/>
              <w:rPr>
                <w:rFonts w:ascii="宋体" w:eastAsia="宋体" w:hAnsi="宋体" w:cs="宋体"/>
                <w:sz w:val="18"/>
                <w:szCs w:val="18"/>
              </w:rPr>
            </w:pPr>
            <w:r w:rsidRPr="000C2E93">
              <w:rPr>
                <w:rFonts w:ascii="宋体" w:eastAsia="宋体" w:hAnsi="宋体" w:cs="宋体"/>
                <w:sz w:val="18"/>
                <w:szCs w:val="18"/>
              </w:rPr>
              <w:t> </w:t>
            </w:r>
          </w:p>
        </w:tc>
      </w:tr>
      <w:tr w:rsidR="008D4B2E" w:rsidTr="00B87081">
        <w:trPr>
          <w:divId w:val="525408917"/>
          <w:trHeight w:val="360"/>
        </w:trPr>
        <w:tc>
          <w:tcPr>
            <w:tcW w:w="40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4B2E" w:rsidRPr="000C2E93" w:rsidRDefault="008D4B2E" w:rsidP="000C2E93">
            <w:pPr>
              <w:spacing w:line="240" w:lineRule="exact"/>
              <w:rPr>
                <w:rFonts w:ascii="宋体" w:eastAsia="宋体" w:hAnsi="宋体" w:cs="宋体"/>
                <w:sz w:val="18"/>
                <w:szCs w:val="18"/>
              </w:rPr>
            </w:pPr>
            <w:r w:rsidRPr="000C2E93">
              <w:rPr>
                <w:rFonts w:ascii="宋体" w:eastAsia="宋体" w:hAnsi="宋体" w:cs="宋体" w:hint="eastAsia"/>
                <w:sz w:val="18"/>
                <w:szCs w:val="18"/>
              </w:rPr>
              <w:t>公司本期行权的各项权益工具总额</w:t>
            </w:r>
            <w:r w:rsidR="0010486D">
              <w:rPr>
                <w:rFonts w:ascii="宋体" w:eastAsia="宋体" w:hAnsi="宋体" w:cs="宋体" w:hint="eastAsia"/>
                <w:sz w:val="18"/>
                <w:szCs w:val="18"/>
              </w:rPr>
              <w:t>（元）</w:t>
            </w:r>
          </w:p>
        </w:tc>
        <w:tc>
          <w:tcPr>
            <w:tcW w:w="5552" w:type="dxa"/>
            <w:tcBorders>
              <w:top w:val="nil"/>
              <w:left w:val="nil"/>
              <w:bottom w:val="single" w:sz="8" w:space="0" w:color="auto"/>
              <w:right w:val="single" w:sz="8" w:space="0" w:color="auto"/>
            </w:tcBorders>
            <w:tcMar>
              <w:top w:w="0" w:type="dxa"/>
              <w:left w:w="108" w:type="dxa"/>
              <w:bottom w:w="0" w:type="dxa"/>
              <w:right w:w="108" w:type="dxa"/>
            </w:tcMar>
            <w:hideMark/>
          </w:tcPr>
          <w:p w:rsidR="008D4B2E" w:rsidRPr="000C2E93" w:rsidRDefault="008D4B2E" w:rsidP="0010486D">
            <w:pPr>
              <w:spacing w:line="240" w:lineRule="exact"/>
              <w:jc w:val="right"/>
              <w:rPr>
                <w:rFonts w:ascii="宋体" w:eastAsia="宋体" w:hAnsi="宋体" w:cs="宋体"/>
                <w:sz w:val="18"/>
                <w:szCs w:val="18"/>
              </w:rPr>
            </w:pPr>
            <w:r w:rsidRPr="000C2E93">
              <w:rPr>
                <w:rFonts w:ascii="宋体" w:eastAsia="宋体" w:hAnsi="宋体" w:cs="宋体"/>
                <w:sz w:val="18"/>
                <w:szCs w:val="18"/>
              </w:rPr>
              <w:t>33,104,400.00</w:t>
            </w:r>
          </w:p>
        </w:tc>
      </w:tr>
      <w:tr w:rsidR="008D4B2E" w:rsidTr="00B87081">
        <w:trPr>
          <w:divId w:val="525408917"/>
          <w:trHeight w:val="360"/>
        </w:trPr>
        <w:tc>
          <w:tcPr>
            <w:tcW w:w="40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4B2E" w:rsidRPr="000C2E93" w:rsidRDefault="008D4B2E" w:rsidP="000C2E93">
            <w:pPr>
              <w:spacing w:line="240" w:lineRule="exact"/>
              <w:rPr>
                <w:rFonts w:ascii="宋体" w:eastAsia="宋体" w:hAnsi="宋体" w:cs="宋体"/>
                <w:sz w:val="18"/>
                <w:szCs w:val="18"/>
              </w:rPr>
            </w:pPr>
            <w:r w:rsidRPr="000C2E93">
              <w:rPr>
                <w:rFonts w:ascii="宋体" w:eastAsia="宋体" w:hAnsi="宋体" w:cs="宋体" w:hint="eastAsia"/>
                <w:sz w:val="18"/>
                <w:szCs w:val="18"/>
              </w:rPr>
              <w:t>公司本期失效的各项权益工具总额</w:t>
            </w:r>
          </w:p>
        </w:tc>
        <w:tc>
          <w:tcPr>
            <w:tcW w:w="5552" w:type="dxa"/>
            <w:tcBorders>
              <w:top w:val="nil"/>
              <w:left w:val="nil"/>
              <w:bottom w:val="single" w:sz="8" w:space="0" w:color="auto"/>
              <w:right w:val="single" w:sz="8" w:space="0" w:color="auto"/>
            </w:tcBorders>
            <w:tcMar>
              <w:top w:w="0" w:type="dxa"/>
              <w:left w:w="108" w:type="dxa"/>
              <w:bottom w:w="0" w:type="dxa"/>
              <w:right w:w="108" w:type="dxa"/>
            </w:tcMar>
            <w:hideMark/>
          </w:tcPr>
          <w:p w:rsidR="008D4B2E" w:rsidRPr="000C2E93" w:rsidRDefault="008D4B2E" w:rsidP="000C2E93">
            <w:pPr>
              <w:spacing w:line="240" w:lineRule="exact"/>
              <w:rPr>
                <w:rFonts w:ascii="宋体" w:eastAsia="宋体" w:hAnsi="宋体" w:cs="宋体"/>
                <w:sz w:val="18"/>
                <w:szCs w:val="18"/>
              </w:rPr>
            </w:pPr>
            <w:r w:rsidRPr="000C2E93">
              <w:rPr>
                <w:rFonts w:ascii="宋体" w:eastAsia="宋体" w:hAnsi="宋体" w:cs="宋体"/>
                <w:sz w:val="18"/>
                <w:szCs w:val="18"/>
              </w:rPr>
              <w:t> </w:t>
            </w:r>
          </w:p>
        </w:tc>
      </w:tr>
      <w:tr w:rsidR="008D4B2E" w:rsidTr="00B87081">
        <w:trPr>
          <w:divId w:val="525408917"/>
          <w:trHeight w:val="510"/>
        </w:trPr>
        <w:tc>
          <w:tcPr>
            <w:tcW w:w="40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4B2E" w:rsidRPr="000C2E93" w:rsidRDefault="008D4B2E" w:rsidP="000C2E93">
            <w:pPr>
              <w:spacing w:line="240" w:lineRule="exact"/>
              <w:rPr>
                <w:rFonts w:ascii="宋体" w:eastAsia="宋体" w:hAnsi="宋体" w:cs="宋体"/>
                <w:sz w:val="18"/>
                <w:szCs w:val="18"/>
              </w:rPr>
            </w:pPr>
            <w:r w:rsidRPr="000C2E93">
              <w:rPr>
                <w:rFonts w:ascii="宋体" w:eastAsia="宋体" w:hAnsi="宋体" w:cs="宋体" w:hint="eastAsia"/>
                <w:sz w:val="18"/>
                <w:szCs w:val="18"/>
              </w:rPr>
              <w:t>公司期末发行在外的股份期权行权价格的范围和合同剩余期限</w:t>
            </w:r>
          </w:p>
        </w:tc>
        <w:tc>
          <w:tcPr>
            <w:tcW w:w="5552" w:type="dxa"/>
            <w:tcBorders>
              <w:top w:val="nil"/>
              <w:left w:val="nil"/>
              <w:bottom w:val="single" w:sz="8" w:space="0" w:color="auto"/>
              <w:right w:val="single" w:sz="8" w:space="0" w:color="auto"/>
            </w:tcBorders>
            <w:tcMar>
              <w:top w:w="0" w:type="dxa"/>
              <w:left w:w="108" w:type="dxa"/>
              <w:bottom w:w="0" w:type="dxa"/>
              <w:right w:w="108" w:type="dxa"/>
            </w:tcMar>
            <w:hideMark/>
          </w:tcPr>
          <w:p w:rsidR="008D4B2E" w:rsidRPr="000C2E93" w:rsidRDefault="008D4B2E" w:rsidP="000C2E93">
            <w:pPr>
              <w:spacing w:line="240" w:lineRule="exact"/>
              <w:rPr>
                <w:rFonts w:ascii="宋体" w:eastAsia="宋体" w:hAnsi="宋体" w:cs="宋体"/>
                <w:sz w:val="18"/>
                <w:szCs w:val="18"/>
              </w:rPr>
            </w:pPr>
            <w:r w:rsidRPr="000C2E93">
              <w:rPr>
                <w:rFonts w:ascii="宋体" w:eastAsia="宋体" w:hAnsi="宋体" w:cs="宋体"/>
                <w:sz w:val="18"/>
                <w:szCs w:val="18"/>
              </w:rPr>
              <w:t> </w:t>
            </w:r>
          </w:p>
        </w:tc>
      </w:tr>
      <w:tr w:rsidR="008D4B2E" w:rsidTr="00B87081">
        <w:trPr>
          <w:divId w:val="525408917"/>
          <w:trHeight w:val="495"/>
        </w:trPr>
        <w:tc>
          <w:tcPr>
            <w:tcW w:w="40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4B2E" w:rsidRPr="000C2E93" w:rsidRDefault="008D4B2E" w:rsidP="000C2E93">
            <w:pPr>
              <w:spacing w:line="240" w:lineRule="exact"/>
              <w:rPr>
                <w:rFonts w:ascii="宋体" w:eastAsia="宋体" w:hAnsi="宋体" w:cs="宋体"/>
                <w:sz w:val="18"/>
                <w:szCs w:val="18"/>
              </w:rPr>
            </w:pPr>
            <w:r w:rsidRPr="000C2E93">
              <w:rPr>
                <w:rFonts w:ascii="宋体" w:eastAsia="宋体" w:hAnsi="宋体" w:cs="宋体" w:hint="eastAsia"/>
                <w:sz w:val="18"/>
                <w:szCs w:val="18"/>
              </w:rPr>
              <w:t>公司期末其他权益工具行权价格的范围和合同剩余期限</w:t>
            </w:r>
          </w:p>
        </w:tc>
        <w:tc>
          <w:tcPr>
            <w:tcW w:w="5552" w:type="dxa"/>
            <w:tcBorders>
              <w:top w:val="nil"/>
              <w:left w:val="nil"/>
              <w:bottom w:val="single" w:sz="8" w:space="0" w:color="auto"/>
              <w:right w:val="single" w:sz="8" w:space="0" w:color="auto"/>
            </w:tcBorders>
            <w:tcMar>
              <w:top w:w="0" w:type="dxa"/>
              <w:left w:w="108" w:type="dxa"/>
              <w:bottom w:w="0" w:type="dxa"/>
              <w:right w:w="108" w:type="dxa"/>
            </w:tcMar>
            <w:hideMark/>
          </w:tcPr>
          <w:p w:rsidR="008D4B2E" w:rsidRPr="000C2E93" w:rsidRDefault="008D4B2E" w:rsidP="000C2E93">
            <w:pPr>
              <w:spacing w:line="240" w:lineRule="exact"/>
              <w:rPr>
                <w:rFonts w:ascii="宋体" w:eastAsia="宋体" w:hAnsi="宋体" w:cs="宋体"/>
                <w:sz w:val="18"/>
                <w:szCs w:val="18"/>
              </w:rPr>
            </w:pPr>
            <w:r w:rsidRPr="000C2E93">
              <w:rPr>
                <w:rFonts w:ascii="宋体" w:eastAsia="宋体" w:hAnsi="宋体" w:cs="宋体" w:hint="eastAsia"/>
                <w:sz w:val="18"/>
                <w:szCs w:val="18"/>
              </w:rPr>
              <w:t>授予价格为</w:t>
            </w:r>
            <w:r w:rsidRPr="000C2E93">
              <w:rPr>
                <w:rFonts w:ascii="宋体" w:eastAsia="宋体" w:hAnsi="宋体" w:cs="宋体"/>
                <w:sz w:val="18"/>
                <w:szCs w:val="18"/>
              </w:rPr>
              <w:t>2.55</w:t>
            </w:r>
            <w:r w:rsidRPr="000C2E93">
              <w:rPr>
                <w:rFonts w:ascii="宋体" w:eastAsia="宋体" w:hAnsi="宋体" w:cs="宋体" w:hint="eastAsia"/>
                <w:sz w:val="18"/>
                <w:szCs w:val="18"/>
              </w:rPr>
              <w:t>元</w:t>
            </w:r>
            <w:r w:rsidRPr="000C2E93">
              <w:rPr>
                <w:rFonts w:ascii="宋体" w:eastAsia="宋体" w:hAnsi="宋体" w:cs="宋体"/>
                <w:sz w:val="18"/>
                <w:szCs w:val="18"/>
              </w:rPr>
              <w:t>/</w:t>
            </w:r>
            <w:r w:rsidRPr="000C2E93">
              <w:rPr>
                <w:rFonts w:ascii="宋体" w:eastAsia="宋体" w:hAnsi="宋体" w:cs="宋体" w:hint="eastAsia"/>
                <w:sz w:val="18"/>
                <w:szCs w:val="18"/>
              </w:rPr>
              <w:t>股；员工持股计划的有效期自限制性股票授予登记完成之日起至激励</w:t>
            </w:r>
            <w:proofErr w:type="gramStart"/>
            <w:r w:rsidRPr="000C2E93">
              <w:rPr>
                <w:rFonts w:ascii="宋体" w:eastAsia="宋体" w:hAnsi="宋体" w:cs="宋体" w:hint="eastAsia"/>
                <w:sz w:val="18"/>
                <w:szCs w:val="18"/>
              </w:rPr>
              <w:t>对象获</w:t>
            </w:r>
            <w:proofErr w:type="gramEnd"/>
            <w:r w:rsidRPr="000C2E93">
              <w:rPr>
                <w:rFonts w:ascii="宋体" w:eastAsia="宋体" w:hAnsi="宋体" w:cs="宋体" w:hint="eastAsia"/>
                <w:sz w:val="18"/>
                <w:szCs w:val="18"/>
              </w:rPr>
              <w:t>授的限制性股票全部解除限售或回购注销之日止，最长锁定期为</w:t>
            </w:r>
            <w:r w:rsidRPr="000C2E93">
              <w:rPr>
                <w:rFonts w:ascii="宋体" w:eastAsia="宋体" w:hAnsi="宋体" w:cs="宋体"/>
                <w:sz w:val="18"/>
                <w:szCs w:val="18"/>
              </w:rPr>
              <w:t>36</w:t>
            </w:r>
            <w:r w:rsidRPr="000C2E93">
              <w:rPr>
                <w:rFonts w:ascii="宋体" w:eastAsia="宋体" w:hAnsi="宋体" w:cs="宋体" w:hint="eastAsia"/>
                <w:sz w:val="18"/>
                <w:szCs w:val="18"/>
              </w:rPr>
              <w:t>个月</w:t>
            </w:r>
          </w:p>
        </w:tc>
      </w:tr>
    </w:tbl>
    <w:p w:rsidR="008D4B2E" w:rsidRPr="000C2E93" w:rsidRDefault="008D4B2E" w:rsidP="00B87081">
      <w:pPr>
        <w:ind w:firstLineChars="200" w:firstLine="360"/>
        <w:divId w:val="525408917"/>
        <w:rPr>
          <w:rFonts w:ascii="宋体" w:eastAsia="宋体" w:hAnsi="宋体" w:cs="宋体"/>
          <w:sz w:val="18"/>
          <w:szCs w:val="18"/>
        </w:rPr>
      </w:pPr>
      <w:r w:rsidRPr="000C2E93">
        <w:rPr>
          <w:rFonts w:ascii="宋体" w:eastAsia="宋体" w:hAnsi="宋体" w:cs="宋体" w:hint="eastAsia"/>
          <w:sz w:val="18"/>
          <w:szCs w:val="18"/>
        </w:rPr>
        <w:lastRenderedPageBreak/>
        <w:t>①公司于</w:t>
      </w:r>
      <w:r w:rsidRPr="000C2E93">
        <w:rPr>
          <w:rFonts w:ascii="宋体" w:eastAsia="宋体" w:hAnsi="宋体" w:cs="宋体"/>
          <w:sz w:val="18"/>
          <w:szCs w:val="18"/>
        </w:rPr>
        <w:t>2021</w:t>
      </w:r>
      <w:r w:rsidRPr="000C2E93">
        <w:rPr>
          <w:rFonts w:ascii="宋体" w:eastAsia="宋体" w:hAnsi="宋体" w:cs="宋体" w:hint="eastAsia"/>
          <w:sz w:val="18"/>
          <w:szCs w:val="18"/>
        </w:rPr>
        <w:t>年</w:t>
      </w:r>
      <w:r w:rsidRPr="000C2E93">
        <w:rPr>
          <w:rFonts w:ascii="宋体" w:eastAsia="宋体" w:hAnsi="宋体" w:cs="宋体"/>
          <w:sz w:val="18"/>
          <w:szCs w:val="18"/>
        </w:rPr>
        <w:t>10</w:t>
      </w:r>
      <w:r w:rsidRPr="000C2E93">
        <w:rPr>
          <w:rFonts w:ascii="宋体" w:eastAsia="宋体" w:hAnsi="宋体" w:cs="宋体" w:hint="eastAsia"/>
          <w:sz w:val="18"/>
          <w:szCs w:val="18"/>
        </w:rPr>
        <w:t>月</w:t>
      </w:r>
      <w:r w:rsidRPr="000C2E93">
        <w:rPr>
          <w:rFonts w:ascii="宋体" w:eastAsia="宋体" w:hAnsi="宋体" w:cs="宋体"/>
          <w:sz w:val="18"/>
          <w:szCs w:val="18"/>
        </w:rPr>
        <w:t>14</w:t>
      </w:r>
      <w:r w:rsidRPr="000C2E93">
        <w:rPr>
          <w:rFonts w:ascii="宋体" w:eastAsia="宋体" w:hAnsi="宋体" w:cs="宋体" w:hint="eastAsia"/>
          <w:sz w:val="18"/>
          <w:szCs w:val="18"/>
        </w:rPr>
        <w:t>日召开</w:t>
      </w:r>
      <w:r w:rsidRPr="000C2E93">
        <w:rPr>
          <w:rFonts w:ascii="宋体" w:eastAsia="宋体" w:hAnsi="宋体" w:cs="宋体"/>
          <w:sz w:val="18"/>
          <w:szCs w:val="18"/>
        </w:rPr>
        <w:t>2021</w:t>
      </w:r>
      <w:r w:rsidRPr="000C2E93">
        <w:rPr>
          <w:rFonts w:ascii="宋体" w:eastAsia="宋体" w:hAnsi="宋体" w:cs="宋体" w:hint="eastAsia"/>
          <w:sz w:val="18"/>
          <w:szCs w:val="18"/>
        </w:rPr>
        <w:t>年第二次临时股东大会审议通过了《关于</w:t>
      </w:r>
      <w:r w:rsidRPr="000C2E93">
        <w:rPr>
          <w:rFonts w:ascii="宋体" w:eastAsia="宋体" w:hAnsi="宋体" w:cs="宋体"/>
          <w:sz w:val="18"/>
          <w:szCs w:val="18"/>
        </w:rPr>
        <w:t>〈</w:t>
      </w:r>
      <w:r w:rsidRPr="000C2E93">
        <w:rPr>
          <w:rFonts w:ascii="宋体" w:eastAsia="宋体" w:hAnsi="宋体" w:cs="宋体" w:hint="eastAsia"/>
          <w:sz w:val="18"/>
          <w:szCs w:val="18"/>
        </w:rPr>
        <w:t>软控股份有限公司</w:t>
      </w:r>
      <w:r w:rsidRPr="000C2E93">
        <w:rPr>
          <w:rFonts w:ascii="宋体" w:eastAsia="宋体" w:hAnsi="宋体" w:cs="宋体"/>
          <w:sz w:val="18"/>
          <w:szCs w:val="18"/>
        </w:rPr>
        <w:t>2021</w:t>
      </w:r>
      <w:r w:rsidRPr="000C2E93">
        <w:rPr>
          <w:rFonts w:ascii="宋体" w:eastAsia="宋体" w:hAnsi="宋体" w:cs="宋体" w:hint="eastAsia"/>
          <w:sz w:val="18"/>
          <w:szCs w:val="18"/>
        </w:rPr>
        <w:t>年限制性股票激励计划（草案）</w:t>
      </w:r>
      <w:r w:rsidRPr="000C2E93">
        <w:rPr>
          <w:rFonts w:ascii="宋体" w:eastAsia="宋体" w:hAnsi="宋体" w:cs="宋体"/>
          <w:sz w:val="18"/>
          <w:szCs w:val="18"/>
        </w:rPr>
        <w:t>〉</w:t>
      </w:r>
      <w:r w:rsidRPr="000C2E93">
        <w:rPr>
          <w:rFonts w:ascii="宋体" w:eastAsia="宋体" w:hAnsi="宋体" w:cs="宋体" w:hint="eastAsia"/>
          <w:sz w:val="18"/>
          <w:szCs w:val="18"/>
        </w:rPr>
        <w:t>及其摘要的议案》、《关于</w:t>
      </w:r>
      <w:r w:rsidRPr="000C2E93">
        <w:rPr>
          <w:rFonts w:ascii="宋体" w:eastAsia="宋体" w:hAnsi="宋体" w:cs="宋体"/>
          <w:sz w:val="18"/>
          <w:szCs w:val="18"/>
        </w:rPr>
        <w:t>〈</w:t>
      </w:r>
      <w:r w:rsidRPr="000C2E93">
        <w:rPr>
          <w:rFonts w:ascii="宋体" w:eastAsia="宋体" w:hAnsi="宋体" w:cs="宋体" w:hint="eastAsia"/>
          <w:sz w:val="18"/>
          <w:szCs w:val="18"/>
        </w:rPr>
        <w:t>软控股份有限公司</w:t>
      </w:r>
      <w:r w:rsidRPr="000C2E93">
        <w:rPr>
          <w:rFonts w:ascii="宋体" w:eastAsia="宋体" w:hAnsi="宋体" w:cs="宋体"/>
          <w:sz w:val="18"/>
          <w:szCs w:val="18"/>
        </w:rPr>
        <w:t>2021</w:t>
      </w:r>
      <w:r w:rsidRPr="000C2E93">
        <w:rPr>
          <w:rFonts w:ascii="宋体" w:eastAsia="宋体" w:hAnsi="宋体" w:cs="宋体" w:hint="eastAsia"/>
          <w:sz w:val="18"/>
          <w:szCs w:val="18"/>
        </w:rPr>
        <w:t>年限制性股票激励计划实施考核管理办法</w:t>
      </w:r>
      <w:r w:rsidRPr="000C2E93">
        <w:rPr>
          <w:rFonts w:ascii="宋体" w:eastAsia="宋体" w:hAnsi="宋体" w:cs="宋体"/>
          <w:sz w:val="18"/>
          <w:szCs w:val="18"/>
        </w:rPr>
        <w:t>〉</w:t>
      </w:r>
      <w:r w:rsidRPr="000C2E93">
        <w:rPr>
          <w:rFonts w:ascii="宋体" w:eastAsia="宋体" w:hAnsi="宋体" w:cs="宋体" w:hint="eastAsia"/>
          <w:sz w:val="18"/>
          <w:szCs w:val="18"/>
        </w:rPr>
        <w:t>的议案》、《关于提请股东大会授权董事会办理股权激励相关事宜的议案》等与本次激励计划相关的议案。</w:t>
      </w:r>
      <w:r w:rsidRPr="000C2E93">
        <w:rPr>
          <w:rFonts w:ascii="宋体" w:eastAsia="宋体" w:hAnsi="宋体" w:cs="宋体"/>
          <w:sz w:val="18"/>
          <w:szCs w:val="18"/>
        </w:rPr>
        <w:t>2021</w:t>
      </w:r>
      <w:r w:rsidRPr="000C2E93">
        <w:rPr>
          <w:rFonts w:ascii="宋体" w:eastAsia="宋体" w:hAnsi="宋体" w:cs="宋体" w:hint="eastAsia"/>
          <w:sz w:val="18"/>
          <w:szCs w:val="18"/>
        </w:rPr>
        <w:t>年</w:t>
      </w:r>
      <w:r w:rsidRPr="000C2E93">
        <w:rPr>
          <w:rFonts w:ascii="宋体" w:eastAsia="宋体" w:hAnsi="宋体" w:cs="宋体"/>
          <w:sz w:val="18"/>
          <w:szCs w:val="18"/>
        </w:rPr>
        <w:t>10</w:t>
      </w:r>
      <w:r w:rsidRPr="000C2E93">
        <w:rPr>
          <w:rFonts w:ascii="宋体" w:eastAsia="宋体" w:hAnsi="宋体" w:cs="宋体" w:hint="eastAsia"/>
          <w:sz w:val="18"/>
          <w:szCs w:val="18"/>
        </w:rPr>
        <w:t>月</w:t>
      </w:r>
      <w:r w:rsidRPr="000C2E93">
        <w:rPr>
          <w:rFonts w:ascii="宋体" w:eastAsia="宋体" w:hAnsi="宋体" w:cs="宋体"/>
          <w:sz w:val="18"/>
          <w:szCs w:val="18"/>
        </w:rPr>
        <w:t>22</w:t>
      </w:r>
      <w:r w:rsidRPr="000C2E93">
        <w:rPr>
          <w:rFonts w:ascii="宋体" w:eastAsia="宋体" w:hAnsi="宋体" w:cs="宋体" w:hint="eastAsia"/>
          <w:sz w:val="18"/>
          <w:szCs w:val="18"/>
        </w:rPr>
        <w:t>日召开第七届董事会第十八次会议、第七届监事会第十六次会议，审议通过了《关于向激励对象授予限制性股票的议案》，确定对官</w:t>
      </w:r>
      <w:proofErr w:type="gramStart"/>
      <w:r w:rsidRPr="000C2E93">
        <w:rPr>
          <w:rFonts w:ascii="宋体" w:eastAsia="宋体" w:hAnsi="宋体" w:cs="宋体" w:hint="eastAsia"/>
          <w:sz w:val="18"/>
          <w:szCs w:val="18"/>
        </w:rPr>
        <w:t>炳</w:t>
      </w:r>
      <w:proofErr w:type="gramEnd"/>
      <w:r w:rsidRPr="000C2E93">
        <w:rPr>
          <w:rFonts w:ascii="宋体" w:eastAsia="宋体" w:hAnsi="宋体" w:cs="宋体" w:hint="eastAsia"/>
          <w:sz w:val="18"/>
          <w:szCs w:val="18"/>
        </w:rPr>
        <w:t>政、杨慧丽、张垚等</w:t>
      </w:r>
      <w:r w:rsidRPr="000C2E93">
        <w:rPr>
          <w:rFonts w:ascii="宋体" w:eastAsia="宋体" w:hAnsi="宋体" w:cs="宋体"/>
          <w:sz w:val="18"/>
          <w:szCs w:val="18"/>
        </w:rPr>
        <w:t>20</w:t>
      </w:r>
      <w:r w:rsidRPr="000C2E93">
        <w:rPr>
          <w:rFonts w:ascii="宋体" w:eastAsia="宋体" w:hAnsi="宋体" w:cs="宋体" w:hint="eastAsia"/>
          <w:sz w:val="18"/>
          <w:szCs w:val="18"/>
        </w:rPr>
        <w:t>名参加对象授予</w:t>
      </w:r>
      <w:r w:rsidRPr="000C2E93">
        <w:rPr>
          <w:rFonts w:ascii="宋体" w:eastAsia="宋体" w:hAnsi="宋体" w:cs="宋体"/>
          <w:sz w:val="18"/>
          <w:szCs w:val="18"/>
        </w:rPr>
        <w:t>1,960</w:t>
      </w:r>
      <w:r w:rsidRPr="000C2E93">
        <w:rPr>
          <w:rFonts w:ascii="宋体" w:eastAsia="宋体" w:hAnsi="宋体" w:cs="宋体" w:hint="eastAsia"/>
          <w:sz w:val="18"/>
          <w:szCs w:val="18"/>
        </w:rPr>
        <w:t>万股限制性股票，本次实际</w:t>
      </w:r>
      <w:r w:rsidRPr="000C2E93">
        <w:rPr>
          <w:rFonts w:ascii="宋体" w:eastAsia="宋体" w:hAnsi="宋体" w:cs="宋体"/>
          <w:sz w:val="18"/>
          <w:szCs w:val="18"/>
        </w:rPr>
        <w:t>20</w:t>
      </w:r>
      <w:r w:rsidRPr="000C2E93">
        <w:rPr>
          <w:rFonts w:ascii="宋体" w:eastAsia="宋体" w:hAnsi="宋体" w:cs="宋体" w:hint="eastAsia"/>
          <w:sz w:val="18"/>
          <w:szCs w:val="18"/>
        </w:rPr>
        <w:t>名参加对象认购</w:t>
      </w:r>
      <w:r w:rsidRPr="000C2E93">
        <w:rPr>
          <w:rFonts w:ascii="宋体" w:eastAsia="宋体" w:hAnsi="宋体" w:cs="宋体"/>
          <w:sz w:val="18"/>
          <w:szCs w:val="18"/>
        </w:rPr>
        <w:t>19,600,000</w:t>
      </w:r>
      <w:r w:rsidRPr="000C2E93">
        <w:rPr>
          <w:rFonts w:ascii="宋体" w:eastAsia="宋体" w:hAnsi="宋体" w:cs="宋体" w:hint="eastAsia"/>
          <w:sz w:val="18"/>
          <w:szCs w:val="18"/>
        </w:rPr>
        <w:t>股限制性股票，股票面值</w:t>
      </w:r>
      <w:r w:rsidRPr="000C2E93">
        <w:rPr>
          <w:rFonts w:ascii="宋体" w:eastAsia="宋体" w:hAnsi="宋体" w:cs="宋体"/>
          <w:sz w:val="18"/>
          <w:szCs w:val="18"/>
        </w:rPr>
        <w:t>1</w:t>
      </w:r>
      <w:r w:rsidRPr="000C2E93">
        <w:rPr>
          <w:rFonts w:ascii="宋体" w:eastAsia="宋体" w:hAnsi="宋体" w:cs="宋体" w:hint="eastAsia"/>
          <w:sz w:val="18"/>
          <w:szCs w:val="18"/>
        </w:rPr>
        <w:t>元，认购价格为</w:t>
      </w:r>
      <w:r w:rsidRPr="000C2E93">
        <w:rPr>
          <w:rFonts w:ascii="宋体" w:eastAsia="宋体" w:hAnsi="宋体" w:cs="宋体"/>
          <w:sz w:val="18"/>
          <w:szCs w:val="18"/>
        </w:rPr>
        <w:t>2.55</w:t>
      </w:r>
      <w:r w:rsidRPr="000C2E93">
        <w:rPr>
          <w:rFonts w:ascii="宋体" w:eastAsia="宋体" w:hAnsi="宋体" w:cs="宋体" w:hint="eastAsia"/>
          <w:sz w:val="18"/>
          <w:szCs w:val="18"/>
        </w:rPr>
        <w:t>元</w:t>
      </w:r>
      <w:r w:rsidRPr="000C2E93">
        <w:rPr>
          <w:rFonts w:ascii="宋体" w:eastAsia="宋体" w:hAnsi="宋体" w:cs="宋体"/>
          <w:sz w:val="18"/>
          <w:szCs w:val="18"/>
        </w:rPr>
        <w:t>/</w:t>
      </w:r>
      <w:r w:rsidRPr="000C2E93">
        <w:rPr>
          <w:rFonts w:ascii="宋体" w:eastAsia="宋体" w:hAnsi="宋体" w:cs="宋体" w:hint="eastAsia"/>
          <w:sz w:val="18"/>
          <w:szCs w:val="18"/>
        </w:rPr>
        <w:t>股。本期以权益结算的股份支付确认的费用总额</w:t>
      </w:r>
      <w:r w:rsidRPr="000C2E93">
        <w:rPr>
          <w:rFonts w:ascii="宋体" w:eastAsia="宋体" w:hAnsi="宋体" w:cs="宋体"/>
          <w:sz w:val="18"/>
          <w:szCs w:val="18"/>
        </w:rPr>
        <w:t>60,691,400.00</w:t>
      </w:r>
      <w:r w:rsidRPr="000C2E93">
        <w:rPr>
          <w:rFonts w:ascii="宋体" w:eastAsia="宋体" w:hAnsi="宋体" w:cs="宋体" w:hint="eastAsia"/>
          <w:sz w:val="18"/>
          <w:szCs w:val="18"/>
        </w:rPr>
        <w:t>元</w:t>
      </w:r>
    </w:p>
    <w:p w:rsidR="008D4B2E" w:rsidRPr="000C2E93" w:rsidRDefault="008D4B2E" w:rsidP="00B87081">
      <w:pPr>
        <w:ind w:firstLineChars="200" w:firstLine="360"/>
        <w:divId w:val="525408917"/>
        <w:rPr>
          <w:rFonts w:ascii="宋体" w:eastAsia="宋体" w:hAnsi="宋体" w:cs="宋体"/>
          <w:sz w:val="18"/>
          <w:szCs w:val="18"/>
        </w:rPr>
      </w:pPr>
      <w:r w:rsidRPr="000C2E93">
        <w:rPr>
          <w:rFonts w:ascii="宋体" w:eastAsia="宋体" w:hAnsi="宋体" w:cs="宋体" w:hint="eastAsia"/>
          <w:sz w:val="18"/>
          <w:szCs w:val="18"/>
        </w:rPr>
        <w:t>②</w:t>
      </w:r>
      <w:proofErr w:type="gramStart"/>
      <w:r w:rsidRPr="000C2E93">
        <w:rPr>
          <w:rFonts w:ascii="宋体" w:eastAsia="宋体" w:hAnsi="宋体" w:cs="宋体" w:hint="eastAsia"/>
          <w:sz w:val="18"/>
          <w:szCs w:val="18"/>
        </w:rPr>
        <w:t>本期员工</w:t>
      </w:r>
      <w:proofErr w:type="gramEnd"/>
      <w:r w:rsidRPr="000C2E93">
        <w:rPr>
          <w:rFonts w:ascii="宋体" w:eastAsia="宋体" w:hAnsi="宋体" w:cs="宋体" w:hint="eastAsia"/>
          <w:sz w:val="18"/>
          <w:szCs w:val="18"/>
        </w:rPr>
        <w:t>持股计划通过向激励对象定向发行的公司人民币</w:t>
      </w:r>
      <w:r w:rsidRPr="000C2E93">
        <w:rPr>
          <w:rFonts w:ascii="宋体" w:eastAsia="宋体" w:hAnsi="宋体" w:cs="宋体"/>
          <w:sz w:val="18"/>
          <w:szCs w:val="18"/>
        </w:rPr>
        <w:t>A</w:t>
      </w:r>
      <w:r w:rsidRPr="000C2E93">
        <w:rPr>
          <w:rFonts w:ascii="宋体" w:eastAsia="宋体" w:hAnsi="宋体" w:cs="宋体" w:hint="eastAsia"/>
          <w:sz w:val="18"/>
          <w:szCs w:val="18"/>
        </w:rPr>
        <w:t>股普通股股票，分三期解锁，解锁时点分别为自公司公告最后一笔标的股票过户至</w:t>
      </w:r>
      <w:proofErr w:type="gramStart"/>
      <w:r w:rsidRPr="000C2E93">
        <w:rPr>
          <w:rFonts w:ascii="宋体" w:eastAsia="宋体" w:hAnsi="宋体" w:cs="宋体" w:hint="eastAsia"/>
          <w:sz w:val="18"/>
          <w:szCs w:val="18"/>
        </w:rPr>
        <w:t>本期员工</w:t>
      </w:r>
      <w:proofErr w:type="gramEnd"/>
      <w:r w:rsidRPr="000C2E93">
        <w:rPr>
          <w:rFonts w:ascii="宋体" w:eastAsia="宋体" w:hAnsi="宋体" w:cs="宋体" w:hint="eastAsia"/>
          <w:sz w:val="18"/>
          <w:szCs w:val="18"/>
        </w:rPr>
        <w:t>持股计划名下之日起满</w:t>
      </w:r>
      <w:r w:rsidRPr="000C2E93">
        <w:rPr>
          <w:rFonts w:ascii="宋体" w:eastAsia="宋体" w:hAnsi="宋体" w:cs="宋体"/>
          <w:sz w:val="18"/>
          <w:szCs w:val="18"/>
        </w:rPr>
        <w:t>12</w:t>
      </w:r>
      <w:r w:rsidRPr="000C2E93">
        <w:rPr>
          <w:rFonts w:ascii="宋体" w:eastAsia="宋体" w:hAnsi="宋体" w:cs="宋体" w:hint="eastAsia"/>
          <w:sz w:val="18"/>
          <w:szCs w:val="18"/>
        </w:rPr>
        <w:t>个月、</w:t>
      </w:r>
      <w:r w:rsidRPr="000C2E93">
        <w:rPr>
          <w:rFonts w:ascii="宋体" w:eastAsia="宋体" w:hAnsi="宋体" w:cs="宋体"/>
          <w:sz w:val="18"/>
          <w:szCs w:val="18"/>
        </w:rPr>
        <w:t>24</w:t>
      </w:r>
      <w:r w:rsidRPr="000C2E93">
        <w:rPr>
          <w:rFonts w:ascii="宋体" w:eastAsia="宋体" w:hAnsi="宋体" w:cs="宋体" w:hint="eastAsia"/>
          <w:sz w:val="18"/>
          <w:szCs w:val="18"/>
        </w:rPr>
        <w:t>个月、</w:t>
      </w:r>
      <w:r w:rsidRPr="000C2E93">
        <w:rPr>
          <w:rFonts w:ascii="宋体" w:eastAsia="宋体" w:hAnsi="宋体" w:cs="宋体"/>
          <w:sz w:val="18"/>
          <w:szCs w:val="18"/>
        </w:rPr>
        <w:t>36</w:t>
      </w:r>
      <w:r w:rsidRPr="000C2E93">
        <w:rPr>
          <w:rFonts w:ascii="宋体" w:eastAsia="宋体" w:hAnsi="宋体" w:cs="宋体" w:hint="eastAsia"/>
          <w:sz w:val="18"/>
          <w:szCs w:val="18"/>
        </w:rPr>
        <w:t>个月，最长锁定期为</w:t>
      </w:r>
      <w:r w:rsidRPr="000C2E93">
        <w:rPr>
          <w:rFonts w:ascii="宋体" w:eastAsia="宋体" w:hAnsi="宋体" w:cs="宋体"/>
          <w:sz w:val="18"/>
          <w:szCs w:val="18"/>
        </w:rPr>
        <w:t>36</w:t>
      </w:r>
      <w:r w:rsidRPr="000C2E93">
        <w:rPr>
          <w:rFonts w:ascii="宋体" w:eastAsia="宋体" w:hAnsi="宋体" w:cs="宋体" w:hint="eastAsia"/>
          <w:sz w:val="18"/>
          <w:szCs w:val="18"/>
        </w:rPr>
        <w:t>个月，每期解锁的标的股票比例分别为</w:t>
      </w:r>
      <w:r w:rsidRPr="000C2E93">
        <w:rPr>
          <w:rFonts w:ascii="宋体" w:eastAsia="宋体" w:hAnsi="宋体" w:cs="宋体"/>
          <w:sz w:val="18"/>
          <w:szCs w:val="18"/>
        </w:rPr>
        <w:t>40%</w:t>
      </w:r>
      <w:r w:rsidRPr="000C2E93">
        <w:rPr>
          <w:rFonts w:ascii="宋体" w:eastAsia="宋体" w:hAnsi="宋体" w:cs="宋体" w:hint="eastAsia"/>
          <w:sz w:val="18"/>
          <w:szCs w:val="18"/>
        </w:rPr>
        <w:t>、</w:t>
      </w:r>
      <w:r w:rsidRPr="000C2E93">
        <w:rPr>
          <w:rFonts w:ascii="宋体" w:eastAsia="宋体" w:hAnsi="宋体" w:cs="宋体"/>
          <w:sz w:val="18"/>
          <w:szCs w:val="18"/>
        </w:rPr>
        <w:t>30%</w:t>
      </w:r>
      <w:r w:rsidRPr="000C2E93">
        <w:rPr>
          <w:rFonts w:ascii="宋体" w:eastAsia="宋体" w:hAnsi="宋体" w:cs="宋体" w:hint="eastAsia"/>
          <w:sz w:val="18"/>
          <w:szCs w:val="18"/>
        </w:rPr>
        <w:t>、</w:t>
      </w:r>
      <w:r w:rsidRPr="000C2E93">
        <w:rPr>
          <w:rFonts w:ascii="宋体" w:eastAsia="宋体" w:hAnsi="宋体" w:cs="宋体"/>
          <w:sz w:val="18"/>
          <w:szCs w:val="18"/>
        </w:rPr>
        <w:t>30%</w:t>
      </w:r>
      <w:r w:rsidRPr="000C2E93">
        <w:rPr>
          <w:rFonts w:ascii="宋体" w:eastAsia="宋体" w:hAnsi="宋体" w:cs="宋体" w:hint="eastAsia"/>
          <w:sz w:val="18"/>
          <w:szCs w:val="18"/>
        </w:rPr>
        <w:t>，各年度具体解锁比例和数量根据公司业绩指标和持有人考核结果计算确定。</w:t>
      </w:r>
    </w:p>
    <w:p w:rsidR="008D4B2E" w:rsidRPr="000C2E93" w:rsidRDefault="008D4B2E" w:rsidP="00B87081">
      <w:pPr>
        <w:ind w:firstLineChars="200" w:firstLine="360"/>
        <w:divId w:val="525408917"/>
        <w:rPr>
          <w:rFonts w:ascii="宋体" w:eastAsia="宋体" w:hAnsi="宋体" w:cs="宋体"/>
          <w:sz w:val="18"/>
          <w:szCs w:val="18"/>
        </w:rPr>
      </w:pPr>
      <w:r w:rsidRPr="000C2E93">
        <w:rPr>
          <w:rFonts w:ascii="宋体" w:eastAsia="宋体" w:hAnsi="宋体" w:cs="宋体" w:hint="eastAsia"/>
          <w:sz w:val="18"/>
          <w:szCs w:val="18"/>
        </w:rPr>
        <w:t>③</w:t>
      </w:r>
      <w:r w:rsidRPr="000C2E93">
        <w:rPr>
          <w:rFonts w:ascii="宋体" w:eastAsia="宋体" w:hAnsi="宋体" w:cs="宋体"/>
          <w:sz w:val="18"/>
          <w:szCs w:val="18"/>
        </w:rPr>
        <w:t>2021</w:t>
      </w:r>
      <w:r w:rsidRPr="000C2E93">
        <w:rPr>
          <w:rFonts w:ascii="宋体" w:eastAsia="宋体" w:hAnsi="宋体" w:cs="宋体" w:hint="eastAsia"/>
          <w:sz w:val="18"/>
          <w:szCs w:val="18"/>
        </w:rPr>
        <w:t>年</w:t>
      </w:r>
      <w:r w:rsidRPr="000C2E93">
        <w:rPr>
          <w:rFonts w:ascii="宋体" w:eastAsia="宋体" w:hAnsi="宋体" w:cs="宋体"/>
          <w:sz w:val="18"/>
          <w:szCs w:val="18"/>
        </w:rPr>
        <w:t>11</w:t>
      </w:r>
      <w:r w:rsidRPr="000C2E93">
        <w:rPr>
          <w:rFonts w:ascii="宋体" w:eastAsia="宋体" w:hAnsi="宋体" w:cs="宋体" w:hint="eastAsia"/>
          <w:sz w:val="18"/>
          <w:szCs w:val="18"/>
        </w:rPr>
        <w:t>月</w:t>
      </w:r>
      <w:r w:rsidRPr="000C2E93">
        <w:rPr>
          <w:rFonts w:ascii="宋体" w:eastAsia="宋体" w:hAnsi="宋体" w:cs="宋体"/>
          <w:sz w:val="18"/>
          <w:szCs w:val="18"/>
        </w:rPr>
        <w:t>17</w:t>
      </w:r>
      <w:r w:rsidRPr="000C2E93">
        <w:rPr>
          <w:rFonts w:ascii="宋体" w:eastAsia="宋体" w:hAnsi="宋体" w:cs="宋体" w:hint="eastAsia"/>
          <w:sz w:val="18"/>
          <w:szCs w:val="18"/>
        </w:rPr>
        <w:t>日，公司完成了</w:t>
      </w:r>
      <w:r w:rsidRPr="000C2E93">
        <w:rPr>
          <w:rFonts w:ascii="宋体" w:eastAsia="宋体" w:hAnsi="宋体" w:cs="宋体"/>
          <w:sz w:val="18"/>
          <w:szCs w:val="18"/>
        </w:rPr>
        <w:t>2021</w:t>
      </w:r>
      <w:r w:rsidRPr="000C2E93">
        <w:rPr>
          <w:rFonts w:ascii="宋体" w:eastAsia="宋体" w:hAnsi="宋体" w:cs="宋体" w:hint="eastAsia"/>
          <w:sz w:val="18"/>
          <w:szCs w:val="18"/>
        </w:rPr>
        <w:t>年限制性股票激励计划限制性股票的授予登记工作，向</w:t>
      </w:r>
      <w:r w:rsidRPr="000C2E93">
        <w:rPr>
          <w:rFonts w:ascii="宋体" w:eastAsia="宋体" w:hAnsi="宋体" w:cs="宋体"/>
          <w:sz w:val="18"/>
          <w:szCs w:val="18"/>
        </w:rPr>
        <w:t>20</w:t>
      </w:r>
      <w:r w:rsidRPr="000C2E93">
        <w:rPr>
          <w:rFonts w:ascii="宋体" w:eastAsia="宋体" w:hAnsi="宋体" w:cs="宋体" w:hint="eastAsia"/>
          <w:sz w:val="18"/>
          <w:szCs w:val="18"/>
        </w:rPr>
        <w:t>名激励对象授予</w:t>
      </w:r>
      <w:r w:rsidRPr="000C2E93">
        <w:rPr>
          <w:rFonts w:ascii="宋体" w:eastAsia="宋体" w:hAnsi="宋体" w:cs="宋体"/>
          <w:sz w:val="18"/>
          <w:szCs w:val="18"/>
        </w:rPr>
        <w:t>1,960.00</w:t>
      </w:r>
      <w:r w:rsidRPr="000C2E93">
        <w:rPr>
          <w:rFonts w:ascii="宋体" w:eastAsia="宋体" w:hAnsi="宋体" w:cs="宋体" w:hint="eastAsia"/>
          <w:sz w:val="18"/>
          <w:szCs w:val="18"/>
        </w:rPr>
        <w:t>万份限制性股票，授予价格为</w:t>
      </w:r>
      <w:r w:rsidRPr="000C2E93">
        <w:rPr>
          <w:rFonts w:ascii="宋体" w:eastAsia="宋体" w:hAnsi="宋体" w:cs="宋体"/>
          <w:sz w:val="18"/>
          <w:szCs w:val="18"/>
        </w:rPr>
        <w:t>2.55</w:t>
      </w:r>
      <w:r w:rsidRPr="000C2E93">
        <w:rPr>
          <w:rFonts w:ascii="宋体" w:eastAsia="宋体" w:hAnsi="宋体" w:cs="宋体" w:hint="eastAsia"/>
          <w:sz w:val="18"/>
          <w:szCs w:val="18"/>
        </w:rPr>
        <w:t>元</w:t>
      </w:r>
      <w:r w:rsidRPr="000C2E93">
        <w:rPr>
          <w:rFonts w:ascii="宋体" w:eastAsia="宋体" w:hAnsi="宋体" w:cs="宋体"/>
          <w:sz w:val="18"/>
          <w:szCs w:val="18"/>
        </w:rPr>
        <w:t>/</w:t>
      </w:r>
      <w:r w:rsidRPr="000C2E93">
        <w:rPr>
          <w:rFonts w:ascii="宋体" w:eastAsia="宋体" w:hAnsi="宋体" w:cs="宋体" w:hint="eastAsia"/>
          <w:sz w:val="18"/>
          <w:szCs w:val="18"/>
        </w:rPr>
        <w:t>股，授予的限制性股票于</w:t>
      </w:r>
      <w:r w:rsidRPr="000C2E93">
        <w:rPr>
          <w:rFonts w:ascii="宋体" w:eastAsia="宋体" w:hAnsi="宋体" w:cs="宋体"/>
          <w:sz w:val="18"/>
          <w:szCs w:val="18"/>
        </w:rPr>
        <w:t>2021</w:t>
      </w:r>
      <w:r w:rsidRPr="000C2E93">
        <w:rPr>
          <w:rFonts w:ascii="宋体" w:eastAsia="宋体" w:hAnsi="宋体" w:cs="宋体" w:hint="eastAsia"/>
          <w:sz w:val="18"/>
          <w:szCs w:val="18"/>
        </w:rPr>
        <w:t>年</w:t>
      </w:r>
      <w:r w:rsidRPr="000C2E93">
        <w:rPr>
          <w:rFonts w:ascii="宋体" w:eastAsia="宋体" w:hAnsi="宋体" w:cs="宋体"/>
          <w:sz w:val="18"/>
          <w:szCs w:val="18"/>
        </w:rPr>
        <w:t>11</w:t>
      </w:r>
      <w:r w:rsidRPr="000C2E93">
        <w:rPr>
          <w:rFonts w:ascii="宋体" w:eastAsia="宋体" w:hAnsi="宋体" w:cs="宋体" w:hint="eastAsia"/>
          <w:sz w:val="18"/>
          <w:szCs w:val="18"/>
        </w:rPr>
        <w:t>月</w:t>
      </w:r>
      <w:r w:rsidRPr="000C2E93">
        <w:rPr>
          <w:rFonts w:ascii="宋体" w:eastAsia="宋体" w:hAnsi="宋体" w:cs="宋体"/>
          <w:sz w:val="18"/>
          <w:szCs w:val="18"/>
        </w:rPr>
        <w:t>18</w:t>
      </w:r>
      <w:r w:rsidRPr="000C2E93">
        <w:rPr>
          <w:rFonts w:ascii="宋体" w:eastAsia="宋体" w:hAnsi="宋体" w:cs="宋体" w:hint="eastAsia"/>
          <w:sz w:val="18"/>
          <w:szCs w:val="18"/>
        </w:rPr>
        <w:t>日上市。公司全部有效的员工持股计划所持有的股票总数累计未超过公司股本总额的</w:t>
      </w:r>
      <w:r w:rsidRPr="000C2E93">
        <w:rPr>
          <w:rFonts w:ascii="宋体" w:eastAsia="宋体" w:hAnsi="宋体" w:cs="宋体"/>
          <w:sz w:val="18"/>
          <w:szCs w:val="18"/>
        </w:rPr>
        <w:t>10%</w:t>
      </w:r>
      <w:r w:rsidRPr="000C2E93">
        <w:rPr>
          <w:rFonts w:ascii="宋体" w:eastAsia="宋体" w:hAnsi="宋体" w:cs="宋体" w:hint="eastAsia"/>
          <w:sz w:val="18"/>
          <w:szCs w:val="18"/>
        </w:rPr>
        <w:t>，单个员工所获股份权益对应的股票总数累计未超过公司股本总额的</w:t>
      </w:r>
      <w:r w:rsidRPr="000C2E93">
        <w:rPr>
          <w:rFonts w:ascii="宋体" w:eastAsia="宋体" w:hAnsi="宋体" w:cs="宋体"/>
          <w:sz w:val="18"/>
          <w:szCs w:val="18"/>
        </w:rPr>
        <w:t>1%</w:t>
      </w:r>
      <w:r w:rsidRPr="000C2E93">
        <w:rPr>
          <w:rFonts w:ascii="宋体" w:eastAsia="宋体" w:hAnsi="宋体" w:cs="宋体" w:hint="eastAsia"/>
          <w:sz w:val="18"/>
          <w:szCs w:val="18"/>
        </w:rPr>
        <w:t>。</w:t>
      </w:r>
    </w:p>
    <w:p w:rsidR="008D4B2E" w:rsidRPr="000C2E93" w:rsidRDefault="008D4B2E" w:rsidP="00B87081">
      <w:pPr>
        <w:ind w:firstLineChars="200" w:firstLine="360"/>
        <w:divId w:val="525408917"/>
        <w:rPr>
          <w:rFonts w:ascii="宋体" w:eastAsia="宋体" w:hAnsi="宋体" w:cs="宋体"/>
          <w:sz w:val="18"/>
          <w:szCs w:val="18"/>
        </w:rPr>
      </w:pPr>
      <w:r w:rsidRPr="000C2E93">
        <w:rPr>
          <w:rFonts w:ascii="宋体" w:eastAsia="宋体" w:hAnsi="宋体" w:cs="宋体" w:hint="eastAsia"/>
          <w:sz w:val="18"/>
          <w:szCs w:val="18"/>
        </w:rPr>
        <w:t>④本激励计划在</w:t>
      </w:r>
      <w:r w:rsidRPr="000C2E93">
        <w:rPr>
          <w:rFonts w:ascii="宋体" w:eastAsia="宋体" w:hAnsi="宋体" w:cs="宋体"/>
          <w:sz w:val="18"/>
          <w:szCs w:val="18"/>
        </w:rPr>
        <w:t>2021</w:t>
      </w:r>
      <w:r w:rsidRPr="000C2E93">
        <w:rPr>
          <w:rFonts w:ascii="宋体" w:eastAsia="宋体" w:hAnsi="宋体" w:cs="宋体" w:hint="eastAsia"/>
          <w:sz w:val="18"/>
          <w:szCs w:val="18"/>
        </w:rPr>
        <w:t>年</w:t>
      </w:r>
      <w:r w:rsidRPr="000C2E93">
        <w:rPr>
          <w:rFonts w:ascii="宋体" w:eastAsia="宋体" w:hAnsi="宋体" w:cs="宋体"/>
          <w:sz w:val="18"/>
          <w:szCs w:val="18"/>
        </w:rPr>
        <w:t>-2023</w:t>
      </w:r>
      <w:r w:rsidRPr="000C2E93">
        <w:rPr>
          <w:rFonts w:ascii="宋体" w:eastAsia="宋体" w:hAnsi="宋体" w:cs="宋体" w:hint="eastAsia"/>
          <w:sz w:val="18"/>
          <w:szCs w:val="18"/>
        </w:rPr>
        <w:t>年会计年度中，分年度对公司的业绩指标进行考核，以达到业绩考核目标作为</w:t>
      </w:r>
      <w:r w:rsidR="000C2E93">
        <w:rPr>
          <w:rFonts w:ascii="宋体" w:eastAsia="宋体" w:hAnsi="宋体" w:cs="宋体" w:hint="eastAsia"/>
          <w:sz w:val="18"/>
          <w:szCs w:val="18"/>
        </w:rPr>
        <w:t>激励对象当年度的解除限售条件之一。本激励计划业绩考核目标如下：</w:t>
      </w:r>
    </w:p>
    <w:tbl>
      <w:tblPr>
        <w:tblW w:w="9629" w:type="dxa"/>
        <w:tblCellMar>
          <w:left w:w="0" w:type="dxa"/>
          <w:right w:w="0" w:type="dxa"/>
        </w:tblCellMar>
        <w:tblLook w:val="04A0" w:firstRow="1" w:lastRow="0" w:firstColumn="1" w:lastColumn="0" w:noHBand="0" w:noVBand="1"/>
      </w:tblPr>
      <w:tblGrid>
        <w:gridCol w:w="2039"/>
        <w:gridCol w:w="7590"/>
      </w:tblGrid>
      <w:tr w:rsidR="008D4B2E" w:rsidTr="00B87081">
        <w:trPr>
          <w:divId w:val="525408917"/>
          <w:trHeight w:val="370"/>
        </w:trPr>
        <w:tc>
          <w:tcPr>
            <w:tcW w:w="2039" w:type="dxa"/>
            <w:tcBorders>
              <w:top w:val="single" w:sz="8" w:space="0" w:color="auto"/>
              <w:left w:val="single" w:sz="8" w:space="0" w:color="auto"/>
              <w:bottom w:val="single" w:sz="8" w:space="0" w:color="auto"/>
              <w:right w:val="single" w:sz="8" w:space="0" w:color="auto"/>
            </w:tcBorders>
            <w:shd w:val="clear" w:color="auto" w:fill="D3D3D3"/>
            <w:vAlign w:val="center"/>
            <w:hideMark/>
          </w:tcPr>
          <w:p w:rsidR="008D4B2E" w:rsidRPr="00362F1D" w:rsidRDefault="008D4B2E" w:rsidP="0010486D">
            <w:pPr>
              <w:spacing w:line="240" w:lineRule="exact"/>
              <w:jc w:val="center"/>
              <w:rPr>
                <w:rFonts w:ascii="宋体" w:eastAsia="宋体" w:hAnsi="宋体" w:cs="宋体"/>
                <w:sz w:val="18"/>
                <w:szCs w:val="18"/>
              </w:rPr>
            </w:pPr>
            <w:r w:rsidRPr="00362F1D">
              <w:rPr>
                <w:rFonts w:ascii="宋体" w:eastAsia="宋体" w:hAnsi="宋体" w:cs="宋体" w:hint="eastAsia"/>
                <w:bCs/>
                <w:sz w:val="18"/>
                <w:szCs w:val="18"/>
              </w:rPr>
              <w:t>解锁期</w:t>
            </w:r>
          </w:p>
        </w:tc>
        <w:tc>
          <w:tcPr>
            <w:tcW w:w="7590" w:type="dxa"/>
            <w:tcBorders>
              <w:top w:val="single" w:sz="8" w:space="0" w:color="auto"/>
              <w:left w:val="nil"/>
              <w:bottom w:val="single" w:sz="8" w:space="0" w:color="auto"/>
              <w:right w:val="single" w:sz="8" w:space="0" w:color="auto"/>
            </w:tcBorders>
            <w:shd w:val="clear" w:color="auto" w:fill="D3D3D3"/>
            <w:vAlign w:val="center"/>
            <w:hideMark/>
          </w:tcPr>
          <w:p w:rsidR="008D4B2E" w:rsidRPr="00362F1D" w:rsidRDefault="008D4B2E" w:rsidP="0010486D">
            <w:pPr>
              <w:spacing w:line="240" w:lineRule="exact"/>
              <w:jc w:val="center"/>
              <w:rPr>
                <w:rFonts w:ascii="宋体" w:eastAsia="宋体" w:hAnsi="宋体" w:cs="宋体"/>
                <w:sz w:val="18"/>
                <w:szCs w:val="18"/>
              </w:rPr>
            </w:pPr>
            <w:r w:rsidRPr="00362F1D">
              <w:rPr>
                <w:rFonts w:ascii="宋体" w:eastAsia="宋体" w:hAnsi="宋体" w:cs="宋体" w:hint="eastAsia"/>
                <w:bCs/>
                <w:sz w:val="18"/>
                <w:szCs w:val="18"/>
              </w:rPr>
              <w:t>业绩考核目标</w:t>
            </w:r>
          </w:p>
        </w:tc>
      </w:tr>
      <w:tr w:rsidR="008D4B2E" w:rsidTr="00B87081">
        <w:trPr>
          <w:divId w:val="525408917"/>
          <w:trHeight w:val="364"/>
        </w:trPr>
        <w:tc>
          <w:tcPr>
            <w:tcW w:w="2039" w:type="dxa"/>
            <w:tcBorders>
              <w:top w:val="nil"/>
              <w:left w:val="single" w:sz="8" w:space="0" w:color="auto"/>
              <w:bottom w:val="single" w:sz="8" w:space="0" w:color="auto"/>
              <w:right w:val="single" w:sz="8" w:space="0" w:color="auto"/>
            </w:tcBorders>
            <w:vAlign w:val="center"/>
            <w:hideMark/>
          </w:tcPr>
          <w:p w:rsidR="008D4B2E" w:rsidRPr="000C2E93" w:rsidRDefault="008D4B2E" w:rsidP="00362F1D">
            <w:pPr>
              <w:spacing w:line="240" w:lineRule="exact"/>
              <w:rPr>
                <w:rFonts w:ascii="宋体" w:eastAsia="宋体" w:hAnsi="宋体" w:cs="宋体"/>
                <w:sz w:val="18"/>
                <w:szCs w:val="18"/>
              </w:rPr>
            </w:pPr>
            <w:r w:rsidRPr="000C2E93">
              <w:rPr>
                <w:rFonts w:ascii="宋体" w:eastAsia="宋体" w:hAnsi="宋体" w:cs="宋体" w:hint="eastAsia"/>
                <w:sz w:val="18"/>
                <w:szCs w:val="18"/>
              </w:rPr>
              <w:t>第一个解锁期</w:t>
            </w:r>
          </w:p>
        </w:tc>
        <w:tc>
          <w:tcPr>
            <w:tcW w:w="7590" w:type="dxa"/>
            <w:tcBorders>
              <w:top w:val="nil"/>
              <w:left w:val="nil"/>
              <w:bottom w:val="single" w:sz="8" w:space="0" w:color="auto"/>
              <w:right w:val="single" w:sz="8" w:space="0" w:color="auto"/>
            </w:tcBorders>
            <w:vAlign w:val="center"/>
            <w:hideMark/>
          </w:tcPr>
          <w:p w:rsidR="008D4B2E" w:rsidRPr="000C2E93" w:rsidRDefault="008D4B2E" w:rsidP="000C2E93">
            <w:pPr>
              <w:spacing w:line="240" w:lineRule="exact"/>
              <w:rPr>
                <w:rFonts w:ascii="宋体" w:eastAsia="宋体" w:hAnsi="宋体" w:cs="宋体"/>
                <w:sz w:val="18"/>
                <w:szCs w:val="18"/>
              </w:rPr>
            </w:pPr>
            <w:r w:rsidRPr="000C2E93">
              <w:rPr>
                <w:rFonts w:ascii="宋体" w:eastAsia="宋体" w:hAnsi="宋体" w:cs="宋体" w:hint="eastAsia"/>
                <w:sz w:val="18"/>
                <w:szCs w:val="18"/>
              </w:rPr>
              <w:t>以</w:t>
            </w:r>
            <w:r w:rsidRPr="000C2E93">
              <w:rPr>
                <w:rFonts w:ascii="宋体" w:eastAsia="宋体" w:hAnsi="宋体" w:cs="宋体"/>
                <w:sz w:val="18"/>
                <w:szCs w:val="18"/>
              </w:rPr>
              <w:t>2020</w:t>
            </w:r>
            <w:r w:rsidRPr="000C2E93">
              <w:rPr>
                <w:rFonts w:ascii="宋体" w:eastAsia="宋体" w:hAnsi="宋体" w:cs="宋体" w:hint="eastAsia"/>
                <w:sz w:val="18"/>
                <w:szCs w:val="18"/>
              </w:rPr>
              <w:t>年的净利润为基数，</w:t>
            </w:r>
            <w:r w:rsidRPr="000C2E93">
              <w:rPr>
                <w:rFonts w:ascii="宋体" w:eastAsia="宋体" w:hAnsi="宋体" w:cs="宋体"/>
                <w:sz w:val="18"/>
                <w:szCs w:val="18"/>
              </w:rPr>
              <w:t>2021</w:t>
            </w:r>
            <w:r w:rsidRPr="000C2E93">
              <w:rPr>
                <w:rFonts w:ascii="宋体" w:eastAsia="宋体" w:hAnsi="宋体" w:cs="宋体" w:hint="eastAsia"/>
                <w:sz w:val="18"/>
                <w:szCs w:val="18"/>
              </w:rPr>
              <w:t>年净利润增长率不低于</w:t>
            </w:r>
            <w:r w:rsidRPr="000C2E93">
              <w:rPr>
                <w:rFonts w:ascii="宋体" w:eastAsia="宋体" w:hAnsi="宋体" w:cs="宋体"/>
                <w:sz w:val="18"/>
                <w:szCs w:val="18"/>
              </w:rPr>
              <w:t>30%</w:t>
            </w:r>
          </w:p>
        </w:tc>
      </w:tr>
      <w:tr w:rsidR="008D4B2E" w:rsidTr="00B87081">
        <w:trPr>
          <w:divId w:val="525408917"/>
          <w:trHeight w:val="439"/>
        </w:trPr>
        <w:tc>
          <w:tcPr>
            <w:tcW w:w="2039" w:type="dxa"/>
            <w:tcBorders>
              <w:top w:val="nil"/>
              <w:left w:val="single" w:sz="8" w:space="0" w:color="auto"/>
              <w:bottom w:val="single" w:sz="8" w:space="0" w:color="auto"/>
              <w:right w:val="single" w:sz="8" w:space="0" w:color="auto"/>
            </w:tcBorders>
            <w:vAlign w:val="center"/>
            <w:hideMark/>
          </w:tcPr>
          <w:p w:rsidR="008D4B2E" w:rsidRPr="000C2E93" w:rsidRDefault="008D4B2E" w:rsidP="00362F1D">
            <w:pPr>
              <w:spacing w:line="240" w:lineRule="exact"/>
              <w:rPr>
                <w:rFonts w:ascii="宋体" w:eastAsia="宋体" w:hAnsi="宋体" w:cs="宋体"/>
                <w:sz w:val="18"/>
                <w:szCs w:val="18"/>
              </w:rPr>
            </w:pPr>
            <w:r w:rsidRPr="000C2E93">
              <w:rPr>
                <w:rFonts w:ascii="宋体" w:eastAsia="宋体" w:hAnsi="宋体" w:cs="宋体" w:hint="eastAsia"/>
                <w:sz w:val="18"/>
                <w:szCs w:val="18"/>
              </w:rPr>
              <w:t>第二个解锁期</w:t>
            </w:r>
          </w:p>
        </w:tc>
        <w:tc>
          <w:tcPr>
            <w:tcW w:w="7590" w:type="dxa"/>
            <w:tcBorders>
              <w:top w:val="nil"/>
              <w:left w:val="nil"/>
              <w:bottom w:val="single" w:sz="8" w:space="0" w:color="auto"/>
              <w:right w:val="single" w:sz="8" w:space="0" w:color="auto"/>
            </w:tcBorders>
            <w:vAlign w:val="center"/>
            <w:hideMark/>
          </w:tcPr>
          <w:p w:rsidR="008D4B2E" w:rsidRPr="000C2E93" w:rsidRDefault="008D4B2E" w:rsidP="000C2E93">
            <w:pPr>
              <w:spacing w:line="240" w:lineRule="exact"/>
              <w:rPr>
                <w:rFonts w:ascii="宋体" w:eastAsia="宋体" w:hAnsi="宋体" w:cs="宋体"/>
                <w:sz w:val="18"/>
                <w:szCs w:val="18"/>
              </w:rPr>
            </w:pPr>
            <w:r w:rsidRPr="000C2E93">
              <w:rPr>
                <w:rFonts w:ascii="宋体" w:eastAsia="宋体" w:hAnsi="宋体" w:cs="宋体" w:hint="eastAsia"/>
                <w:sz w:val="18"/>
                <w:szCs w:val="18"/>
              </w:rPr>
              <w:t>以</w:t>
            </w:r>
            <w:r w:rsidRPr="000C2E93">
              <w:rPr>
                <w:rFonts w:ascii="宋体" w:eastAsia="宋体" w:hAnsi="宋体" w:cs="宋体"/>
                <w:sz w:val="18"/>
                <w:szCs w:val="18"/>
              </w:rPr>
              <w:t>2020</w:t>
            </w:r>
            <w:r w:rsidRPr="000C2E93">
              <w:rPr>
                <w:rFonts w:ascii="宋体" w:eastAsia="宋体" w:hAnsi="宋体" w:cs="宋体" w:hint="eastAsia"/>
                <w:sz w:val="18"/>
                <w:szCs w:val="18"/>
              </w:rPr>
              <w:t>年的净利润为基数，</w:t>
            </w:r>
            <w:r w:rsidRPr="000C2E93">
              <w:rPr>
                <w:rFonts w:ascii="宋体" w:eastAsia="宋体" w:hAnsi="宋体" w:cs="宋体"/>
                <w:sz w:val="18"/>
                <w:szCs w:val="18"/>
              </w:rPr>
              <w:t>2022</w:t>
            </w:r>
            <w:r w:rsidRPr="000C2E93">
              <w:rPr>
                <w:rFonts w:ascii="宋体" w:eastAsia="宋体" w:hAnsi="宋体" w:cs="宋体" w:hint="eastAsia"/>
                <w:sz w:val="18"/>
                <w:szCs w:val="18"/>
              </w:rPr>
              <w:t>年净利润增长率不低于</w:t>
            </w:r>
            <w:r w:rsidRPr="000C2E93">
              <w:rPr>
                <w:rFonts w:ascii="宋体" w:eastAsia="宋体" w:hAnsi="宋体" w:cs="宋体"/>
                <w:sz w:val="18"/>
                <w:szCs w:val="18"/>
              </w:rPr>
              <w:t>50%</w:t>
            </w:r>
          </w:p>
        </w:tc>
      </w:tr>
      <w:tr w:rsidR="008D4B2E" w:rsidTr="00B87081">
        <w:trPr>
          <w:divId w:val="525408917"/>
          <w:trHeight w:val="416"/>
        </w:trPr>
        <w:tc>
          <w:tcPr>
            <w:tcW w:w="2039" w:type="dxa"/>
            <w:tcBorders>
              <w:top w:val="nil"/>
              <w:left w:val="single" w:sz="8" w:space="0" w:color="auto"/>
              <w:bottom w:val="single" w:sz="8" w:space="0" w:color="auto"/>
              <w:right w:val="single" w:sz="8" w:space="0" w:color="auto"/>
            </w:tcBorders>
            <w:vAlign w:val="center"/>
            <w:hideMark/>
          </w:tcPr>
          <w:p w:rsidR="008D4B2E" w:rsidRPr="000C2E93" w:rsidRDefault="008D4B2E" w:rsidP="00362F1D">
            <w:pPr>
              <w:spacing w:line="240" w:lineRule="exact"/>
              <w:rPr>
                <w:rFonts w:ascii="宋体" w:eastAsia="宋体" w:hAnsi="宋体" w:cs="宋体"/>
                <w:sz w:val="18"/>
                <w:szCs w:val="18"/>
              </w:rPr>
            </w:pPr>
            <w:r w:rsidRPr="000C2E93">
              <w:rPr>
                <w:rFonts w:ascii="宋体" w:eastAsia="宋体" w:hAnsi="宋体" w:cs="宋体" w:hint="eastAsia"/>
                <w:sz w:val="18"/>
                <w:szCs w:val="18"/>
              </w:rPr>
              <w:t>第三个解锁期</w:t>
            </w:r>
          </w:p>
        </w:tc>
        <w:tc>
          <w:tcPr>
            <w:tcW w:w="7590" w:type="dxa"/>
            <w:tcBorders>
              <w:top w:val="nil"/>
              <w:left w:val="nil"/>
              <w:bottom w:val="single" w:sz="8" w:space="0" w:color="auto"/>
              <w:right w:val="single" w:sz="8" w:space="0" w:color="auto"/>
            </w:tcBorders>
            <w:vAlign w:val="center"/>
            <w:hideMark/>
          </w:tcPr>
          <w:p w:rsidR="008D4B2E" w:rsidRPr="000C2E93" w:rsidRDefault="008D4B2E" w:rsidP="000C2E93">
            <w:pPr>
              <w:spacing w:line="240" w:lineRule="exact"/>
              <w:rPr>
                <w:rFonts w:ascii="宋体" w:eastAsia="宋体" w:hAnsi="宋体" w:cs="宋体"/>
                <w:sz w:val="18"/>
                <w:szCs w:val="18"/>
              </w:rPr>
            </w:pPr>
            <w:r w:rsidRPr="000C2E93">
              <w:rPr>
                <w:rFonts w:ascii="宋体" w:eastAsia="宋体" w:hAnsi="宋体" w:cs="宋体" w:hint="eastAsia"/>
                <w:sz w:val="18"/>
                <w:szCs w:val="18"/>
              </w:rPr>
              <w:t>以</w:t>
            </w:r>
            <w:r w:rsidRPr="000C2E93">
              <w:rPr>
                <w:rFonts w:ascii="宋体" w:eastAsia="宋体" w:hAnsi="宋体" w:cs="宋体"/>
                <w:sz w:val="18"/>
                <w:szCs w:val="18"/>
              </w:rPr>
              <w:t>2020</w:t>
            </w:r>
            <w:r w:rsidRPr="000C2E93">
              <w:rPr>
                <w:rFonts w:ascii="宋体" w:eastAsia="宋体" w:hAnsi="宋体" w:cs="宋体" w:hint="eastAsia"/>
                <w:sz w:val="18"/>
                <w:szCs w:val="18"/>
              </w:rPr>
              <w:t>年的净利润为基数，</w:t>
            </w:r>
            <w:r w:rsidRPr="000C2E93">
              <w:rPr>
                <w:rFonts w:ascii="宋体" w:eastAsia="宋体" w:hAnsi="宋体" w:cs="宋体"/>
                <w:sz w:val="18"/>
                <w:szCs w:val="18"/>
              </w:rPr>
              <w:t>2023</w:t>
            </w:r>
            <w:r w:rsidRPr="000C2E93">
              <w:rPr>
                <w:rFonts w:ascii="宋体" w:eastAsia="宋体" w:hAnsi="宋体" w:cs="宋体" w:hint="eastAsia"/>
                <w:sz w:val="18"/>
                <w:szCs w:val="18"/>
              </w:rPr>
              <w:t>年净利润增长率不低于</w:t>
            </w:r>
            <w:r w:rsidRPr="000C2E93">
              <w:rPr>
                <w:rFonts w:ascii="宋体" w:eastAsia="宋体" w:hAnsi="宋体" w:cs="宋体"/>
                <w:sz w:val="18"/>
                <w:szCs w:val="18"/>
              </w:rPr>
              <w:t>80%</w:t>
            </w:r>
          </w:p>
        </w:tc>
      </w:tr>
    </w:tbl>
    <w:p w:rsidR="008D4B2E" w:rsidRPr="000C2E93" w:rsidRDefault="008D4B2E" w:rsidP="00B87081">
      <w:pPr>
        <w:divId w:val="525408917"/>
        <w:rPr>
          <w:rFonts w:ascii="宋体" w:eastAsia="宋体" w:hAnsi="宋体" w:cs="宋体"/>
          <w:sz w:val="18"/>
          <w:szCs w:val="18"/>
        </w:rPr>
      </w:pPr>
      <w:r w:rsidRPr="000C2E93">
        <w:rPr>
          <w:rFonts w:ascii="宋体" w:eastAsia="宋体" w:hAnsi="宋体" w:cs="宋体" w:hint="eastAsia"/>
          <w:sz w:val="18"/>
          <w:szCs w:val="18"/>
        </w:rPr>
        <w:t>注：上述</w:t>
      </w:r>
      <w:r w:rsidRPr="000C2E93">
        <w:rPr>
          <w:rFonts w:ascii="宋体" w:eastAsia="宋体" w:hAnsi="宋体" w:cs="宋体"/>
          <w:sz w:val="18"/>
          <w:szCs w:val="18"/>
        </w:rPr>
        <w:t>“</w:t>
      </w:r>
      <w:r w:rsidRPr="000C2E93">
        <w:rPr>
          <w:rFonts w:ascii="宋体" w:eastAsia="宋体" w:hAnsi="宋体" w:cs="宋体" w:hint="eastAsia"/>
          <w:sz w:val="18"/>
          <w:szCs w:val="18"/>
        </w:rPr>
        <w:t>营业收入</w:t>
      </w:r>
      <w:r w:rsidRPr="000C2E93">
        <w:rPr>
          <w:rFonts w:ascii="宋体" w:eastAsia="宋体" w:hAnsi="宋体" w:cs="宋体"/>
          <w:sz w:val="18"/>
          <w:szCs w:val="18"/>
        </w:rPr>
        <w:t>”</w:t>
      </w:r>
      <w:r w:rsidRPr="000C2E93">
        <w:rPr>
          <w:rFonts w:ascii="宋体" w:eastAsia="宋体" w:hAnsi="宋体" w:cs="宋体" w:hint="eastAsia"/>
          <w:sz w:val="18"/>
          <w:szCs w:val="18"/>
        </w:rPr>
        <w:t>和</w:t>
      </w:r>
      <w:r w:rsidRPr="000C2E93">
        <w:rPr>
          <w:rFonts w:ascii="宋体" w:eastAsia="宋体" w:hAnsi="宋体" w:cs="宋体"/>
          <w:sz w:val="18"/>
          <w:szCs w:val="18"/>
        </w:rPr>
        <w:t>“</w:t>
      </w:r>
      <w:r w:rsidRPr="000C2E93">
        <w:rPr>
          <w:rFonts w:ascii="宋体" w:eastAsia="宋体" w:hAnsi="宋体" w:cs="宋体" w:hint="eastAsia"/>
          <w:sz w:val="18"/>
          <w:szCs w:val="18"/>
        </w:rPr>
        <w:t>净利润</w:t>
      </w:r>
      <w:r w:rsidRPr="000C2E93">
        <w:rPr>
          <w:rFonts w:ascii="宋体" w:eastAsia="宋体" w:hAnsi="宋体" w:cs="宋体"/>
          <w:sz w:val="18"/>
          <w:szCs w:val="18"/>
        </w:rPr>
        <w:t>”</w:t>
      </w:r>
      <w:r w:rsidRPr="000C2E93">
        <w:rPr>
          <w:rFonts w:ascii="宋体" w:eastAsia="宋体" w:hAnsi="宋体" w:cs="宋体" w:hint="eastAsia"/>
          <w:sz w:val="18"/>
          <w:szCs w:val="18"/>
        </w:rPr>
        <w:t>以经审计的金额为准，</w:t>
      </w:r>
      <w:r w:rsidRPr="000C2E93">
        <w:rPr>
          <w:rFonts w:ascii="宋体" w:eastAsia="宋体" w:hAnsi="宋体" w:cs="宋体"/>
          <w:sz w:val="18"/>
          <w:szCs w:val="18"/>
        </w:rPr>
        <w:t>“</w:t>
      </w:r>
      <w:r w:rsidRPr="000C2E93">
        <w:rPr>
          <w:rFonts w:ascii="宋体" w:eastAsia="宋体" w:hAnsi="宋体" w:cs="宋体" w:hint="eastAsia"/>
          <w:sz w:val="18"/>
          <w:szCs w:val="18"/>
        </w:rPr>
        <w:t>营业收入</w:t>
      </w:r>
      <w:r w:rsidRPr="000C2E93">
        <w:rPr>
          <w:rFonts w:ascii="宋体" w:eastAsia="宋体" w:hAnsi="宋体" w:cs="宋体"/>
          <w:sz w:val="18"/>
          <w:szCs w:val="18"/>
        </w:rPr>
        <w:t>”</w:t>
      </w:r>
      <w:r w:rsidRPr="000C2E93">
        <w:rPr>
          <w:rFonts w:ascii="宋体" w:eastAsia="宋体" w:hAnsi="宋体" w:cs="宋体" w:hint="eastAsia"/>
          <w:sz w:val="18"/>
          <w:szCs w:val="18"/>
        </w:rPr>
        <w:t>指公司合并财务报表营业总收入，</w:t>
      </w:r>
      <w:r w:rsidRPr="000C2E93">
        <w:rPr>
          <w:rFonts w:ascii="宋体" w:eastAsia="宋体" w:hAnsi="宋体" w:cs="宋体"/>
          <w:sz w:val="18"/>
          <w:szCs w:val="18"/>
        </w:rPr>
        <w:t>“</w:t>
      </w:r>
      <w:r w:rsidRPr="000C2E93">
        <w:rPr>
          <w:rFonts w:ascii="宋体" w:eastAsia="宋体" w:hAnsi="宋体" w:cs="宋体" w:hint="eastAsia"/>
          <w:sz w:val="18"/>
          <w:szCs w:val="18"/>
        </w:rPr>
        <w:t>净利润</w:t>
      </w:r>
      <w:r w:rsidRPr="000C2E93">
        <w:rPr>
          <w:rFonts w:ascii="宋体" w:eastAsia="宋体" w:hAnsi="宋体" w:cs="宋体"/>
          <w:sz w:val="18"/>
          <w:szCs w:val="18"/>
        </w:rPr>
        <w:t>”</w:t>
      </w:r>
      <w:r w:rsidRPr="000C2E93">
        <w:rPr>
          <w:rFonts w:ascii="宋体" w:eastAsia="宋体" w:hAnsi="宋体" w:cs="宋体" w:hint="eastAsia"/>
          <w:sz w:val="18"/>
          <w:szCs w:val="18"/>
        </w:rPr>
        <w:t>指公司合并财务报表归属于上市股东的净利润，且</w:t>
      </w:r>
      <w:proofErr w:type="gramStart"/>
      <w:r w:rsidRPr="000C2E93">
        <w:rPr>
          <w:rFonts w:ascii="宋体" w:eastAsia="宋体" w:hAnsi="宋体" w:cs="宋体" w:hint="eastAsia"/>
          <w:sz w:val="18"/>
          <w:szCs w:val="18"/>
        </w:rPr>
        <w:t>剔除因</w:t>
      </w:r>
      <w:proofErr w:type="gramEnd"/>
      <w:r w:rsidRPr="000C2E93">
        <w:rPr>
          <w:rFonts w:ascii="宋体" w:eastAsia="宋体" w:hAnsi="宋体" w:cs="宋体" w:hint="eastAsia"/>
          <w:sz w:val="18"/>
          <w:szCs w:val="18"/>
        </w:rPr>
        <w:t>本公司实施股权激励和员工持股计划所确认的股份支付费用对公司损益的影响数。</w:t>
      </w:r>
    </w:p>
    <w:p w:rsidR="008D4B2E" w:rsidRPr="000C2E93" w:rsidRDefault="008D4B2E" w:rsidP="00B87081">
      <w:pPr>
        <w:ind w:firstLineChars="200" w:firstLine="360"/>
        <w:divId w:val="525408917"/>
        <w:rPr>
          <w:rFonts w:ascii="宋体" w:eastAsia="宋体" w:hAnsi="宋体" w:cs="宋体"/>
          <w:sz w:val="18"/>
          <w:szCs w:val="18"/>
        </w:rPr>
      </w:pPr>
      <w:r w:rsidRPr="000C2E93">
        <w:rPr>
          <w:rFonts w:ascii="宋体" w:eastAsia="宋体" w:hAnsi="宋体" w:cs="宋体" w:hint="eastAsia"/>
          <w:sz w:val="18"/>
          <w:szCs w:val="18"/>
        </w:rPr>
        <w:t>⑤公司于</w:t>
      </w:r>
      <w:r w:rsidRPr="000C2E93">
        <w:rPr>
          <w:rFonts w:ascii="宋体" w:eastAsia="宋体" w:hAnsi="宋体" w:cs="宋体"/>
          <w:sz w:val="18"/>
          <w:szCs w:val="18"/>
        </w:rPr>
        <w:t>2023</w:t>
      </w:r>
      <w:r w:rsidRPr="000C2E93">
        <w:rPr>
          <w:rFonts w:ascii="宋体" w:eastAsia="宋体" w:hAnsi="宋体" w:cs="宋体" w:hint="eastAsia"/>
          <w:sz w:val="18"/>
          <w:szCs w:val="18"/>
        </w:rPr>
        <w:t>年</w:t>
      </w:r>
      <w:r w:rsidRPr="000C2E93">
        <w:rPr>
          <w:rFonts w:ascii="宋体" w:eastAsia="宋体" w:hAnsi="宋体" w:cs="宋体"/>
          <w:sz w:val="18"/>
          <w:szCs w:val="18"/>
        </w:rPr>
        <w:t>4</w:t>
      </w:r>
      <w:r w:rsidRPr="000C2E93">
        <w:rPr>
          <w:rFonts w:ascii="宋体" w:eastAsia="宋体" w:hAnsi="宋体" w:cs="宋体" w:hint="eastAsia"/>
          <w:sz w:val="18"/>
          <w:szCs w:val="18"/>
        </w:rPr>
        <w:t>月</w:t>
      </w:r>
      <w:r w:rsidRPr="000C2E93">
        <w:rPr>
          <w:rFonts w:ascii="宋体" w:eastAsia="宋体" w:hAnsi="宋体" w:cs="宋体"/>
          <w:sz w:val="18"/>
          <w:szCs w:val="18"/>
        </w:rPr>
        <w:t>10</w:t>
      </w:r>
      <w:r w:rsidRPr="000C2E93">
        <w:rPr>
          <w:rFonts w:ascii="宋体" w:eastAsia="宋体" w:hAnsi="宋体" w:cs="宋体" w:hint="eastAsia"/>
          <w:sz w:val="18"/>
          <w:szCs w:val="18"/>
        </w:rPr>
        <w:t>日召开第八届董事会第六次会议与第八届监事会第七次会议，并于</w:t>
      </w:r>
      <w:r w:rsidRPr="000C2E93">
        <w:rPr>
          <w:rFonts w:ascii="宋体" w:eastAsia="宋体" w:hAnsi="宋体" w:cs="宋体"/>
          <w:sz w:val="18"/>
          <w:szCs w:val="18"/>
        </w:rPr>
        <w:t>2023</w:t>
      </w:r>
      <w:r w:rsidRPr="000C2E93">
        <w:rPr>
          <w:rFonts w:ascii="宋体" w:eastAsia="宋体" w:hAnsi="宋体" w:cs="宋体" w:hint="eastAsia"/>
          <w:sz w:val="18"/>
          <w:szCs w:val="18"/>
        </w:rPr>
        <w:t>年</w:t>
      </w:r>
      <w:r w:rsidRPr="000C2E93">
        <w:rPr>
          <w:rFonts w:ascii="宋体" w:eastAsia="宋体" w:hAnsi="宋体" w:cs="宋体"/>
          <w:sz w:val="18"/>
          <w:szCs w:val="18"/>
        </w:rPr>
        <w:t>5</w:t>
      </w:r>
      <w:r w:rsidRPr="000C2E93">
        <w:rPr>
          <w:rFonts w:ascii="宋体" w:eastAsia="宋体" w:hAnsi="宋体" w:cs="宋体" w:hint="eastAsia"/>
          <w:sz w:val="18"/>
          <w:szCs w:val="18"/>
        </w:rPr>
        <w:t>月</w:t>
      </w:r>
      <w:r w:rsidRPr="000C2E93">
        <w:rPr>
          <w:rFonts w:ascii="宋体" w:eastAsia="宋体" w:hAnsi="宋体" w:cs="宋体"/>
          <w:sz w:val="18"/>
          <w:szCs w:val="18"/>
        </w:rPr>
        <w:t>8</w:t>
      </w:r>
      <w:r w:rsidRPr="000C2E93">
        <w:rPr>
          <w:rFonts w:ascii="宋体" w:eastAsia="宋体" w:hAnsi="宋体" w:cs="宋体" w:hint="eastAsia"/>
          <w:sz w:val="18"/>
          <w:szCs w:val="18"/>
        </w:rPr>
        <w:t>日召开</w:t>
      </w:r>
      <w:r w:rsidRPr="000C2E93">
        <w:rPr>
          <w:rFonts w:ascii="宋体" w:eastAsia="宋体" w:hAnsi="宋体" w:cs="宋体"/>
          <w:sz w:val="18"/>
          <w:szCs w:val="18"/>
        </w:rPr>
        <w:t>2022</w:t>
      </w:r>
      <w:r w:rsidRPr="000C2E93">
        <w:rPr>
          <w:rFonts w:ascii="宋体" w:eastAsia="宋体" w:hAnsi="宋体" w:cs="宋体" w:hint="eastAsia"/>
          <w:sz w:val="18"/>
          <w:szCs w:val="18"/>
        </w:rPr>
        <w:t>年度股东大会，审议通过了《关于注销部分股票期权和回购注销部分限制性股票的议案》。根据公司</w:t>
      </w:r>
      <w:r w:rsidRPr="000C2E93">
        <w:rPr>
          <w:rFonts w:ascii="宋体" w:eastAsia="宋体" w:hAnsi="宋体" w:cs="宋体"/>
          <w:sz w:val="18"/>
          <w:szCs w:val="18"/>
        </w:rPr>
        <w:t>2022</w:t>
      </w:r>
      <w:r w:rsidRPr="000C2E93">
        <w:rPr>
          <w:rFonts w:ascii="宋体" w:eastAsia="宋体" w:hAnsi="宋体" w:cs="宋体" w:hint="eastAsia"/>
          <w:sz w:val="18"/>
          <w:szCs w:val="18"/>
        </w:rPr>
        <w:t>年股票期权与限制性股票激励计划的相关规定，因</w:t>
      </w:r>
      <w:r w:rsidRPr="000C2E93">
        <w:rPr>
          <w:rFonts w:ascii="宋体" w:eastAsia="宋体" w:hAnsi="宋体" w:cs="宋体"/>
          <w:sz w:val="18"/>
          <w:szCs w:val="18"/>
        </w:rPr>
        <w:t>1</w:t>
      </w:r>
      <w:r w:rsidRPr="000C2E93">
        <w:rPr>
          <w:rFonts w:ascii="宋体" w:eastAsia="宋体" w:hAnsi="宋体" w:cs="宋体" w:hint="eastAsia"/>
          <w:sz w:val="18"/>
          <w:szCs w:val="18"/>
        </w:rPr>
        <w:t>名激励对象离职，公司同意对其</w:t>
      </w:r>
      <w:proofErr w:type="gramStart"/>
      <w:r w:rsidRPr="000C2E93">
        <w:rPr>
          <w:rFonts w:ascii="宋体" w:eastAsia="宋体" w:hAnsi="宋体" w:cs="宋体" w:hint="eastAsia"/>
          <w:sz w:val="18"/>
          <w:szCs w:val="18"/>
        </w:rPr>
        <w:t>已获授但尚未</w:t>
      </w:r>
      <w:proofErr w:type="gramEnd"/>
      <w:r w:rsidRPr="000C2E93">
        <w:rPr>
          <w:rFonts w:ascii="宋体" w:eastAsia="宋体" w:hAnsi="宋体" w:cs="宋体" w:hint="eastAsia"/>
          <w:sz w:val="18"/>
          <w:szCs w:val="18"/>
        </w:rPr>
        <w:t>解除限售的限制性股票合计</w:t>
      </w:r>
      <w:r w:rsidRPr="000C2E93">
        <w:rPr>
          <w:rFonts w:ascii="宋体" w:eastAsia="宋体" w:hAnsi="宋体" w:cs="宋体"/>
          <w:sz w:val="18"/>
          <w:szCs w:val="18"/>
        </w:rPr>
        <w:t>10,000</w:t>
      </w:r>
      <w:r w:rsidRPr="000C2E93">
        <w:rPr>
          <w:rFonts w:ascii="宋体" w:eastAsia="宋体" w:hAnsi="宋体" w:cs="宋体" w:hint="eastAsia"/>
          <w:sz w:val="18"/>
          <w:szCs w:val="18"/>
        </w:rPr>
        <w:t>股予以回购注销。</w:t>
      </w:r>
    </w:p>
    <w:p w:rsidR="008D4B2E" w:rsidRDefault="008D4B2E">
      <w:pPr>
        <w:pStyle w:val="a3"/>
        <w:spacing w:before="0" w:beforeAutospacing="0" w:after="0" w:afterAutospacing="0" w:line="400" w:lineRule="atLeast"/>
        <w:ind w:left="482"/>
        <w:jc w:val="both"/>
        <w:divId w:val="525408917"/>
        <w:rPr>
          <w:rFonts w:ascii="Arial" w:hAnsi="Arial" w:cs="Arial"/>
          <w:sz w:val="20"/>
          <w:szCs w:val="20"/>
        </w:rPr>
      </w:pPr>
      <w:r>
        <w:rPr>
          <w:rStyle w:val="a4"/>
          <w:rFonts w:cs="Arial" w:hint="eastAsia"/>
          <w:sz w:val="20"/>
          <w:szCs w:val="20"/>
        </w:rPr>
        <w:t>（</w:t>
      </w:r>
      <w:r>
        <w:rPr>
          <w:rStyle w:val="a4"/>
          <w:rFonts w:ascii="Arial" w:hAnsi="Arial" w:cs="Arial"/>
          <w:sz w:val="20"/>
          <w:szCs w:val="20"/>
        </w:rPr>
        <w:t>3</w:t>
      </w:r>
      <w:r>
        <w:rPr>
          <w:rStyle w:val="a4"/>
          <w:rFonts w:cs="Arial" w:hint="eastAsia"/>
          <w:sz w:val="20"/>
          <w:szCs w:val="20"/>
        </w:rPr>
        <w:t>）</w:t>
      </w:r>
      <w:r>
        <w:rPr>
          <w:rStyle w:val="a4"/>
          <w:rFonts w:ascii="Arial" w:hAnsi="Arial" w:cs="Arial"/>
          <w:sz w:val="20"/>
          <w:szCs w:val="20"/>
        </w:rPr>
        <w:t>2022</w:t>
      </w:r>
      <w:r>
        <w:rPr>
          <w:rStyle w:val="a4"/>
          <w:rFonts w:cs="Arial" w:hint="eastAsia"/>
          <w:sz w:val="20"/>
          <w:szCs w:val="20"/>
        </w:rPr>
        <w:t>年期</w:t>
      </w:r>
      <w:r>
        <w:rPr>
          <w:rStyle w:val="a4"/>
          <w:rFonts w:ascii="Arial" w:hAnsi="Arial" w:cs="Arial"/>
          <w:sz w:val="20"/>
          <w:szCs w:val="20"/>
        </w:rPr>
        <w:t>-</w:t>
      </w:r>
      <w:r>
        <w:rPr>
          <w:rStyle w:val="a4"/>
          <w:rFonts w:cs="Arial" w:hint="eastAsia"/>
          <w:sz w:val="20"/>
          <w:szCs w:val="20"/>
        </w:rPr>
        <w:t>股票期权</w:t>
      </w:r>
    </w:p>
    <w:tbl>
      <w:tblPr>
        <w:tblW w:w="9629" w:type="dxa"/>
        <w:tblCellMar>
          <w:left w:w="0" w:type="dxa"/>
          <w:right w:w="0" w:type="dxa"/>
        </w:tblCellMar>
        <w:tblLook w:val="04A0" w:firstRow="1" w:lastRow="0" w:firstColumn="1" w:lastColumn="0" w:noHBand="0" w:noVBand="1"/>
      </w:tblPr>
      <w:tblGrid>
        <w:gridCol w:w="3936"/>
        <w:gridCol w:w="5693"/>
      </w:tblGrid>
      <w:tr w:rsidR="008D4B2E" w:rsidTr="00B87081">
        <w:trPr>
          <w:divId w:val="525408917"/>
          <w:trHeight w:val="380"/>
          <w:tblHeader/>
        </w:trPr>
        <w:tc>
          <w:tcPr>
            <w:tcW w:w="3936"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8D4B2E" w:rsidRPr="00362F1D" w:rsidRDefault="008D4B2E" w:rsidP="000C2E93">
            <w:pPr>
              <w:spacing w:line="240" w:lineRule="exact"/>
              <w:jc w:val="center"/>
              <w:rPr>
                <w:rFonts w:ascii="宋体" w:eastAsia="宋体" w:hAnsi="宋体" w:cs="宋体"/>
                <w:bCs/>
                <w:sz w:val="18"/>
                <w:szCs w:val="18"/>
              </w:rPr>
            </w:pPr>
            <w:r w:rsidRPr="00362F1D">
              <w:rPr>
                <w:rFonts w:ascii="宋体" w:eastAsia="宋体" w:hAnsi="宋体" w:cs="宋体" w:hint="eastAsia"/>
                <w:bCs/>
                <w:sz w:val="18"/>
                <w:szCs w:val="18"/>
              </w:rPr>
              <w:t>项目</w:t>
            </w:r>
          </w:p>
        </w:tc>
        <w:tc>
          <w:tcPr>
            <w:tcW w:w="5693" w:type="dxa"/>
            <w:tcBorders>
              <w:top w:val="single" w:sz="8" w:space="0" w:color="auto"/>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rsidR="008D4B2E" w:rsidRPr="00362F1D" w:rsidRDefault="008D4B2E" w:rsidP="000C2E93">
            <w:pPr>
              <w:spacing w:line="240" w:lineRule="exact"/>
              <w:jc w:val="center"/>
              <w:rPr>
                <w:rFonts w:ascii="宋体" w:eastAsia="宋体" w:hAnsi="宋体" w:cs="宋体"/>
                <w:bCs/>
                <w:sz w:val="18"/>
                <w:szCs w:val="18"/>
              </w:rPr>
            </w:pPr>
            <w:r w:rsidRPr="00362F1D">
              <w:rPr>
                <w:rFonts w:ascii="宋体" w:eastAsia="宋体" w:hAnsi="宋体" w:cs="宋体" w:hint="eastAsia"/>
                <w:bCs/>
                <w:sz w:val="18"/>
                <w:szCs w:val="18"/>
              </w:rPr>
              <w:t>相关内容</w:t>
            </w:r>
          </w:p>
        </w:tc>
      </w:tr>
      <w:tr w:rsidR="008D4B2E" w:rsidTr="00B87081">
        <w:trPr>
          <w:divId w:val="525408917"/>
          <w:trHeight w:val="360"/>
        </w:trPr>
        <w:tc>
          <w:tcPr>
            <w:tcW w:w="39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4B2E" w:rsidRPr="000C2E93" w:rsidRDefault="008D4B2E" w:rsidP="000C2E93">
            <w:pPr>
              <w:spacing w:line="240" w:lineRule="exact"/>
              <w:rPr>
                <w:rFonts w:ascii="宋体" w:eastAsia="宋体" w:hAnsi="宋体" w:cs="宋体"/>
                <w:sz w:val="18"/>
                <w:szCs w:val="18"/>
              </w:rPr>
            </w:pPr>
            <w:r w:rsidRPr="000C2E93">
              <w:rPr>
                <w:rFonts w:ascii="宋体" w:eastAsia="宋体" w:hAnsi="宋体" w:cs="宋体" w:hint="eastAsia"/>
                <w:sz w:val="18"/>
                <w:szCs w:val="18"/>
              </w:rPr>
              <w:t>公司本期授予的各项权益工具总额</w:t>
            </w:r>
          </w:p>
        </w:tc>
        <w:tc>
          <w:tcPr>
            <w:tcW w:w="5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0C2E93" w:rsidRDefault="008D4B2E" w:rsidP="000C2E93">
            <w:pPr>
              <w:spacing w:line="240" w:lineRule="exact"/>
              <w:rPr>
                <w:rFonts w:ascii="宋体" w:eastAsia="宋体" w:hAnsi="宋体" w:cs="宋体"/>
                <w:sz w:val="18"/>
                <w:szCs w:val="18"/>
              </w:rPr>
            </w:pPr>
            <w:r w:rsidRPr="000C2E93">
              <w:rPr>
                <w:rFonts w:ascii="宋体" w:eastAsia="宋体" w:hAnsi="宋体" w:cs="宋体"/>
                <w:sz w:val="18"/>
                <w:szCs w:val="18"/>
              </w:rPr>
              <w:t> </w:t>
            </w:r>
          </w:p>
        </w:tc>
      </w:tr>
      <w:tr w:rsidR="008D4B2E" w:rsidTr="00B87081">
        <w:trPr>
          <w:divId w:val="525408917"/>
          <w:trHeight w:val="360"/>
        </w:trPr>
        <w:tc>
          <w:tcPr>
            <w:tcW w:w="39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4B2E" w:rsidRPr="000C2E93" w:rsidRDefault="008D4B2E" w:rsidP="000C2E93">
            <w:pPr>
              <w:spacing w:line="240" w:lineRule="exact"/>
              <w:rPr>
                <w:rFonts w:ascii="宋体" w:eastAsia="宋体" w:hAnsi="宋体" w:cs="宋体"/>
                <w:sz w:val="18"/>
                <w:szCs w:val="18"/>
              </w:rPr>
            </w:pPr>
            <w:r w:rsidRPr="000C2E93">
              <w:rPr>
                <w:rFonts w:ascii="宋体" w:eastAsia="宋体" w:hAnsi="宋体" w:cs="宋体" w:hint="eastAsia"/>
                <w:sz w:val="18"/>
                <w:szCs w:val="18"/>
              </w:rPr>
              <w:t>公司本期行权的各项权益工具总额</w:t>
            </w:r>
            <w:r w:rsidR="00C75946">
              <w:rPr>
                <w:rFonts w:ascii="宋体" w:eastAsia="宋体" w:hAnsi="宋体" w:cs="宋体" w:hint="eastAsia"/>
                <w:sz w:val="18"/>
                <w:szCs w:val="18"/>
              </w:rPr>
              <w:t>（元）</w:t>
            </w:r>
          </w:p>
        </w:tc>
        <w:tc>
          <w:tcPr>
            <w:tcW w:w="5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0C2E93" w:rsidRDefault="008D4B2E" w:rsidP="000C2E93">
            <w:pPr>
              <w:spacing w:line="240" w:lineRule="exact"/>
              <w:jc w:val="right"/>
              <w:rPr>
                <w:rFonts w:ascii="宋体" w:eastAsia="宋体" w:hAnsi="宋体" w:cs="宋体"/>
                <w:sz w:val="18"/>
                <w:szCs w:val="18"/>
              </w:rPr>
            </w:pPr>
            <w:r w:rsidRPr="000C2E93">
              <w:rPr>
                <w:rFonts w:ascii="宋体" w:eastAsia="宋体" w:hAnsi="宋体" w:cs="宋体"/>
                <w:sz w:val="18"/>
                <w:szCs w:val="18"/>
              </w:rPr>
              <w:t>41,890,003.62</w:t>
            </w:r>
          </w:p>
        </w:tc>
      </w:tr>
      <w:tr w:rsidR="008D4B2E" w:rsidTr="00B87081">
        <w:trPr>
          <w:divId w:val="525408917"/>
          <w:trHeight w:val="360"/>
        </w:trPr>
        <w:tc>
          <w:tcPr>
            <w:tcW w:w="39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4B2E" w:rsidRPr="000C2E93" w:rsidRDefault="008D4B2E" w:rsidP="000C2E93">
            <w:pPr>
              <w:spacing w:line="240" w:lineRule="exact"/>
              <w:rPr>
                <w:rFonts w:ascii="宋体" w:eastAsia="宋体" w:hAnsi="宋体" w:cs="宋体"/>
                <w:sz w:val="18"/>
                <w:szCs w:val="18"/>
              </w:rPr>
            </w:pPr>
            <w:r w:rsidRPr="000C2E93">
              <w:rPr>
                <w:rFonts w:ascii="宋体" w:eastAsia="宋体" w:hAnsi="宋体" w:cs="宋体" w:hint="eastAsia"/>
                <w:sz w:val="18"/>
                <w:szCs w:val="18"/>
              </w:rPr>
              <w:t>公司本期失效的各项权益工具总额</w:t>
            </w:r>
          </w:p>
        </w:tc>
        <w:tc>
          <w:tcPr>
            <w:tcW w:w="5693" w:type="dxa"/>
            <w:tcBorders>
              <w:top w:val="nil"/>
              <w:left w:val="nil"/>
              <w:bottom w:val="single" w:sz="8" w:space="0" w:color="auto"/>
              <w:right w:val="single" w:sz="8" w:space="0" w:color="auto"/>
            </w:tcBorders>
            <w:tcMar>
              <w:top w:w="0" w:type="dxa"/>
              <w:left w:w="108" w:type="dxa"/>
              <w:bottom w:w="0" w:type="dxa"/>
              <w:right w:w="108" w:type="dxa"/>
            </w:tcMar>
            <w:hideMark/>
          </w:tcPr>
          <w:p w:rsidR="008D4B2E" w:rsidRPr="000C2E93" w:rsidRDefault="008D4B2E" w:rsidP="000C2E93">
            <w:pPr>
              <w:spacing w:line="240" w:lineRule="exact"/>
              <w:rPr>
                <w:rFonts w:ascii="宋体" w:eastAsia="宋体" w:hAnsi="宋体" w:cs="宋体"/>
                <w:sz w:val="18"/>
                <w:szCs w:val="18"/>
              </w:rPr>
            </w:pPr>
            <w:r w:rsidRPr="000C2E93">
              <w:rPr>
                <w:rFonts w:ascii="宋体" w:eastAsia="宋体" w:hAnsi="宋体" w:cs="宋体"/>
                <w:sz w:val="18"/>
                <w:szCs w:val="18"/>
              </w:rPr>
              <w:t> </w:t>
            </w:r>
          </w:p>
        </w:tc>
      </w:tr>
      <w:tr w:rsidR="008D4B2E" w:rsidTr="00B87081">
        <w:trPr>
          <w:divId w:val="525408917"/>
          <w:trHeight w:val="510"/>
        </w:trPr>
        <w:tc>
          <w:tcPr>
            <w:tcW w:w="39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4B2E" w:rsidRPr="000C2E93" w:rsidRDefault="008D4B2E" w:rsidP="000C2E93">
            <w:pPr>
              <w:spacing w:line="240" w:lineRule="exact"/>
              <w:rPr>
                <w:rFonts w:ascii="宋体" w:eastAsia="宋体" w:hAnsi="宋体" w:cs="宋体"/>
                <w:sz w:val="18"/>
                <w:szCs w:val="18"/>
              </w:rPr>
            </w:pPr>
            <w:r w:rsidRPr="000C2E93">
              <w:rPr>
                <w:rFonts w:ascii="宋体" w:eastAsia="宋体" w:hAnsi="宋体" w:cs="宋体" w:hint="eastAsia"/>
                <w:sz w:val="18"/>
                <w:szCs w:val="18"/>
              </w:rPr>
              <w:t>公司期末发行在外的股份期权行权价格的范围和合同剩余期限</w:t>
            </w:r>
          </w:p>
        </w:tc>
        <w:tc>
          <w:tcPr>
            <w:tcW w:w="5693" w:type="dxa"/>
            <w:tcBorders>
              <w:top w:val="nil"/>
              <w:left w:val="nil"/>
              <w:bottom w:val="single" w:sz="8" w:space="0" w:color="auto"/>
              <w:right w:val="single" w:sz="8" w:space="0" w:color="auto"/>
            </w:tcBorders>
            <w:tcMar>
              <w:top w:w="0" w:type="dxa"/>
              <w:left w:w="108" w:type="dxa"/>
              <w:bottom w:w="0" w:type="dxa"/>
              <w:right w:w="108" w:type="dxa"/>
            </w:tcMar>
            <w:hideMark/>
          </w:tcPr>
          <w:p w:rsidR="008D4B2E" w:rsidRPr="000C2E93" w:rsidRDefault="008D4B2E" w:rsidP="000C2E93">
            <w:pPr>
              <w:spacing w:line="240" w:lineRule="exact"/>
              <w:rPr>
                <w:rFonts w:ascii="宋体" w:eastAsia="宋体" w:hAnsi="宋体" w:cs="宋体"/>
                <w:sz w:val="18"/>
                <w:szCs w:val="18"/>
              </w:rPr>
            </w:pPr>
            <w:r w:rsidRPr="000C2E93">
              <w:rPr>
                <w:rFonts w:ascii="宋体" w:eastAsia="宋体" w:hAnsi="宋体" w:cs="宋体"/>
                <w:sz w:val="18"/>
                <w:szCs w:val="18"/>
              </w:rPr>
              <w:t> </w:t>
            </w:r>
          </w:p>
        </w:tc>
      </w:tr>
      <w:tr w:rsidR="008D4B2E" w:rsidTr="00B87081">
        <w:trPr>
          <w:divId w:val="525408917"/>
          <w:trHeight w:val="495"/>
        </w:trPr>
        <w:tc>
          <w:tcPr>
            <w:tcW w:w="39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4B2E" w:rsidRPr="000C2E93" w:rsidRDefault="008D4B2E" w:rsidP="000C2E93">
            <w:pPr>
              <w:spacing w:line="240" w:lineRule="exact"/>
              <w:rPr>
                <w:rFonts w:ascii="宋体" w:eastAsia="宋体" w:hAnsi="宋体" w:cs="宋体"/>
                <w:sz w:val="18"/>
                <w:szCs w:val="18"/>
              </w:rPr>
            </w:pPr>
            <w:r w:rsidRPr="000C2E93">
              <w:rPr>
                <w:rFonts w:ascii="宋体" w:eastAsia="宋体" w:hAnsi="宋体" w:cs="宋体" w:hint="eastAsia"/>
                <w:sz w:val="18"/>
                <w:szCs w:val="18"/>
              </w:rPr>
              <w:t>公司期末其他权益工具行权价格的范围和合同剩余期限</w:t>
            </w:r>
          </w:p>
        </w:tc>
        <w:tc>
          <w:tcPr>
            <w:tcW w:w="5693" w:type="dxa"/>
            <w:tcBorders>
              <w:top w:val="nil"/>
              <w:left w:val="nil"/>
              <w:bottom w:val="single" w:sz="8" w:space="0" w:color="auto"/>
              <w:right w:val="single" w:sz="8" w:space="0" w:color="auto"/>
            </w:tcBorders>
            <w:tcMar>
              <w:top w:w="0" w:type="dxa"/>
              <w:left w:w="108" w:type="dxa"/>
              <w:bottom w:w="0" w:type="dxa"/>
              <w:right w:w="108" w:type="dxa"/>
            </w:tcMar>
            <w:hideMark/>
          </w:tcPr>
          <w:p w:rsidR="008D4B2E" w:rsidRPr="000C2E93" w:rsidRDefault="008D4B2E" w:rsidP="000C2E93">
            <w:pPr>
              <w:spacing w:line="240" w:lineRule="exact"/>
              <w:rPr>
                <w:rFonts w:ascii="宋体" w:eastAsia="宋体" w:hAnsi="宋体" w:cs="宋体"/>
                <w:sz w:val="18"/>
                <w:szCs w:val="18"/>
              </w:rPr>
            </w:pPr>
            <w:r w:rsidRPr="000C2E93">
              <w:rPr>
                <w:rFonts w:ascii="宋体" w:eastAsia="宋体" w:hAnsi="宋体" w:cs="宋体" w:hint="eastAsia"/>
                <w:sz w:val="18"/>
                <w:szCs w:val="18"/>
              </w:rPr>
              <w:t>股票期权行权价格为</w:t>
            </w:r>
            <w:r w:rsidRPr="000C2E93">
              <w:rPr>
                <w:rFonts w:ascii="宋体" w:eastAsia="宋体" w:hAnsi="宋体" w:cs="宋体"/>
                <w:sz w:val="18"/>
                <w:szCs w:val="18"/>
              </w:rPr>
              <w:t>6.17</w:t>
            </w:r>
            <w:r w:rsidRPr="000C2E93">
              <w:rPr>
                <w:rFonts w:ascii="宋体" w:eastAsia="宋体" w:hAnsi="宋体" w:cs="宋体" w:hint="eastAsia"/>
                <w:sz w:val="18"/>
                <w:szCs w:val="18"/>
              </w:rPr>
              <w:t>元</w:t>
            </w:r>
            <w:r w:rsidRPr="000C2E93">
              <w:rPr>
                <w:rFonts w:ascii="宋体" w:eastAsia="宋体" w:hAnsi="宋体" w:cs="宋体"/>
                <w:sz w:val="18"/>
                <w:szCs w:val="18"/>
              </w:rPr>
              <w:t>/</w:t>
            </w:r>
            <w:r w:rsidRPr="000C2E93">
              <w:rPr>
                <w:rFonts w:ascii="宋体" w:eastAsia="宋体" w:hAnsi="宋体" w:cs="宋体" w:hint="eastAsia"/>
                <w:sz w:val="18"/>
                <w:szCs w:val="18"/>
              </w:rPr>
              <w:t>股；股票期权激励计划的有效期为自股票期权授权之日起至激励</w:t>
            </w:r>
            <w:proofErr w:type="gramStart"/>
            <w:r w:rsidRPr="000C2E93">
              <w:rPr>
                <w:rFonts w:ascii="宋体" w:eastAsia="宋体" w:hAnsi="宋体" w:cs="宋体" w:hint="eastAsia"/>
                <w:sz w:val="18"/>
                <w:szCs w:val="18"/>
              </w:rPr>
              <w:t>对象获</w:t>
            </w:r>
            <w:proofErr w:type="gramEnd"/>
            <w:r w:rsidRPr="000C2E93">
              <w:rPr>
                <w:rFonts w:ascii="宋体" w:eastAsia="宋体" w:hAnsi="宋体" w:cs="宋体" w:hint="eastAsia"/>
                <w:sz w:val="18"/>
                <w:szCs w:val="18"/>
              </w:rPr>
              <w:t>授的股票期权全部行权或注销完毕之日止，最长不超过</w:t>
            </w:r>
            <w:r w:rsidRPr="000C2E93">
              <w:rPr>
                <w:rFonts w:ascii="宋体" w:eastAsia="宋体" w:hAnsi="宋体" w:cs="宋体"/>
                <w:sz w:val="18"/>
                <w:szCs w:val="18"/>
              </w:rPr>
              <w:t>48</w:t>
            </w:r>
            <w:r w:rsidRPr="000C2E93">
              <w:rPr>
                <w:rFonts w:ascii="宋体" w:eastAsia="宋体" w:hAnsi="宋体" w:cs="宋体" w:hint="eastAsia"/>
                <w:sz w:val="18"/>
                <w:szCs w:val="18"/>
              </w:rPr>
              <w:t>个月。</w:t>
            </w:r>
          </w:p>
        </w:tc>
      </w:tr>
    </w:tbl>
    <w:p w:rsidR="008D4B2E" w:rsidRPr="000C2E93" w:rsidRDefault="008D4B2E" w:rsidP="00B87081">
      <w:pPr>
        <w:ind w:firstLineChars="200" w:firstLine="360"/>
        <w:divId w:val="525408917"/>
        <w:rPr>
          <w:rFonts w:ascii="宋体" w:eastAsia="宋体" w:hAnsi="宋体" w:cs="宋体"/>
          <w:sz w:val="18"/>
          <w:szCs w:val="18"/>
        </w:rPr>
      </w:pPr>
      <w:r w:rsidRPr="000C2E93">
        <w:rPr>
          <w:rFonts w:ascii="宋体" w:eastAsia="宋体" w:hAnsi="宋体" w:cs="宋体" w:hint="eastAsia"/>
          <w:sz w:val="18"/>
          <w:szCs w:val="18"/>
        </w:rPr>
        <w:t>①</w:t>
      </w:r>
      <w:bookmarkStart w:id="398" w:name="_Hlk131835593"/>
      <w:bookmarkStart w:id="399" w:name="_Hlk131836475"/>
      <w:bookmarkEnd w:id="398"/>
      <w:bookmarkEnd w:id="399"/>
      <w:r w:rsidRPr="000C2E93">
        <w:rPr>
          <w:rFonts w:ascii="宋体" w:eastAsia="宋体" w:hAnsi="宋体" w:cs="宋体" w:hint="eastAsia"/>
          <w:sz w:val="18"/>
          <w:szCs w:val="18"/>
        </w:rPr>
        <w:t>公司于</w:t>
      </w:r>
      <w:r w:rsidRPr="000C2E93">
        <w:rPr>
          <w:rFonts w:ascii="宋体" w:eastAsia="宋体" w:hAnsi="宋体" w:cs="宋体"/>
          <w:sz w:val="18"/>
          <w:szCs w:val="18"/>
        </w:rPr>
        <w:t>2022</w:t>
      </w:r>
      <w:r w:rsidRPr="000C2E93">
        <w:rPr>
          <w:rFonts w:ascii="宋体" w:eastAsia="宋体" w:hAnsi="宋体" w:cs="宋体" w:hint="eastAsia"/>
          <w:sz w:val="18"/>
          <w:szCs w:val="18"/>
        </w:rPr>
        <w:t>年</w:t>
      </w:r>
      <w:r w:rsidRPr="000C2E93">
        <w:rPr>
          <w:rFonts w:ascii="宋体" w:eastAsia="宋体" w:hAnsi="宋体" w:cs="宋体"/>
          <w:sz w:val="18"/>
          <w:szCs w:val="18"/>
        </w:rPr>
        <w:t>8</w:t>
      </w:r>
      <w:r w:rsidRPr="000C2E93">
        <w:rPr>
          <w:rFonts w:ascii="宋体" w:eastAsia="宋体" w:hAnsi="宋体" w:cs="宋体" w:hint="eastAsia"/>
          <w:sz w:val="18"/>
          <w:szCs w:val="18"/>
        </w:rPr>
        <w:t>月</w:t>
      </w:r>
      <w:r w:rsidRPr="000C2E93">
        <w:rPr>
          <w:rFonts w:ascii="宋体" w:eastAsia="宋体" w:hAnsi="宋体" w:cs="宋体"/>
          <w:sz w:val="18"/>
          <w:szCs w:val="18"/>
        </w:rPr>
        <w:t>22</w:t>
      </w:r>
      <w:r w:rsidRPr="000C2E93">
        <w:rPr>
          <w:rFonts w:ascii="宋体" w:eastAsia="宋体" w:hAnsi="宋体" w:cs="宋体" w:hint="eastAsia"/>
          <w:sz w:val="18"/>
          <w:szCs w:val="18"/>
        </w:rPr>
        <w:t>日召开</w:t>
      </w:r>
      <w:r w:rsidRPr="000C2E93">
        <w:rPr>
          <w:rFonts w:ascii="宋体" w:eastAsia="宋体" w:hAnsi="宋体" w:cs="宋体"/>
          <w:sz w:val="18"/>
          <w:szCs w:val="18"/>
        </w:rPr>
        <w:t>2022</w:t>
      </w:r>
      <w:r w:rsidRPr="000C2E93">
        <w:rPr>
          <w:rFonts w:ascii="宋体" w:eastAsia="宋体" w:hAnsi="宋体" w:cs="宋体" w:hint="eastAsia"/>
          <w:sz w:val="18"/>
          <w:szCs w:val="18"/>
        </w:rPr>
        <w:t>年第一次临时股东大会审议通过了《关于</w:t>
      </w:r>
      <w:r w:rsidRPr="000C2E93">
        <w:rPr>
          <w:rFonts w:ascii="宋体" w:eastAsia="宋体" w:hAnsi="宋体" w:cs="宋体"/>
          <w:sz w:val="18"/>
          <w:szCs w:val="18"/>
        </w:rPr>
        <w:t>〈</w:t>
      </w:r>
      <w:r w:rsidRPr="000C2E93">
        <w:rPr>
          <w:rFonts w:ascii="宋体" w:eastAsia="宋体" w:hAnsi="宋体" w:cs="宋体" w:hint="eastAsia"/>
          <w:sz w:val="18"/>
          <w:szCs w:val="18"/>
        </w:rPr>
        <w:t>软控股份有限公司</w:t>
      </w:r>
      <w:r w:rsidRPr="000C2E93">
        <w:rPr>
          <w:rFonts w:ascii="宋体" w:eastAsia="宋体" w:hAnsi="宋体" w:cs="宋体"/>
          <w:sz w:val="18"/>
          <w:szCs w:val="18"/>
        </w:rPr>
        <w:t>2022</w:t>
      </w:r>
      <w:r w:rsidRPr="000C2E93">
        <w:rPr>
          <w:rFonts w:ascii="宋体" w:eastAsia="宋体" w:hAnsi="宋体" w:cs="宋体" w:hint="eastAsia"/>
          <w:sz w:val="18"/>
          <w:szCs w:val="18"/>
        </w:rPr>
        <w:t>年股票期权与限制性股票激励计划（草案）</w:t>
      </w:r>
      <w:r w:rsidRPr="000C2E93">
        <w:rPr>
          <w:rFonts w:ascii="宋体" w:eastAsia="宋体" w:hAnsi="宋体" w:cs="宋体"/>
          <w:sz w:val="18"/>
          <w:szCs w:val="18"/>
        </w:rPr>
        <w:t>〉</w:t>
      </w:r>
      <w:r w:rsidRPr="000C2E93">
        <w:rPr>
          <w:rFonts w:ascii="宋体" w:eastAsia="宋体" w:hAnsi="宋体" w:cs="宋体" w:hint="eastAsia"/>
          <w:sz w:val="18"/>
          <w:szCs w:val="18"/>
        </w:rPr>
        <w:t>及其摘要的议案》、《关于</w:t>
      </w:r>
      <w:r w:rsidRPr="000C2E93">
        <w:rPr>
          <w:rFonts w:ascii="宋体" w:eastAsia="宋体" w:hAnsi="宋体" w:cs="宋体"/>
          <w:sz w:val="18"/>
          <w:szCs w:val="18"/>
        </w:rPr>
        <w:t>〈</w:t>
      </w:r>
      <w:r w:rsidRPr="000C2E93">
        <w:rPr>
          <w:rFonts w:ascii="宋体" w:eastAsia="宋体" w:hAnsi="宋体" w:cs="宋体" w:hint="eastAsia"/>
          <w:sz w:val="18"/>
          <w:szCs w:val="18"/>
        </w:rPr>
        <w:t>软控股份有限公司</w:t>
      </w:r>
      <w:r w:rsidRPr="000C2E93">
        <w:rPr>
          <w:rFonts w:ascii="宋体" w:eastAsia="宋体" w:hAnsi="宋体" w:cs="宋体"/>
          <w:sz w:val="18"/>
          <w:szCs w:val="18"/>
        </w:rPr>
        <w:t>2022</w:t>
      </w:r>
      <w:r w:rsidRPr="000C2E93">
        <w:rPr>
          <w:rFonts w:ascii="宋体" w:eastAsia="宋体" w:hAnsi="宋体" w:cs="宋体" w:hint="eastAsia"/>
          <w:sz w:val="18"/>
          <w:szCs w:val="18"/>
        </w:rPr>
        <w:t>年股票期权与限制性股票激励计划实施考核管理办法</w:t>
      </w:r>
      <w:r w:rsidRPr="000C2E93">
        <w:rPr>
          <w:rFonts w:ascii="宋体" w:eastAsia="宋体" w:hAnsi="宋体" w:cs="宋体"/>
          <w:sz w:val="18"/>
          <w:szCs w:val="18"/>
        </w:rPr>
        <w:t>〉</w:t>
      </w:r>
      <w:r w:rsidRPr="000C2E93">
        <w:rPr>
          <w:rFonts w:ascii="宋体" w:eastAsia="宋体" w:hAnsi="宋体" w:cs="宋体" w:hint="eastAsia"/>
          <w:sz w:val="18"/>
          <w:szCs w:val="18"/>
        </w:rPr>
        <w:t>的议案》、《关于提请股东大会授权董事会办理股权激励相关事宜的议案》等与本次激励计划相关的议案。</w:t>
      </w:r>
      <w:r w:rsidRPr="000C2E93">
        <w:rPr>
          <w:rFonts w:ascii="宋体" w:eastAsia="宋体" w:hAnsi="宋体" w:cs="宋体"/>
          <w:sz w:val="18"/>
          <w:szCs w:val="18"/>
        </w:rPr>
        <w:t>2022</w:t>
      </w:r>
      <w:r w:rsidRPr="000C2E93">
        <w:rPr>
          <w:rFonts w:ascii="宋体" w:eastAsia="宋体" w:hAnsi="宋体" w:cs="宋体" w:hint="eastAsia"/>
          <w:sz w:val="18"/>
          <w:szCs w:val="18"/>
        </w:rPr>
        <w:t>年</w:t>
      </w:r>
      <w:r w:rsidRPr="000C2E93">
        <w:rPr>
          <w:rFonts w:ascii="宋体" w:eastAsia="宋体" w:hAnsi="宋体" w:cs="宋体"/>
          <w:sz w:val="18"/>
          <w:szCs w:val="18"/>
        </w:rPr>
        <w:t>8</w:t>
      </w:r>
      <w:r w:rsidRPr="000C2E93">
        <w:rPr>
          <w:rFonts w:ascii="宋体" w:eastAsia="宋体" w:hAnsi="宋体" w:cs="宋体" w:hint="eastAsia"/>
          <w:sz w:val="18"/>
          <w:szCs w:val="18"/>
        </w:rPr>
        <w:t>月</w:t>
      </w:r>
      <w:r w:rsidRPr="000C2E93">
        <w:rPr>
          <w:rFonts w:ascii="宋体" w:eastAsia="宋体" w:hAnsi="宋体" w:cs="宋体"/>
          <w:sz w:val="18"/>
          <w:szCs w:val="18"/>
        </w:rPr>
        <w:t>22</w:t>
      </w:r>
      <w:r w:rsidRPr="000C2E93">
        <w:rPr>
          <w:rFonts w:ascii="宋体" w:eastAsia="宋体" w:hAnsi="宋体" w:cs="宋体" w:hint="eastAsia"/>
          <w:sz w:val="18"/>
          <w:szCs w:val="18"/>
        </w:rPr>
        <w:t>日召开第八届董事会第三次会议、第八届监事会第四次会议，审议通过了《关于向激励对象授予股票期权与限制性股票的议案》，确定向符合激励计划的激励对象授予总计</w:t>
      </w:r>
      <w:r w:rsidRPr="000C2E93">
        <w:rPr>
          <w:rFonts w:ascii="宋体" w:eastAsia="宋体" w:hAnsi="宋体" w:cs="宋体"/>
          <w:sz w:val="18"/>
          <w:szCs w:val="18"/>
        </w:rPr>
        <w:t>3,980.00</w:t>
      </w:r>
      <w:r w:rsidRPr="000C2E93">
        <w:rPr>
          <w:rFonts w:ascii="宋体" w:eastAsia="宋体" w:hAnsi="宋体" w:cs="宋体" w:hint="eastAsia"/>
          <w:sz w:val="18"/>
          <w:szCs w:val="18"/>
        </w:rPr>
        <w:t>万份权益。其中，确定对官</w:t>
      </w:r>
      <w:proofErr w:type="gramStart"/>
      <w:r w:rsidRPr="000C2E93">
        <w:rPr>
          <w:rFonts w:ascii="宋体" w:eastAsia="宋体" w:hAnsi="宋体" w:cs="宋体" w:hint="eastAsia"/>
          <w:sz w:val="18"/>
          <w:szCs w:val="18"/>
        </w:rPr>
        <w:t>炳</w:t>
      </w:r>
      <w:proofErr w:type="gramEnd"/>
      <w:r w:rsidRPr="000C2E93">
        <w:rPr>
          <w:rFonts w:ascii="宋体" w:eastAsia="宋体" w:hAnsi="宋体" w:cs="宋体" w:hint="eastAsia"/>
          <w:sz w:val="18"/>
          <w:szCs w:val="18"/>
        </w:rPr>
        <w:t>政、张垚、杨慧丽等</w:t>
      </w:r>
      <w:r w:rsidRPr="000C2E93">
        <w:rPr>
          <w:rFonts w:ascii="宋体" w:eastAsia="宋体" w:hAnsi="宋体" w:cs="宋体"/>
          <w:sz w:val="18"/>
          <w:szCs w:val="18"/>
        </w:rPr>
        <w:t>251</w:t>
      </w:r>
      <w:r w:rsidRPr="000C2E93">
        <w:rPr>
          <w:rFonts w:ascii="宋体" w:eastAsia="宋体" w:hAnsi="宋体" w:cs="宋体" w:hint="eastAsia"/>
          <w:sz w:val="18"/>
          <w:szCs w:val="18"/>
        </w:rPr>
        <w:t>名激励对象授予</w:t>
      </w:r>
      <w:r w:rsidRPr="000C2E93">
        <w:rPr>
          <w:rFonts w:ascii="宋体" w:eastAsia="宋体" w:hAnsi="宋体" w:cs="宋体"/>
          <w:sz w:val="18"/>
          <w:szCs w:val="18"/>
        </w:rPr>
        <w:t>2388</w:t>
      </w:r>
      <w:r w:rsidRPr="000C2E93">
        <w:rPr>
          <w:rFonts w:ascii="宋体" w:eastAsia="宋体" w:hAnsi="宋体" w:cs="宋体" w:hint="eastAsia"/>
          <w:sz w:val="18"/>
          <w:szCs w:val="18"/>
        </w:rPr>
        <w:t>万份股票期权，期权行权价格为</w:t>
      </w:r>
      <w:r w:rsidRPr="000C2E93">
        <w:rPr>
          <w:rFonts w:ascii="宋体" w:eastAsia="宋体" w:hAnsi="宋体" w:cs="宋体"/>
          <w:sz w:val="18"/>
          <w:szCs w:val="18"/>
        </w:rPr>
        <w:t>6.17</w:t>
      </w:r>
      <w:r w:rsidRPr="000C2E93">
        <w:rPr>
          <w:rFonts w:ascii="宋体" w:eastAsia="宋体" w:hAnsi="宋体" w:cs="宋体" w:hint="eastAsia"/>
          <w:sz w:val="18"/>
          <w:szCs w:val="18"/>
        </w:rPr>
        <w:t>元</w:t>
      </w:r>
      <w:r w:rsidRPr="000C2E93">
        <w:rPr>
          <w:rFonts w:ascii="宋体" w:eastAsia="宋体" w:hAnsi="宋体" w:cs="宋体"/>
          <w:sz w:val="18"/>
          <w:szCs w:val="18"/>
        </w:rPr>
        <w:t>/</w:t>
      </w:r>
      <w:r w:rsidRPr="000C2E93">
        <w:rPr>
          <w:rFonts w:ascii="宋体" w:eastAsia="宋体" w:hAnsi="宋体" w:cs="宋体" w:hint="eastAsia"/>
          <w:sz w:val="18"/>
          <w:szCs w:val="18"/>
        </w:rPr>
        <w:t>股。</w:t>
      </w:r>
    </w:p>
    <w:p w:rsidR="008D4B2E" w:rsidRPr="000C2E93" w:rsidRDefault="008D4B2E" w:rsidP="00B87081">
      <w:pPr>
        <w:ind w:firstLineChars="200" w:firstLine="360"/>
        <w:divId w:val="525408917"/>
        <w:rPr>
          <w:rFonts w:ascii="宋体" w:eastAsia="宋体" w:hAnsi="宋体" w:cs="宋体"/>
          <w:sz w:val="18"/>
          <w:szCs w:val="18"/>
        </w:rPr>
      </w:pPr>
      <w:r w:rsidRPr="000C2E93">
        <w:rPr>
          <w:rFonts w:ascii="宋体" w:eastAsia="宋体" w:hAnsi="宋体" w:cs="宋体" w:hint="eastAsia"/>
          <w:sz w:val="18"/>
          <w:szCs w:val="18"/>
        </w:rPr>
        <w:t>②</w:t>
      </w:r>
      <w:proofErr w:type="gramStart"/>
      <w:r w:rsidRPr="000C2E93">
        <w:rPr>
          <w:rFonts w:ascii="宋体" w:eastAsia="宋体" w:hAnsi="宋体" w:cs="宋体" w:hint="eastAsia"/>
          <w:sz w:val="18"/>
          <w:szCs w:val="18"/>
        </w:rPr>
        <w:t>本期员工</w:t>
      </w:r>
      <w:proofErr w:type="gramEnd"/>
      <w:r w:rsidRPr="000C2E93">
        <w:rPr>
          <w:rFonts w:ascii="宋体" w:eastAsia="宋体" w:hAnsi="宋体" w:cs="宋体" w:hint="eastAsia"/>
          <w:sz w:val="18"/>
          <w:szCs w:val="18"/>
        </w:rPr>
        <w:t>持股计划通过向激励对象定向发行的公司人民币</w:t>
      </w:r>
      <w:r w:rsidRPr="000C2E93">
        <w:rPr>
          <w:rFonts w:ascii="宋体" w:eastAsia="宋体" w:hAnsi="宋体" w:cs="宋体"/>
          <w:sz w:val="18"/>
          <w:szCs w:val="18"/>
        </w:rPr>
        <w:t>A</w:t>
      </w:r>
      <w:r w:rsidRPr="000C2E93">
        <w:rPr>
          <w:rFonts w:ascii="宋体" w:eastAsia="宋体" w:hAnsi="宋体" w:cs="宋体" w:hint="eastAsia"/>
          <w:sz w:val="18"/>
          <w:szCs w:val="18"/>
        </w:rPr>
        <w:t>股普通股股票，分三期解锁，解锁时点分别为自公司公</w:t>
      </w:r>
      <w:r w:rsidRPr="000C2E93">
        <w:rPr>
          <w:rFonts w:ascii="宋体" w:eastAsia="宋体" w:hAnsi="宋体" w:cs="宋体" w:hint="eastAsia"/>
          <w:sz w:val="18"/>
          <w:szCs w:val="18"/>
        </w:rPr>
        <w:lastRenderedPageBreak/>
        <w:t>告最后一笔标的股票过户至</w:t>
      </w:r>
      <w:proofErr w:type="gramStart"/>
      <w:r w:rsidRPr="000C2E93">
        <w:rPr>
          <w:rFonts w:ascii="宋体" w:eastAsia="宋体" w:hAnsi="宋体" w:cs="宋体" w:hint="eastAsia"/>
          <w:sz w:val="18"/>
          <w:szCs w:val="18"/>
        </w:rPr>
        <w:t>本期员工</w:t>
      </w:r>
      <w:proofErr w:type="gramEnd"/>
      <w:r w:rsidRPr="000C2E93">
        <w:rPr>
          <w:rFonts w:ascii="宋体" w:eastAsia="宋体" w:hAnsi="宋体" w:cs="宋体" w:hint="eastAsia"/>
          <w:sz w:val="18"/>
          <w:szCs w:val="18"/>
        </w:rPr>
        <w:t>持股计划名下之日起满</w:t>
      </w:r>
      <w:r w:rsidRPr="000C2E93">
        <w:rPr>
          <w:rFonts w:ascii="宋体" w:eastAsia="宋体" w:hAnsi="宋体" w:cs="宋体"/>
          <w:sz w:val="18"/>
          <w:szCs w:val="18"/>
        </w:rPr>
        <w:t>12</w:t>
      </w:r>
      <w:r w:rsidRPr="000C2E93">
        <w:rPr>
          <w:rFonts w:ascii="宋体" w:eastAsia="宋体" w:hAnsi="宋体" w:cs="宋体" w:hint="eastAsia"/>
          <w:sz w:val="18"/>
          <w:szCs w:val="18"/>
        </w:rPr>
        <w:t>个月、</w:t>
      </w:r>
      <w:r w:rsidRPr="000C2E93">
        <w:rPr>
          <w:rFonts w:ascii="宋体" w:eastAsia="宋体" w:hAnsi="宋体" w:cs="宋体"/>
          <w:sz w:val="18"/>
          <w:szCs w:val="18"/>
        </w:rPr>
        <w:t>24</w:t>
      </w:r>
      <w:r w:rsidRPr="000C2E93">
        <w:rPr>
          <w:rFonts w:ascii="宋体" w:eastAsia="宋体" w:hAnsi="宋体" w:cs="宋体" w:hint="eastAsia"/>
          <w:sz w:val="18"/>
          <w:szCs w:val="18"/>
        </w:rPr>
        <w:t>个月、</w:t>
      </w:r>
      <w:r w:rsidRPr="000C2E93">
        <w:rPr>
          <w:rFonts w:ascii="宋体" w:eastAsia="宋体" w:hAnsi="宋体" w:cs="宋体"/>
          <w:sz w:val="18"/>
          <w:szCs w:val="18"/>
        </w:rPr>
        <w:t>36</w:t>
      </w:r>
      <w:r w:rsidRPr="000C2E93">
        <w:rPr>
          <w:rFonts w:ascii="宋体" w:eastAsia="宋体" w:hAnsi="宋体" w:cs="宋体" w:hint="eastAsia"/>
          <w:sz w:val="18"/>
          <w:szCs w:val="18"/>
        </w:rPr>
        <w:t>个月，最长锁定期为</w:t>
      </w:r>
      <w:r w:rsidRPr="000C2E93">
        <w:rPr>
          <w:rFonts w:ascii="宋体" w:eastAsia="宋体" w:hAnsi="宋体" w:cs="宋体"/>
          <w:sz w:val="18"/>
          <w:szCs w:val="18"/>
        </w:rPr>
        <w:t>36</w:t>
      </w:r>
      <w:r w:rsidRPr="000C2E93">
        <w:rPr>
          <w:rFonts w:ascii="宋体" w:eastAsia="宋体" w:hAnsi="宋体" w:cs="宋体" w:hint="eastAsia"/>
          <w:sz w:val="18"/>
          <w:szCs w:val="18"/>
        </w:rPr>
        <w:t>个月，每期解锁的标的股票比例分别为</w:t>
      </w:r>
      <w:r w:rsidRPr="000C2E93">
        <w:rPr>
          <w:rFonts w:ascii="宋体" w:eastAsia="宋体" w:hAnsi="宋体" w:cs="宋体"/>
          <w:sz w:val="18"/>
          <w:szCs w:val="18"/>
        </w:rPr>
        <w:t>40%</w:t>
      </w:r>
      <w:r w:rsidRPr="000C2E93">
        <w:rPr>
          <w:rFonts w:ascii="宋体" w:eastAsia="宋体" w:hAnsi="宋体" w:cs="宋体" w:hint="eastAsia"/>
          <w:sz w:val="18"/>
          <w:szCs w:val="18"/>
        </w:rPr>
        <w:t>、</w:t>
      </w:r>
      <w:r w:rsidRPr="000C2E93">
        <w:rPr>
          <w:rFonts w:ascii="宋体" w:eastAsia="宋体" w:hAnsi="宋体" w:cs="宋体"/>
          <w:sz w:val="18"/>
          <w:szCs w:val="18"/>
        </w:rPr>
        <w:t>30%</w:t>
      </w:r>
      <w:r w:rsidRPr="000C2E93">
        <w:rPr>
          <w:rFonts w:ascii="宋体" w:eastAsia="宋体" w:hAnsi="宋体" w:cs="宋体" w:hint="eastAsia"/>
          <w:sz w:val="18"/>
          <w:szCs w:val="18"/>
        </w:rPr>
        <w:t>、</w:t>
      </w:r>
      <w:r w:rsidRPr="000C2E93">
        <w:rPr>
          <w:rFonts w:ascii="宋体" w:eastAsia="宋体" w:hAnsi="宋体" w:cs="宋体"/>
          <w:sz w:val="18"/>
          <w:szCs w:val="18"/>
        </w:rPr>
        <w:t>30%</w:t>
      </w:r>
      <w:r w:rsidRPr="000C2E93">
        <w:rPr>
          <w:rFonts w:ascii="宋体" w:eastAsia="宋体" w:hAnsi="宋体" w:cs="宋体" w:hint="eastAsia"/>
          <w:sz w:val="18"/>
          <w:szCs w:val="18"/>
        </w:rPr>
        <w:t>，各年度具体解锁比例和数量根据公司业绩指标和持有人考核结果计算确定。</w:t>
      </w:r>
    </w:p>
    <w:p w:rsidR="008D4B2E" w:rsidRPr="000C2E93" w:rsidRDefault="008D4B2E" w:rsidP="00B87081">
      <w:pPr>
        <w:ind w:firstLineChars="200" w:firstLine="360"/>
        <w:divId w:val="525408917"/>
        <w:rPr>
          <w:rFonts w:ascii="宋体" w:eastAsia="宋体" w:hAnsi="宋体" w:cs="宋体"/>
          <w:sz w:val="18"/>
          <w:szCs w:val="18"/>
        </w:rPr>
      </w:pPr>
      <w:r w:rsidRPr="000C2E93">
        <w:rPr>
          <w:rFonts w:ascii="宋体" w:eastAsia="宋体" w:hAnsi="宋体" w:cs="宋体" w:hint="eastAsia"/>
          <w:sz w:val="18"/>
          <w:szCs w:val="18"/>
        </w:rPr>
        <w:t>③</w:t>
      </w:r>
      <w:r w:rsidRPr="000C2E93">
        <w:rPr>
          <w:rFonts w:ascii="宋体" w:eastAsia="宋体" w:hAnsi="宋体" w:cs="宋体"/>
          <w:sz w:val="18"/>
          <w:szCs w:val="18"/>
        </w:rPr>
        <w:t>2022</w:t>
      </w:r>
      <w:r w:rsidRPr="000C2E93">
        <w:rPr>
          <w:rFonts w:ascii="宋体" w:eastAsia="宋体" w:hAnsi="宋体" w:cs="宋体" w:hint="eastAsia"/>
          <w:sz w:val="18"/>
          <w:szCs w:val="18"/>
        </w:rPr>
        <w:t>年</w:t>
      </w:r>
      <w:r w:rsidRPr="000C2E93">
        <w:rPr>
          <w:rFonts w:ascii="宋体" w:eastAsia="宋体" w:hAnsi="宋体" w:cs="宋体"/>
          <w:sz w:val="18"/>
          <w:szCs w:val="18"/>
        </w:rPr>
        <w:t>9</w:t>
      </w:r>
      <w:r w:rsidRPr="000C2E93">
        <w:rPr>
          <w:rFonts w:ascii="宋体" w:eastAsia="宋体" w:hAnsi="宋体" w:cs="宋体" w:hint="eastAsia"/>
          <w:sz w:val="18"/>
          <w:szCs w:val="18"/>
        </w:rPr>
        <w:t>月</w:t>
      </w:r>
      <w:r w:rsidRPr="000C2E93">
        <w:rPr>
          <w:rFonts w:ascii="宋体" w:eastAsia="宋体" w:hAnsi="宋体" w:cs="宋体"/>
          <w:sz w:val="18"/>
          <w:szCs w:val="18"/>
        </w:rPr>
        <w:t>30</w:t>
      </w:r>
      <w:r w:rsidRPr="000C2E93">
        <w:rPr>
          <w:rFonts w:ascii="宋体" w:eastAsia="宋体" w:hAnsi="宋体" w:cs="宋体" w:hint="eastAsia"/>
          <w:sz w:val="18"/>
          <w:szCs w:val="18"/>
        </w:rPr>
        <w:t>日，公司完成了</w:t>
      </w:r>
      <w:r w:rsidRPr="000C2E93">
        <w:rPr>
          <w:rFonts w:ascii="宋体" w:eastAsia="宋体" w:hAnsi="宋体" w:cs="宋体"/>
          <w:sz w:val="18"/>
          <w:szCs w:val="18"/>
        </w:rPr>
        <w:t>2022</w:t>
      </w:r>
      <w:r w:rsidRPr="000C2E93">
        <w:rPr>
          <w:rFonts w:ascii="宋体" w:eastAsia="宋体" w:hAnsi="宋体" w:cs="宋体" w:hint="eastAsia"/>
          <w:sz w:val="18"/>
          <w:szCs w:val="18"/>
        </w:rPr>
        <w:t>年股票期权的授予登记工作，向</w:t>
      </w:r>
      <w:r w:rsidRPr="000C2E93">
        <w:rPr>
          <w:rFonts w:ascii="宋体" w:eastAsia="宋体" w:hAnsi="宋体" w:cs="宋体"/>
          <w:sz w:val="18"/>
          <w:szCs w:val="18"/>
        </w:rPr>
        <w:t>251</w:t>
      </w:r>
      <w:r w:rsidRPr="000C2E93">
        <w:rPr>
          <w:rFonts w:ascii="宋体" w:eastAsia="宋体" w:hAnsi="宋体" w:cs="宋体" w:hint="eastAsia"/>
          <w:sz w:val="18"/>
          <w:szCs w:val="18"/>
        </w:rPr>
        <w:t>名激励对象授予</w:t>
      </w:r>
      <w:r w:rsidRPr="000C2E93">
        <w:rPr>
          <w:rFonts w:ascii="宋体" w:eastAsia="宋体" w:hAnsi="宋体" w:cs="宋体"/>
          <w:sz w:val="18"/>
          <w:szCs w:val="18"/>
        </w:rPr>
        <w:t>2,388</w:t>
      </w:r>
      <w:r w:rsidRPr="000C2E93">
        <w:rPr>
          <w:rFonts w:ascii="宋体" w:eastAsia="宋体" w:hAnsi="宋体" w:cs="宋体" w:hint="eastAsia"/>
          <w:sz w:val="18"/>
          <w:szCs w:val="18"/>
        </w:rPr>
        <w:t>万份股票期权行权价格为</w:t>
      </w:r>
      <w:r w:rsidRPr="000C2E93">
        <w:rPr>
          <w:rFonts w:ascii="宋体" w:eastAsia="宋体" w:hAnsi="宋体" w:cs="宋体"/>
          <w:sz w:val="18"/>
          <w:szCs w:val="18"/>
        </w:rPr>
        <w:t>6.17</w:t>
      </w:r>
      <w:r w:rsidRPr="000C2E93">
        <w:rPr>
          <w:rFonts w:ascii="宋体" w:eastAsia="宋体" w:hAnsi="宋体" w:cs="宋体" w:hint="eastAsia"/>
          <w:sz w:val="18"/>
          <w:szCs w:val="18"/>
        </w:rPr>
        <w:t>元</w:t>
      </w:r>
      <w:r w:rsidRPr="000C2E93">
        <w:rPr>
          <w:rFonts w:ascii="宋体" w:eastAsia="宋体" w:hAnsi="宋体" w:cs="宋体"/>
          <w:sz w:val="18"/>
          <w:szCs w:val="18"/>
        </w:rPr>
        <w:t>/</w:t>
      </w:r>
      <w:r w:rsidRPr="000C2E93">
        <w:rPr>
          <w:rFonts w:ascii="宋体" w:eastAsia="宋体" w:hAnsi="宋体" w:cs="宋体" w:hint="eastAsia"/>
          <w:sz w:val="18"/>
          <w:szCs w:val="18"/>
        </w:rPr>
        <w:t>股。公司全部有效的员工持股计划所持有的股票总数累计未超过公司股本总额的</w:t>
      </w:r>
      <w:r w:rsidRPr="000C2E93">
        <w:rPr>
          <w:rFonts w:ascii="宋体" w:eastAsia="宋体" w:hAnsi="宋体" w:cs="宋体"/>
          <w:sz w:val="18"/>
          <w:szCs w:val="18"/>
        </w:rPr>
        <w:t>10%</w:t>
      </w:r>
      <w:r w:rsidRPr="000C2E93">
        <w:rPr>
          <w:rFonts w:ascii="宋体" w:eastAsia="宋体" w:hAnsi="宋体" w:cs="宋体" w:hint="eastAsia"/>
          <w:sz w:val="18"/>
          <w:szCs w:val="18"/>
        </w:rPr>
        <w:t>，单个员工所获股份权益对应的股票总数累计未超过公司股本总额的</w:t>
      </w:r>
      <w:r w:rsidRPr="000C2E93">
        <w:rPr>
          <w:rFonts w:ascii="宋体" w:eastAsia="宋体" w:hAnsi="宋体" w:cs="宋体"/>
          <w:sz w:val="18"/>
          <w:szCs w:val="18"/>
        </w:rPr>
        <w:t>1%</w:t>
      </w:r>
      <w:r w:rsidRPr="000C2E93">
        <w:rPr>
          <w:rFonts w:ascii="宋体" w:eastAsia="宋体" w:hAnsi="宋体" w:cs="宋体" w:hint="eastAsia"/>
          <w:sz w:val="18"/>
          <w:szCs w:val="18"/>
        </w:rPr>
        <w:t>。</w:t>
      </w:r>
    </w:p>
    <w:p w:rsidR="008D4B2E" w:rsidRPr="000C2E93" w:rsidRDefault="008D4B2E" w:rsidP="00B87081">
      <w:pPr>
        <w:ind w:firstLineChars="200" w:firstLine="360"/>
        <w:divId w:val="525408917"/>
        <w:rPr>
          <w:rFonts w:ascii="宋体" w:eastAsia="宋体" w:hAnsi="宋体" w:cs="宋体"/>
          <w:sz w:val="18"/>
          <w:szCs w:val="18"/>
        </w:rPr>
      </w:pPr>
      <w:r w:rsidRPr="000C2E93">
        <w:rPr>
          <w:rFonts w:ascii="宋体" w:eastAsia="宋体" w:hAnsi="宋体" w:cs="宋体" w:hint="eastAsia"/>
          <w:sz w:val="18"/>
          <w:szCs w:val="18"/>
        </w:rPr>
        <w:t>④本激励计划在</w:t>
      </w:r>
      <w:r w:rsidRPr="000C2E93">
        <w:rPr>
          <w:rFonts w:ascii="宋体" w:eastAsia="宋体" w:hAnsi="宋体" w:cs="宋体"/>
          <w:sz w:val="18"/>
          <w:szCs w:val="18"/>
        </w:rPr>
        <w:t>2022</w:t>
      </w:r>
      <w:r w:rsidRPr="000C2E93">
        <w:rPr>
          <w:rFonts w:ascii="宋体" w:eastAsia="宋体" w:hAnsi="宋体" w:cs="宋体" w:hint="eastAsia"/>
          <w:sz w:val="18"/>
          <w:szCs w:val="18"/>
        </w:rPr>
        <w:t>年</w:t>
      </w:r>
      <w:r w:rsidRPr="000C2E93">
        <w:rPr>
          <w:rFonts w:ascii="宋体" w:eastAsia="宋体" w:hAnsi="宋体" w:cs="宋体"/>
          <w:sz w:val="18"/>
          <w:szCs w:val="18"/>
        </w:rPr>
        <w:t>-2024</w:t>
      </w:r>
      <w:r w:rsidRPr="000C2E93">
        <w:rPr>
          <w:rFonts w:ascii="宋体" w:eastAsia="宋体" w:hAnsi="宋体" w:cs="宋体" w:hint="eastAsia"/>
          <w:sz w:val="18"/>
          <w:szCs w:val="18"/>
        </w:rPr>
        <w:t>年会计年度中，分年度对公司的业绩指标进行考核，以达到业绩考核目标作为激励对象当年度的解除限售条件之一。本激励计划业绩考核目标如下：</w:t>
      </w:r>
    </w:p>
    <w:tbl>
      <w:tblPr>
        <w:tblW w:w="9629" w:type="dxa"/>
        <w:tblCellMar>
          <w:left w:w="0" w:type="dxa"/>
          <w:right w:w="0" w:type="dxa"/>
        </w:tblCellMar>
        <w:tblLook w:val="04A0" w:firstRow="1" w:lastRow="0" w:firstColumn="1" w:lastColumn="0" w:noHBand="0" w:noVBand="1"/>
      </w:tblPr>
      <w:tblGrid>
        <w:gridCol w:w="2039"/>
        <w:gridCol w:w="7590"/>
      </w:tblGrid>
      <w:tr w:rsidR="008D4B2E" w:rsidTr="00B87081">
        <w:trPr>
          <w:divId w:val="525408917"/>
          <w:trHeight w:val="367"/>
        </w:trPr>
        <w:tc>
          <w:tcPr>
            <w:tcW w:w="2039" w:type="dxa"/>
            <w:tcBorders>
              <w:top w:val="single" w:sz="8" w:space="0" w:color="auto"/>
              <w:left w:val="single" w:sz="8" w:space="0" w:color="auto"/>
              <w:bottom w:val="single" w:sz="8" w:space="0" w:color="auto"/>
              <w:right w:val="single" w:sz="8" w:space="0" w:color="auto"/>
            </w:tcBorders>
            <w:shd w:val="clear" w:color="auto" w:fill="D3D3D3"/>
            <w:vAlign w:val="center"/>
            <w:hideMark/>
          </w:tcPr>
          <w:p w:rsidR="008D4B2E" w:rsidRPr="00C75946" w:rsidRDefault="008D4B2E" w:rsidP="00C75946">
            <w:pPr>
              <w:spacing w:line="240" w:lineRule="exact"/>
              <w:jc w:val="center"/>
              <w:rPr>
                <w:rFonts w:ascii="宋体" w:eastAsia="宋体" w:hAnsi="宋体" w:cs="宋体"/>
                <w:b/>
                <w:bCs/>
                <w:sz w:val="18"/>
                <w:szCs w:val="18"/>
              </w:rPr>
            </w:pPr>
            <w:r w:rsidRPr="00C75946">
              <w:rPr>
                <w:rFonts w:ascii="宋体" w:eastAsia="宋体" w:hAnsi="宋体" w:cs="宋体" w:hint="eastAsia"/>
                <w:sz w:val="18"/>
                <w:szCs w:val="18"/>
              </w:rPr>
              <w:t>解锁期</w:t>
            </w:r>
          </w:p>
        </w:tc>
        <w:tc>
          <w:tcPr>
            <w:tcW w:w="7590" w:type="dxa"/>
            <w:tcBorders>
              <w:top w:val="single" w:sz="8" w:space="0" w:color="auto"/>
              <w:left w:val="nil"/>
              <w:bottom w:val="single" w:sz="8" w:space="0" w:color="auto"/>
              <w:right w:val="single" w:sz="8" w:space="0" w:color="auto"/>
            </w:tcBorders>
            <w:shd w:val="clear" w:color="auto" w:fill="D3D3D3"/>
            <w:vAlign w:val="center"/>
            <w:hideMark/>
          </w:tcPr>
          <w:p w:rsidR="008D4B2E" w:rsidRPr="00C75946" w:rsidRDefault="008D4B2E" w:rsidP="00C75946">
            <w:pPr>
              <w:spacing w:line="240" w:lineRule="exact"/>
              <w:jc w:val="center"/>
              <w:rPr>
                <w:rFonts w:ascii="宋体" w:eastAsia="宋体" w:hAnsi="宋体" w:cs="宋体"/>
                <w:b/>
                <w:bCs/>
                <w:sz w:val="18"/>
                <w:szCs w:val="18"/>
              </w:rPr>
            </w:pPr>
            <w:r w:rsidRPr="00C75946">
              <w:rPr>
                <w:rFonts w:ascii="宋体" w:eastAsia="宋体" w:hAnsi="宋体" w:cs="宋体" w:hint="eastAsia"/>
                <w:sz w:val="18"/>
                <w:szCs w:val="18"/>
              </w:rPr>
              <w:t>业绩考核目标</w:t>
            </w:r>
          </w:p>
        </w:tc>
      </w:tr>
      <w:tr w:rsidR="008D4B2E" w:rsidTr="00B87081">
        <w:trPr>
          <w:divId w:val="525408917"/>
          <w:trHeight w:val="503"/>
        </w:trPr>
        <w:tc>
          <w:tcPr>
            <w:tcW w:w="2039" w:type="dxa"/>
            <w:tcBorders>
              <w:top w:val="nil"/>
              <w:left w:val="single" w:sz="8" w:space="0" w:color="auto"/>
              <w:bottom w:val="single" w:sz="8" w:space="0" w:color="auto"/>
              <w:right w:val="single" w:sz="8" w:space="0" w:color="auto"/>
            </w:tcBorders>
            <w:vAlign w:val="center"/>
            <w:hideMark/>
          </w:tcPr>
          <w:p w:rsidR="008D4B2E" w:rsidRPr="000C2E93" w:rsidRDefault="008D4B2E" w:rsidP="000C2E93">
            <w:pPr>
              <w:spacing w:line="240" w:lineRule="exact"/>
              <w:rPr>
                <w:rFonts w:ascii="宋体" w:eastAsia="宋体" w:hAnsi="宋体" w:cs="宋体"/>
                <w:sz w:val="18"/>
                <w:szCs w:val="18"/>
              </w:rPr>
            </w:pPr>
            <w:r w:rsidRPr="000C2E93">
              <w:rPr>
                <w:rFonts w:ascii="宋体" w:eastAsia="宋体" w:hAnsi="宋体" w:cs="宋体" w:hint="eastAsia"/>
                <w:sz w:val="18"/>
                <w:szCs w:val="18"/>
              </w:rPr>
              <w:t>第一个解锁期</w:t>
            </w:r>
          </w:p>
        </w:tc>
        <w:tc>
          <w:tcPr>
            <w:tcW w:w="7590" w:type="dxa"/>
            <w:tcBorders>
              <w:top w:val="nil"/>
              <w:left w:val="nil"/>
              <w:bottom w:val="single" w:sz="8" w:space="0" w:color="auto"/>
              <w:right w:val="single" w:sz="8" w:space="0" w:color="auto"/>
            </w:tcBorders>
            <w:vAlign w:val="center"/>
            <w:hideMark/>
          </w:tcPr>
          <w:p w:rsidR="008D4B2E" w:rsidRPr="000C2E93" w:rsidRDefault="008D4B2E" w:rsidP="000C2E93">
            <w:pPr>
              <w:spacing w:line="240" w:lineRule="exact"/>
              <w:rPr>
                <w:rFonts w:ascii="宋体" w:eastAsia="宋体" w:hAnsi="宋体" w:cs="宋体"/>
                <w:sz w:val="18"/>
                <w:szCs w:val="18"/>
              </w:rPr>
            </w:pPr>
            <w:r w:rsidRPr="000C2E93">
              <w:rPr>
                <w:rFonts w:ascii="宋体" w:eastAsia="宋体" w:hAnsi="宋体" w:cs="宋体" w:hint="eastAsia"/>
                <w:sz w:val="18"/>
                <w:szCs w:val="18"/>
              </w:rPr>
              <w:t>以</w:t>
            </w:r>
            <w:r w:rsidRPr="000C2E93">
              <w:rPr>
                <w:rFonts w:ascii="宋体" w:eastAsia="宋体" w:hAnsi="宋体" w:cs="宋体"/>
                <w:sz w:val="18"/>
                <w:szCs w:val="18"/>
              </w:rPr>
              <w:t>2021</w:t>
            </w:r>
            <w:r w:rsidRPr="000C2E93">
              <w:rPr>
                <w:rFonts w:ascii="宋体" w:eastAsia="宋体" w:hAnsi="宋体" w:cs="宋体" w:hint="eastAsia"/>
                <w:sz w:val="18"/>
                <w:szCs w:val="18"/>
              </w:rPr>
              <w:t>年的净利润为基数，</w:t>
            </w:r>
            <w:r w:rsidRPr="000C2E93">
              <w:rPr>
                <w:rFonts w:ascii="宋体" w:eastAsia="宋体" w:hAnsi="宋体" w:cs="宋体"/>
                <w:sz w:val="18"/>
                <w:szCs w:val="18"/>
              </w:rPr>
              <w:t>2022</w:t>
            </w:r>
            <w:r w:rsidRPr="000C2E93">
              <w:rPr>
                <w:rFonts w:ascii="宋体" w:eastAsia="宋体" w:hAnsi="宋体" w:cs="宋体" w:hint="eastAsia"/>
                <w:sz w:val="18"/>
                <w:szCs w:val="18"/>
              </w:rPr>
              <w:t>年净利润增长率不低于</w:t>
            </w:r>
            <w:r w:rsidRPr="000C2E93">
              <w:rPr>
                <w:rFonts w:ascii="宋体" w:eastAsia="宋体" w:hAnsi="宋体" w:cs="宋体"/>
                <w:sz w:val="18"/>
                <w:szCs w:val="18"/>
              </w:rPr>
              <w:t>25.00%</w:t>
            </w:r>
          </w:p>
        </w:tc>
      </w:tr>
      <w:tr w:rsidR="008D4B2E" w:rsidTr="00B87081">
        <w:trPr>
          <w:divId w:val="525408917"/>
          <w:trHeight w:val="436"/>
        </w:trPr>
        <w:tc>
          <w:tcPr>
            <w:tcW w:w="2039" w:type="dxa"/>
            <w:tcBorders>
              <w:top w:val="nil"/>
              <w:left w:val="single" w:sz="8" w:space="0" w:color="auto"/>
              <w:bottom w:val="single" w:sz="8" w:space="0" w:color="auto"/>
              <w:right w:val="single" w:sz="8" w:space="0" w:color="auto"/>
            </w:tcBorders>
            <w:vAlign w:val="center"/>
            <w:hideMark/>
          </w:tcPr>
          <w:p w:rsidR="008D4B2E" w:rsidRPr="000C2E93" w:rsidRDefault="008D4B2E" w:rsidP="000C2E93">
            <w:pPr>
              <w:spacing w:line="240" w:lineRule="exact"/>
              <w:rPr>
                <w:rFonts w:ascii="宋体" w:eastAsia="宋体" w:hAnsi="宋体" w:cs="宋体"/>
                <w:sz w:val="18"/>
                <w:szCs w:val="18"/>
              </w:rPr>
            </w:pPr>
            <w:r w:rsidRPr="000C2E93">
              <w:rPr>
                <w:rFonts w:ascii="宋体" w:eastAsia="宋体" w:hAnsi="宋体" w:cs="宋体" w:hint="eastAsia"/>
                <w:sz w:val="18"/>
                <w:szCs w:val="18"/>
              </w:rPr>
              <w:t>第二个解锁期</w:t>
            </w:r>
          </w:p>
        </w:tc>
        <w:tc>
          <w:tcPr>
            <w:tcW w:w="7590" w:type="dxa"/>
            <w:tcBorders>
              <w:top w:val="nil"/>
              <w:left w:val="nil"/>
              <w:bottom w:val="single" w:sz="8" w:space="0" w:color="auto"/>
              <w:right w:val="single" w:sz="8" w:space="0" w:color="auto"/>
            </w:tcBorders>
            <w:vAlign w:val="center"/>
            <w:hideMark/>
          </w:tcPr>
          <w:p w:rsidR="008D4B2E" w:rsidRPr="000C2E93" w:rsidRDefault="008D4B2E" w:rsidP="000C2E93">
            <w:pPr>
              <w:spacing w:line="240" w:lineRule="exact"/>
              <w:rPr>
                <w:rFonts w:ascii="宋体" w:eastAsia="宋体" w:hAnsi="宋体" w:cs="宋体"/>
                <w:sz w:val="18"/>
                <w:szCs w:val="18"/>
              </w:rPr>
            </w:pPr>
            <w:r w:rsidRPr="000C2E93">
              <w:rPr>
                <w:rFonts w:ascii="宋体" w:eastAsia="宋体" w:hAnsi="宋体" w:cs="宋体" w:hint="eastAsia"/>
                <w:sz w:val="18"/>
                <w:szCs w:val="18"/>
              </w:rPr>
              <w:t>以</w:t>
            </w:r>
            <w:r w:rsidRPr="000C2E93">
              <w:rPr>
                <w:rFonts w:ascii="宋体" w:eastAsia="宋体" w:hAnsi="宋体" w:cs="宋体"/>
                <w:sz w:val="18"/>
                <w:szCs w:val="18"/>
              </w:rPr>
              <w:t>2021</w:t>
            </w:r>
            <w:r w:rsidRPr="000C2E93">
              <w:rPr>
                <w:rFonts w:ascii="宋体" w:eastAsia="宋体" w:hAnsi="宋体" w:cs="宋体" w:hint="eastAsia"/>
                <w:sz w:val="18"/>
                <w:szCs w:val="18"/>
              </w:rPr>
              <w:t>年的净利润为基数，</w:t>
            </w:r>
            <w:r w:rsidRPr="000C2E93">
              <w:rPr>
                <w:rFonts w:ascii="宋体" w:eastAsia="宋体" w:hAnsi="宋体" w:cs="宋体"/>
                <w:sz w:val="18"/>
                <w:szCs w:val="18"/>
              </w:rPr>
              <w:t>2023</w:t>
            </w:r>
            <w:r w:rsidRPr="000C2E93">
              <w:rPr>
                <w:rFonts w:ascii="宋体" w:eastAsia="宋体" w:hAnsi="宋体" w:cs="宋体" w:hint="eastAsia"/>
                <w:sz w:val="18"/>
                <w:szCs w:val="18"/>
              </w:rPr>
              <w:t>年净利润增长率不低于</w:t>
            </w:r>
            <w:r w:rsidRPr="000C2E93">
              <w:rPr>
                <w:rFonts w:ascii="宋体" w:eastAsia="宋体" w:hAnsi="宋体" w:cs="宋体"/>
                <w:sz w:val="18"/>
                <w:szCs w:val="18"/>
              </w:rPr>
              <w:t>75.00%</w:t>
            </w:r>
          </w:p>
        </w:tc>
      </w:tr>
      <w:tr w:rsidR="008D4B2E" w:rsidTr="00B87081">
        <w:trPr>
          <w:divId w:val="525408917"/>
          <w:trHeight w:val="415"/>
        </w:trPr>
        <w:tc>
          <w:tcPr>
            <w:tcW w:w="2039" w:type="dxa"/>
            <w:tcBorders>
              <w:top w:val="nil"/>
              <w:left w:val="single" w:sz="8" w:space="0" w:color="auto"/>
              <w:bottom w:val="single" w:sz="8" w:space="0" w:color="auto"/>
              <w:right w:val="single" w:sz="8" w:space="0" w:color="auto"/>
            </w:tcBorders>
            <w:vAlign w:val="center"/>
            <w:hideMark/>
          </w:tcPr>
          <w:p w:rsidR="008D4B2E" w:rsidRPr="000C2E93" w:rsidRDefault="008D4B2E" w:rsidP="000C2E93">
            <w:pPr>
              <w:spacing w:line="240" w:lineRule="exact"/>
              <w:rPr>
                <w:rFonts w:ascii="宋体" w:eastAsia="宋体" w:hAnsi="宋体" w:cs="宋体"/>
                <w:sz w:val="18"/>
                <w:szCs w:val="18"/>
              </w:rPr>
            </w:pPr>
            <w:r w:rsidRPr="000C2E93">
              <w:rPr>
                <w:rFonts w:ascii="宋体" w:eastAsia="宋体" w:hAnsi="宋体" w:cs="宋体" w:hint="eastAsia"/>
                <w:sz w:val="18"/>
                <w:szCs w:val="18"/>
              </w:rPr>
              <w:t>第三个解锁期</w:t>
            </w:r>
          </w:p>
        </w:tc>
        <w:tc>
          <w:tcPr>
            <w:tcW w:w="7590" w:type="dxa"/>
            <w:tcBorders>
              <w:top w:val="nil"/>
              <w:left w:val="nil"/>
              <w:bottom w:val="single" w:sz="8" w:space="0" w:color="auto"/>
              <w:right w:val="single" w:sz="8" w:space="0" w:color="auto"/>
            </w:tcBorders>
            <w:vAlign w:val="center"/>
            <w:hideMark/>
          </w:tcPr>
          <w:p w:rsidR="008D4B2E" w:rsidRPr="000C2E93" w:rsidRDefault="008D4B2E" w:rsidP="000C2E93">
            <w:pPr>
              <w:spacing w:line="240" w:lineRule="exact"/>
              <w:rPr>
                <w:rFonts w:ascii="宋体" w:eastAsia="宋体" w:hAnsi="宋体" w:cs="宋体"/>
                <w:sz w:val="18"/>
                <w:szCs w:val="18"/>
              </w:rPr>
            </w:pPr>
            <w:r w:rsidRPr="000C2E93">
              <w:rPr>
                <w:rFonts w:ascii="宋体" w:eastAsia="宋体" w:hAnsi="宋体" w:cs="宋体" w:hint="eastAsia"/>
                <w:sz w:val="18"/>
                <w:szCs w:val="18"/>
              </w:rPr>
              <w:t>以</w:t>
            </w:r>
            <w:r w:rsidRPr="000C2E93">
              <w:rPr>
                <w:rFonts w:ascii="宋体" w:eastAsia="宋体" w:hAnsi="宋体" w:cs="宋体"/>
                <w:sz w:val="18"/>
                <w:szCs w:val="18"/>
              </w:rPr>
              <w:t>2021</w:t>
            </w:r>
            <w:r w:rsidRPr="000C2E93">
              <w:rPr>
                <w:rFonts w:ascii="宋体" w:eastAsia="宋体" w:hAnsi="宋体" w:cs="宋体" w:hint="eastAsia"/>
                <w:sz w:val="18"/>
                <w:szCs w:val="18"/>
              </w:rPr>
              <w:t>年的净利润为基数，</w:t>
            </w:r>
            <w:r w:rsidRPr="000C2E93">
              <w:rPr>
                <w:rFonts w:ascii="宋体" w:eastAsia="宋体" w:hAnsi="宋体" w:cs="宋体"/>
                <w:sz w:val="18"/>
                <w:szCs w:val="18"/>
              </w:rPr>
              <w:t>2024</w:t>
            </w:r>
            <w:r w:rsidRPr="000C2E93">
              <w:rPr>
                <w:rFonts w:ascii="宋体" w:eastAsia="宋体" w:hAnsi="宋体" w:cs="宋体" w:hint="eastAsia"/>
                <w:sz w:val="18"/>
                <w:szCs w:val="18"/>
              </w:rPr>
              <w:t>年净利润增长率不低于</w:t>
            </w:r>
            <w:r w:rsidRPr="000C2E93">
              <w:rPr>
                <w:rFonts w:ascii="宋体" w:eastAsia="宋体" w:hAnsi="宋体" w:cs="宋体"/>
                <w:sz w:val="18"/>
                <w:szCs w:val="18"/>
              </w:rPr>
              <w:t>125.00%</w:t>
            </w:r>
          </w:p>
        </w:tc>
      </w:tr>
    </w:tbl>
    <w:p w:rsidR="008D4B2E" w:rsidRPr="000C2E93" w:rsidRDefault="008D4B2E" w:rsidP="00B87081">
      <w:pPr>
        <w:divId w:val="525408917"/>
        <w:rPr>
          <w:rFonts w:ascii="宋体" w:eastAsia="宋体" w:hAnsi="宋体" w:cs="宋体"/>
          <w:sz w:val="18"/>
          <w:szCs w:val="18"/>
        </w:rPr>
      </w:pPr>
      <w:r w:rsidRPr="000C2E93">
        <w:rPr>
          <w:rFonts w:ascii="宋体" w:eastAsia="宋体" w:hAnsi="宋体" w:cs="宋体" w:hint="eastAsia"/>
          <w:sz w:val="18"/>
          <w:szCs w:val="18"/>
        </w:rPr>
        <w:t>注：上述</w:t>
      </w:r>
      <w:r w:rsidRPr="000C2E93">
        <w:rPr>
          <w:rFonts w:ascii="宋体" w:eastAsia="宋体" w:hAnsi="宋体" w:cs="宋体"/>
          <w:sz w:val="18"/>
          <w:szCs w:val="18"/>
        </w:rPr>
        <w:t>“</w:t>
      </w:r>
      <w:r w:rsidRPr="000C2E93">
        <w:rPr>
          <w:rFonts w:ascii="宋体" w:eastAsia="宋体" w:hAnsi="宋体" w:cs="宋体" w:hint="eastAsia"/>
          <w:sz w:val="18"/>
          <w:szCs w:val="18"/>
        </w:rPr>
        <w:t>净利润</w:t>
      </w:r>
      <w:r w:rsidRPr="000C2E93">
        <w:rPr>
          <w:rFonts w:ascii="宋体" w:eastAsia="宋体" w:hAnsi="宋体" w:cs="宋体"/>
          <w:sz w:val="18"/>
          <w:szCs w:val="18"/>
        </w:rPr>
        <w:t>”</w:t>
      </w:r>
      <w:r w:rsidRPr="000C2E93">
        <w:rPr>
          <w:rFonts w:ascii="宋体" w:eastAsia="宋体" w:hAnsi="宋体" w:cs="宋体" w:hint="eastAsia"/>
          <w:sz w:val="18"/>
          <w:szCs w:val="18"/>
        </w:rPr>
        <w:t>指经审计的归属于母公司的净利润。</w:t>
      </w:r>
    </w:p>
    <w:p w:rsidR="008D4B2E" w:rsidRPr="000C2E93" w:rsidRDefault="008D4B2E" w:rsidP="00B87081">
      <w:pPr>
        <w:ind w:firstLineChars="200" w:firstLine="360"/>
        <w:divId w:val="525408917"/>
        <w:rPr>
          <w:rFonts w:ascii="宋体" w:eastAsia="宋体" w:hAnsi="宋体" w:cs="宋体"/>
          <w:sz w:val="18"/>
          <w:szCs w:val="18"/>
        </w:rPr>
      </w:pPr>
      <w:r w:rsidRPr="000C2E93">
        <w:rPr>
          <w:rFonts w:ascii="宋体" w:eastAsia="宋体" w:hAnsi="宋体" w:cs="宋体" w:hint="eastAsia"/>
          <w:sz w:val="18"/>
          <w:szCs w:val="18"/>
        </w:rPr>
        <w:t>⑤公司于</w:t>
      </w:r>
      <w:r w:rsidRPr="000C2E93">
        <w:rPr>
          <w:rFonts w:ascii="宋体" w:eastAsia="宋体" w:hAnsi="宋体" w:cs="宋体"/>
          <w:sz w:val="18"/>
          <w:szCs w:val="18"/>
        </w:rPr>
        <w:t>2023</w:t>
      </w:r>
      <w:r w:rsidRPr="000C2E93">
        <w:rPr>
          <w:rFonts w:ascii="宋体" w:eastAsia="宋体" w:hAnsi="宋体" w:cs="宋体" w:hint="eastAsia"/>
          <w:sz w:val="18"/>
          <w:szCs w:val="18"/>
        </w:rPr>
        <w:t>年</w:t>
      </w:r>
      <w:r w:rsidRPr="000C2E93">
        <w:rPr>
          <w:rFonts w:ascii="宋体" w:eastAsia="宋体" w:hAnsi="宋体" w:cs="宋体"/>
          <w:sz w:val="18"/>
          <w:szCs w:val="18"/>
        </w:rPr>
        <w:t>4</w:t>
      </w:r>
      <w:r w:rsidRPr="000C2E93">
        <w:rPr>
          <w:rFonts w:ascii="宋体" w:eastAsia="宋体" w:hAnsi="宋体" w:cs="宋体" w:hint="eastAsia"/>
          <w:sz w:val="18"/>
          <w:szCs w:val="18"/>
        </w:rPr>
        <w:t>月</w:t>
      </w:r>
      <w:r w:rsidRPr="000C2E93">
        <w:rPr>
          <w:rFonts w:ascii="宋体" w:eastAsia="宋体" w:hAnsi="宋体" w:cs="宋体"/>
          <w:sz w:val="18"/>
          <w:szCs w:val="18"/>
        </w:rPr>
        <w:t>10</w:t>
      </w:r>
      <w:r w:rsidRPr="000C2E93">
        <w:rPr>
          <w:rFonts w:ascii="宋体" w:eastAsia="宋体" w:hAnsi="宋体" w:cs="宋体" w:hint="eastAsia"/>
          <w:sz w:val="18"/>
          <w:szCs w:val="18"/>
        </w:rPr>
        <w:t>日召开第八届董事会第六次会议与第八届监事会第七次会议，并于</w:t>
      </w:r>
      <w:r w:rsidRPr="000C2E93">
        <w:rPr>
          <w:rFonts w:ascii="宋体" w:eastAsia="宋体" w:hAnsi="宋体" w:cs="宋体"/>
          <w:sz w:val="18"/>
          <w:szCs w:val="18"/>
        </w:rPr>
        <w:t>2023</w:t>
      </w:r>
      <w:r w:rsidRPr="000C2E93">
        <w:rPr>
          <w:rFonts w:ascii="宋体" w:eastAsia="宋体" w:hAnsi="宋体" w:cs="宋体" w:hint="eastAsia"/>
          <w:sz w:val="18"/>
          <w:szCs w:val="18"/>
        </w:rPr>
        <w:t>年</w:t>
      </w:r>
      <w:r w:rsidRPr="000C2E93">
        <w:rPr>
          <w:rFonts w:ascii="宋体" w:eastAsia="宋体" w:hAnsi="宋体" w:cs="宋体"/>
          <w:sz w:val="18"/>
          <w:szCs w:val="18"/>
        </w:rPr>
        <w:t>5</w:t>
      </w:r>
      <w:r w:rsidRPr="000C2E93">
        <w:rPr>
          <w:rFonts w:ascii="宋体" w:eastAsia="宋体" w:hAnsi="宋体" w:cs="宋体" w:hint="eastAsia"/>
          <w:sz w:val="18"/>
          <w:szCs w:val="18"/>
        </w:rPr>
        <w:t>月</w:t>
      </w:r>
      <w:r w:rsidRPr="000C2E93">
        <w:rPr>
          <w:rFonts w:ascii="宋体" w:eastAsia="宋体" w:hAnsi="宋体" w:cs="宋体"/>
          <w:sz w:val="18"/>
          <w:szCs w:val="18"/>
        </w:rPr>
        <w:t>8</w:t>
      </w:r>
      <w:r w:rsidRPr="000C2E93">
        <w:rPr>
          <w:rFonts w:ascii="宋体" w:eastAsia="宋体" w:hAnsi="宋体" w:cs="宋体" w:hint="eastAsia"/>
          <w:sz w:val="18"/>
          <w:szCs w:val="18"/>
        </w:rPr>
        <w:t>日召开</w:t>
      </w:r>
      <w:r w:rsidRPr="000C2E93">
        <w:rPr>
          <w:rFonts w:ascii="宋体" w:eastAsia="宋体" w:hAnsi="宋体" w:cs="宋体"/>
          <w:sz w:val="18"/>
          <w:szCs w:val="18"/>
        </w:rPr>
        <w:t>2022</w:t>
      </w:r>
      <w:r w:rsidRPr="000C2E93">
        <w:rPr>
          <w:rFonts w:ascii="宋体" w:eastAsia="宋体" w:hAnsi="宋体" w:cs="宋体" w:hint="eastAsia"/>
          <w:sz w:val="18"/>
          <w:szCs w:val="18"/>
        </w:rPr>
        <w:t>年度股东大会，审议通过了《关于注销部分股票期权和回购注销部分限制性股票的议案》。根据公司</w:t>
      </w:r>
      <w:r w:rsidRPr="000C2E93">
        <w:rPr>
          <w:rFonts w:ascii="宋体" w:eastAsia="宋体" w:hAnsi="宋体" w:cs="宋体"/>
          <w:sz w:val="18"/>
          <w:szCs w:val="18"/>
        </w:rPr>
        <w:t>2022</w:t>
      </w:r>
      <w:r w:rsidRPr="000C2E93">
        <w:rPr>
          <w:rFonts w:ascii="宋体" w:eastAsia="宋体" w:hAnsi="宋体" w:cs="宋体" w:hint="eastAsia"/>
          <w:sz w:val="18"/>
          <w:szCs w:val="18"/>
        </w:rPr>
        <w:t>年股票期权与限制性股票激励计划的相关规定，因</w:t>
      </w:r>
      <w:r w:rsidRPr="000C2E93">
        <w:rPr>
          <w:rFonts w:ascii="宋体" w:eastAsia="宋体" w:hAnsi="宋体" w:cs="宋体"/>
          <w:sz w:val="18"/>
          <w:szCs w:val="18"/>
        </w:rPr>
        <w:t>3</w:t>
      </w:r>
      <w:r w:rsidRPr="000C2E93">
        <w:rPr>
          <w:rFonts w:ascii="宋体" w:eastAsia="宋体" w:hAnsi="宋体" w:cs="宋体" w:hint="eastAsia"/>
          <w:sz w:val="18"/>
          <w:szCs w:val="18"/>
        </w:rPr>
        <w:t>名激励对象离职，公司同意对其</w:t>
      </w:r>
      <w:proofErr w:type="gramStart"/>
      <w:r w:rsidRPr="000C2E93">
        <w:rPr>
          <w:rFonts w:ascii="宋体" w:eastAsia="宋体" w:hAnsi="宋体" w:cs="宋体" w:hint="eastAsia"/>
          <w:sz w:val="18"/>
          <w:szCs w:val="18"/>
        </w:rPr>
        <w:t>已获授但尚未</w:t>
      </w:r>
      <w:proofErr w:type="gramEnd"/>
      <w:r w:rsidRPr="000C2E93">
        <w:rPr>
          <w:rFonts w:ascii="宋体" w:eastAsia="宋体" w:hAnsi="宋体" w:cs="宋体" w:hint="eastAsia"/>
          <w:sz w:val="18"/>
          <w:szCs w:val="18"/>
        </w:rPr>
        <w:t>行权的股票期权合计</w:t>
      </w:r>
      <w:r w:rsidRPr="000C2E93">
        <w:rPr>
          <w:rFonts w:ascii="宋体" w:eastAsia="宋体" w:hAnsi="宋体" w:cs="宋体"/>
          <w:sz w:val="18"/>
          <w:szCs w:val="18"/>
        </w:rPr>
        <w:t>200,000.00</w:t>
      </w:r>
      <w:r w:rsidRPr="000C2E93">
        <w:rPr>
          <w:rFonts w:ascii="宋体" w:eastAsia="宋体" w:hAnsi="宋体" w:cs="宋体" w:hint="eastAsia"/>
          <w:sz w:val="18"/>
          <w:szCs w:val="18"/>
        </w:rPr>
        <w:t>份予以注销。</w:t>
      </w:r>
    </w:p>
    <w:p w:rsidR="008D4B2E" w:rsidRDefault="008D4B2E">
      <w:pPr>
        <w:pStyle w:val="a3"/>
        <w:spacing w:before="0" w:beforeAutospacing="0" w:after="0" w:afterAutospacing="0" w:line="400" w:lineRule="atLeast"/>
        <w:ind w:left="482"/>
        <w:jc w:val="both"/>
        <w:divId w:val="525408917"/>
        <w:rPr>
          <w:rFonts w:ascii="Arial" w:hAnsi="Arial" w:cs="Arial"/>
          <w:sz w:val="20"/>
          <w:szCs w:val="20"/>
        </w:rPr>
      </w:pPr>
      <w:r>
        <w:rPr>
          <w:rStyle w:val="a4"/>
          <w:rFonts w:cs="Arial" w:hint="eastAsia"/>
          <w:sz w:val="20"/>
          <w:szCs w:val="20"/>
        </w:rPr>
        <w:t>（</w:t>
      </w:r>
      <w:r>
        <w:rPr>
          <w:rStyle w:val="a4"/>
          <w:rFonts w:ascii="Arial" w:hAnsi="Arial" w:cs="Arial"/>
          <w:sz w:val="20"/>
          <w:szCs w:val="20"/>
        </w:rPr>
        <w:t>4</w:t>
      </w:r>
      <w:r>
        <w:rPr>
          <w:rStyle w:val="a4"/>
          <w:rFonts w:cs="Arial" w:hint="eastAsia"/>
          <w:sz w:val="20"/>
          <w:szCs w:val="20"/>
        </w:rPr>
        <w:t>）</w:t>
      </w:r>
      <w:r>
        <w:rPr>
          <w:rStyle w:val="a4"/>
          <w:rFonts w:ascii="Arial" w:hAnsi="Arial" w:cs="Arial"/>
          <w:sz w:val="20"/>
          <w:szCs w:val="20"/>
        </w:rPr>
        <w:t>2022</w:t>
      </w:r>
      <w:r>
        <w:rPr>
          <w:rStyle w:val="a4"/>
          <w:rFonts w:cs="Arial" w:hint="eastAsia"/>
          <w:sz w:val="20"/>
          <w:szCs w:val="20"/>
        </w:rPr>
        <w:t>年期</w:t>
      </w:r>
      <w:r>
        <w:rPr>
          <w:rStyle w:val="a4"/>
          <w:rFonts w:ascii="Arial" w:hAnsi="Arial" w:cs="Arial"/>
          <w:sz w:val="20"/>
          <w:szCs w:val="20"/>
        </w:rPr>
        <w:t>-</w:t>
      </w:r>
      <w:r>
        <w:rPr>
          <w:rStyle w:val="a4"/>
          <w:rFonts w:cs="Arial" w:hint="eastAsia"/>
          <w:sz w:val="20"/>
          <w:szCs w:val="20"/>
        </w:rPr>
        <w:t>限制性股票</w:t>
      </w:r>
    </w:p>
    <w:tbl>
      <w:tblPr>
        <w:tblW w:w="9629" w:type="dxa"/>
        <w:tblCellMar>
          <w:left w:w="0" w:type="dxa"/>
          <w:right w:w="0" w:type="dxa"/>
        </w:tblCellMar>
        <w:tblLook w:val="04A0" w:firstRow="1" w:lastRow="0" w:firstColumn="1" w:lastColumn="0" w:noHBand="0" w:noVBand="1"/>
      </w:tblPr>
      <w:tblGrid>
        <w:gridCol w:w="4219"/>
        <w:gridCol w:w="5410"/>
      </w:tblGrid>
      <w:tr w:rsidR="008D4B2E" w:rsidTr="00B87081">
        <w:trPr>
          <w:divId w:val="525408917"/>
          <w:trHeight w:val="380"/>
          <w:tblHeader/>
        </w:trPr>
        <w:tc>
          <w:tcPr>
            <w:tcW w:w="4219"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8D4B2E" w:rsidRPr="000C2E93" w:rsidRDefault="008D4B2E" w:rsidP="000C2E93">
            <w:pPr>
              <w:spacing w:line="240" w:lineRule="exact"/>
              <w:jc w:val="center"/>
              <w:rPr>
                <w:rFonts w:ascii="宋体" w:eastAsia="宋体" w:hAnsi="宋体" w:cs="宋体"/>
                <w:sz w:val="18"/>
                <w:szCs w:val="18"/>
              </w:rPr>
            </w:pPr>
            <w:r w:rsidRPr="000C2E93">
              <w:rPr>
                <w:rFonts w:ascii="宋体" w:eastAsia="宋体" w:hAnsi="宋体" w:cs="宋体" w:hint="eastAsia"/>
                <w:sz w:val="18"/>
                <w:szCs w:val="18"/>
              </w:rPr>
              <w:t>项目</w:t>
            </w:r>
          </w:p>
        </w:tc>
        <w:tc>
          <w:tcPr>
            <w:tcW w:w="5410" w:type="dxa"/>
            <w:tcBorders>
              <w:top w:val="single" w:sz="8" w:space="0" w:color="auto"/>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rsidR="008D4B2E" w:rsidRPr="000C2E93" w:rsidRDefault="008D4B2E" w:rsidP="000C2E93">
            <w:pPr>
              <w:spacing w:line="240" w:lineRule="exact"/>
              <w:jc w:val="center"/>
              <w:rPr>
                <w:rFonts w:ascii="宋体" w:eastAsia="宋体" w:hAnsi="宋体" w:cs="宋体"/>
                <w:sz w:val="18"/>
                <w:szCs w:val="18"/>
              </w:rPr>
            </w:pPr>
            <w:r w:rsidRPr="000C2E93">
              <w:rPr>
                <w:rFonts w:ascii="宋体" w:eastAsia="宋体" w:hAnsi="宋体" w:cs="宋体" w:hint="eastAsia"/>
                <w:sz w:val="18"/>
                <w:szCs w:val="18"/>
              </w:rPr>
              <w:t>相关内容</w:t>
            </w:r>
          </w:p>
        </w:tc>
      </w:tr>
      <w:tr w:rsidR="008D4B2E" w:rsidTr="00B87081">
        <w:trPr>
          <w:divId w:val="525408917"/>
          <w:trHeight w:val="360"/>
        </w:trPr>
        <w:tc>
          <w:tcPr>
            <w:tcW w:w="42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4B2E" w:rsidRPr="000C2E93" w:rsidRDefault="008D4B2E" w:rsidP="000C2E93">
            <w:pPr>
              <w:spacing w:line="240" w:lineRule="exact"/>
              <w:rPr>
                <w:rFonts w:ascii="宋体" w:eastAsia="宋体" w:hAnsi="宋体" w:cs="宋体"/>
                <w:sz w:val="18"/>
                <w:szCs w:val="18"/>
              </w:rPr>
            </w:pPr>
            <w:r w:rsidRPr="000C2E93">
              <w:rPr>
                <w:rFonts w:ascii="宋体" w:eastAsia="宋体" w:hAnsi="宋体" w:cs="宋体" w:hint="eastAsia"/>
                <w:sz w:val="18"/>
                <w:szCs w:val="18"/>
              </w:rPr>
              <w:t>公司本期授予的各项权益工具总额</w:t>
            </w:r>
          </w:p>
        </w:tc>
        <w:tc>
          <w:tcPr>
            <w:tcW w:w="5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0C2E93" w:rsidRDefault="008D4B2E" w:rsidP="000C2E93">
            <w:pPr>
              <w:spacing w:line="240" w:lineRule="exact"/>
              <w:rPr>
                <w:rFonts w:ascii="宋体" w:eastAsia="宋体" w:hAnsi="宋体" w:cs="宋体"/>
                <w:sz w:val="18"/>
                <w:szCs w:val="18"/>
              </w:rPr>
            </w:pPr>
            <w:r w:rsidRPr="000C2E93">
              <w:rPr>
                <w:rFonts w:ascii="宋体" w:eastAsia="宋体" w:hAnsi="宋体" w:cs="宋体"/>
                <w:sz w:val="18"/>
                <w:szCs w:val="18"/>
              </w:rPr>
              <w:t> </w:t>
            </w:r>
          </w:p>
        </w:tc>
      </w:tr>
      <w:tr w:rsidR="008D4B2E" w:rsidTr="00B87081">
        <w:trPr>
          <w:divId w:val="525408917"/>
          <w:trHeight w:val="360"/>
        </w:trPr>
        <w:tc>
          <w:tcPr>
            <w:tcW w:w="42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4B2E" w:rsidRPr="000C2E93" w:rsidRDefault="008D4B2E" w:rsidP="000C2E93">
            <w:pPr>
              <w:spacing w:line="240" w:lineRule="exact"/>
              <w:rPr>
                <w:rFonts w:ascii="宋体" w:eastAsia="宋体" w:hAnsi="宋体" w:cs="宋体"/>
                <w:sz w:val="18"/>
                <w:szCs w:val="18"/>
              </w:rPr>
            </w:pPr>
            <w:r w:rsidRPr="000C2E93">
              <w:rPr>
                <w:rFonts w:ascii="宋体" w:eastAsia="宋体" w:hAnsi="宋体" w:cs="宋体" w:hint="eastAsia"/>
                <w:sz w:val="18"/>
                <w:szCs w:val="18"/>
              </w:rPr>
              <w:t>公司本期行权的各项权益工具总额</w:t>
            </w:r>
            <w:r w:rsidR="00C75946">
              <w:rPr>
                <w:rFonts w:ascii="宋体" w:eastAsia="宋体" w:hAnsi="宋体" w:cs="宋体" w:hint="eastAsia"/>
                <w:sz w:val="18"/>
                <w:szCs w:val="18"/>
              </w:rPr>
              <w:t>（元）</w:t>
            </w:r>
          </w:p>
        </w:tc>
        <w:tc>
          <w:tcPr>
            <w:tcW w:w="5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0C2E93" w:rsidRDefault="008D4B2E" w:rsidP="000C2E93">
            <w:pPr>
              <w:spacing w:line="240" w:lineRule="exact"/>
              <w:jc w:val="right"/>
              <w:rPr>
                <w:rFonts w:ascii="宋体" w:eastAsia="宋体" w:hAnsi="宋体" w:cs="宋体"/>
                <w:sz w:val="18"/>
                <w:szCs w:val="18"/>
              </w:rPr>
            </w:pPr>
            <w:r w:rsidRPr="000C2E93">
              <w:rPr>
                <w:rFonts w:ascii="宋体" w:eastAsia="宋体" w:hAnsi="宋体" w:cs="宋体"/>
                <w:sz w:val="18"/>
                <w:szCs w:val="18"/>
              </w:rPr>
              <w:t>27,047,000.00</w:t>
            </w:r>
          </w:p>
        </w:tc>
      </w:tr>
      <w:tr w:rsidR="008D4B2E" w:rsidTr="00B87081">
        <w:trPr>
          <w:divId w:val="525408917"/>
          <w:trHeight w:val="360"/>
        </w:trPr>
        <w:tc>
          <w:tcPr>
            <w:tcW w:w="42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4B2E" w:rsidRPr="000C2E93" w:rsidRDefault="008D4B2E" w:rsidP="000C2E93">
            <w:pPr>
              <w:spacing w:line="240" w:lineRule="exact"/>
              <w:rPr>
                <w:rFonts w:ascii="宋体" w:eastAsia="宋体" w:hAnsi="宋体" w:cs="宋体"/>
                <w:sz w:val="18"/>
                <w:szCs w:val="18"/>
              </w:rPr>
            </w:pPr>
            <w:r w:rsidRPr="000C2E93">
              <w:rPr>
                <w:rFonts w:ascii="宋体" w:eastAsia="宋体" w:hAnsi="宋体" w:cs="宋体" w:hint="eastAsia"/>
                <w:sz w:val="18"/>
                <w:szCs w:val="18"/>
              </w:rPr>
              <w:t>公司本期失效的各项权益工具总额</w:t>
            </w:r>
          </w:p>
        </w:tc>
        <w:tc>
          <w:tcPr>
            <w:tcW w:w="5410" w:type="dxa"/>
            <w:tcBorders>
              <w:top w:val="nil"/>
              <w:left w:val="nil"/>
              <w:bottom w:val="single" w:sz="8" w:space="0" w:color="auto"/>
              <w:right w:val="single" w:sz="8" w:space="0" w:color="auto"/>
            </w:tcBorders>
            <w:tcMar>
              <w:top w:w="0" w:type="dxa"/>
              <w:left w:w="108" w:type="dxa"/>
              <w:bottom w:w="0" w:type="dxa"/>
              <w:right w:w="108" w:type="dxa"/>
            </w:tcMar>
            <w:hideMark/>
          </w:tcPr>
          <w:p w:rsidR="008D4B2E" w:rsidRPr="000C2E93" w:rsidRDefault="008D4B2E" w:rsidP="000C2E93">
            <w:pPr>
              <w:spacing w:line="240" w:lineRule="exact"/>
              <w:rPr>
                <w:rFonts w:ascii="宋体" w:eastAsia="宋体" w:hAnsi="宋体" w:cs="宋体"/>
                <w:sz w:val="18"/>
                <w:szCs w:val="18"/>
              </w:rPr>
            </w:pPr>
            <w:r w:rsidRPr="000C2E93">
              <w:rPr>
                <w:rFonts w:ascii="宋体" w:eastAsia="宋体" w:hAnsi="宋体" w:cs="宋体"/>
                <w:sz w:val="18"/>
                <w:szCs w:val="18"/>
              </w:rPr>
              <w:t> </w:t>
            </w:r>
          </w:p>
        </w:tc>
      </w:tr>
      <w:tr w:rsidR="008D4B2E" w:rsidTr="00B87081">
        <w:trPr>
          <w:divId w:val="525408917"/>
          <w:trHeight w:val="510"/>
        </w:trPr>
        <w:tc>
          <w:tcPr>
            <w:tcW w:w="42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4B2E" w:rsidRPr="000C2E93" w:rsidRDefault="008D4B2E" w:rsidP="000C2E93">
            <w:pPr>
              <w:spacing w:line="240" w:lineRule="exact"/>
              <w:rPr>
                <w:rFonts w:ascii="宋体" w:eastAsia="宋体" w:hAnsi="宋体" w:cs="宋体"/>
                <w:sz w:val="18"/>
                <w:szCs w:val="18"/>
              </w:rPr>
            </w:pPr>
            <w:r w:rsidRPr="000C2E93">
              <w:rPr>
                <w:rFonts w:ascii="宋体" w:eastAsia="宋体" w:hAnsi="宋体" w:cs="宋体" w:hint="eastAsia"/>
                <w:sz w:val="18"/>
                <w:szCs w:val="18"/>
              </w:rPr>
              <w:t>公司期末发行在外的股份期权行权价格的范围和合同剩余期限</w:t>
            </w:r>
          </w:p>
        </w:tc>
        <w:tc>
          <w:tcPr>
            <w:tcW w:w="5410" w:type="dxa"/>
            <w:tcBorders>
              <w:top w:val="nil"/>
              <w:left w:val="nil"/>
              <w:bottom w:val="single" w:sz="8" w:space="0" w:color="auto"/>
              <w:right w:val="single" w:sz="8" w:space="0" w:color="auto"/>
            </w:tcBorders>
            <w:tcMar>
              <w:top w:w="0" w:type="dxa"/>
              <w:left w:w="108" w:type="dxa"/>
              <w:bottom w:w="0" w:type="dxa"/>
              <w:right w:w="108" w:type="dxa"/>
            </w:tcMar>
            <w:hideMark/>
          </w:tcPr>
          <w:p w:rsidR="008D4B2E" w:rsidRPr="000C2E93" w:rsidRDefault="008D4B2E" w:rsidP="000C2E93">
            <w:pPr>
              <w:spacing w:line="240" w:lineRule="exact"/>
              <w:rPr>
                <w:rFonts w:ascii="宋体" w:eastAsia="宋体" w:hAnsi="宋体" w:cs="宋体"/>
                <w:sz w:val="18"/>
                <w:szCs w:val="18"/>
              </w:rPr>
            </w:pPr>
            <w:r w:rsidRPr="000C2E93">
              <w:rPr>
                <w:rFonts w:ascii="宋体" w:eastAsia="宋体" w:hAnsi="宋体" w:cs="宋体"/>
                <w:sz w:val="18"/>
                <w:szCs w:val="18"/>
              </w:rPr>
              <w:t> </w:t>
            </w:r>
          </w:p>
        </w:tc>
      </w:tr>
      <w:tr w:rsidR="008D4B2E" w:rsidTr="00B87081">
        <w:trPr>
          <w:divId w:val="525408917"/>
          <w:trHeight w:val="495"/>
        </w:trPr>
        <w:tc>
          <w:tcPr>
            <w:tcW w:w="42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4B2E" w:rsidRPr="000C2E93" w:rsidRDefault="008D4B2E" w:rsidP="000C2E93">
            <w:pPr>
              <w:spacing w:line="240" w:lineRule="exact"/>
              <w:rPr>
                <w:rFonts w:ascii="宋体" w:eastAsia="宋体" w:hAnsi="宋体" w:cs="宋体"/>
                <w:sz w:val="18"/>
                <w:szCs w:val="18"/>
              </w:rPr>
            </w:pPr>
            <w:r w:rsidRPr="000C2E93">
              <w:rPr>
                <w:rFonts w:ascii="宋体" w:eastAsia="宋体" w:hAnsi="宋体" w:cs="宋体" w:hint="eastAsia"/>
                <w:sz w:val="18"/>
                <w:szCs w:val="18"/>
              </w:rPr>
              <w:t>公司期末其他权益工具行权价格的范围和合同剩余期限</w:t>
            </w:r>
          </w:p>
        </w:tc>
        <w:tc>
          <w:tcPr>
            <w:tcW w:w="5410" w:type="dxa"/>
            <w:tcBorders>
              <w:top w:val="nil"/>
              <w:left w:val="nil"/>
              <w:bottom w:val="single" w:sz="8" w:space="0" w:color="auto"/>
              <w:right w:val="single" w:sz="8" w:space="0" w:color="auto"/>
            </w:tcBorders>
            <w:tcMar>
              <w:top w:w="0" w:type="dxa"/>
              <w:left w:w="108" w:type="dxa"/>
              <w:bottom w:w="0" w:type="dxa"/>
              <w:right w:w="108" w:type="dxa"/>
            </w:tcMar>
            <w:hideMark/>
          </w:tcPr>
          <w:p w:rsidR="008D4B2E" w:rsidRPr="000C2E93" w:rsidRDefault="008D4B2E" w:rsidP="000C2E93">
            <w:pPr>
              <w:spacing w:line="240" w:lineRule="exact"/>
              <w:rPr>
                <w:rFonts w:ascii="宋体" w:eastAsia="宋体" w:hAnsi="宋体" w:cs="宋体"/>
                <w:sz w:val="18"/>
                <w:szCs w:val="18"/>
              </w:rPr>
            </w:pPr>
            <w:r w:rsidRPr="000C2E93">
              <w:rPr>
                <w:rFonts w:ascii="宋体" w:eastAsia="宋体" w:hAnsi="宋体" w:cs="宋体" w:hint="eastAsia"/>
                <w:sz w:val="18"/>
                <w:szCs w:val="18"/>
              </w:rPr>
              <w:t>授予价格为</w:t>
            </w:r>
            <w:r w:rsidRPr="000C2E93">
              <w:rPr>
                <w:rFonts w:ascii="宋体" w:eastAsia="宋体" w:hAnsi="宋体" w:cs="宋体"/>
                <w:sz w:val="18"/>
                <w:szCs w:val="18"/>
              </w:rPr>
              <w:t>3.86</w:t>
            </w:r>
            <w:r w:rsidRPr="000C2E93">
              <w:rPr>
                <w:rFonts w:ascii="宋体" w:eastAsia="宋体" w:hAnsi="宋体" w:cs="宋体" w:hint="eastAsia"/>
                <w:sz w:val="18"/>
                <w:szCs w:val="18"/>
              </w:rPr>
              <w:t>元</w:t>
            </w:r>
            <w:r w:rsidRPr="000C2E93">
              <w:rPr>
                <w:rFonts w:ascii="宋体" w:eastAsia="宋体" w:hAnsi="宋体" w:cs="宋体"/>
                <w:sz w:val="18"/>
                <w:szCs w:val="18"/>
              </w:rPr>
              <w:t>/</w:t>
            </w:r>
            <w:r w:rsidRPr="000C2E93">
              <w:rPr>
                <w:rFonts w:ascii="宋体" w:eastAsia="宋体" w:hAnsi="宋体" w:cs="宋体" w:hint="eastAsia"/>
                <w:sz w:val="18"/>
                <w:szCs w:val="18"/>
              </w:rPr>
              <w:t>股；限制性股票激励计划的有效期为自限制性股票授予之日起至激励</w:t>
            </w:r>
            <w:proofErr w:type="gramStart"/>
            <w:r w:rsidRPr="000C2E93">
              <w:rPr>
                <w:rFonts w:ascii="宋体" w:eastAsia="宋体" w:hAnsi="宋体" w:cs="宋体" w:hint="eastAsia"/>
                <w:sz w:val="18"/>
                <w:szCs w:val="18"/>
              </w:rPr>
              <w:t>对象获</w:t>
            </w:r>
            <w:proofErr w:type="gramEnd"/>
            <w:r w:rsidRPr="000C2E93">
              <w:rPr>
                <w:rFonts w:ascii="宋体" w:eastAsia="宋体" w:hAnsi="宋体" w:cs="宋体" w:hint="eastAsia"/>
                <w:sz w:val="18"/>
                <w:szCs w:val="18"/>
              </w:rPr>
              <w:t>授的限制性股票全部解除限售或回购注销完毕之日止，最长不超过</w:t>
            </w:r>
            <w:r w:rsidRPr="000C2E93">
              <w:rPr>
                <w:rFonts w:ascii="宋体" w:eastAsia="宋体" w:hAnsi="宋体" w:cs="宋体"/>
                <w:sz w:val="18"/>
                <w:szCs w:val="18"/>
              </w:rPr>
              <w:t>48</w:t>
            </w:r>
            <w:r w:rsidRPr="000C2E93">
              <w:rPr>
                <w:rFonts w:ascii="宋体" w:eastAsia="宋体" w:hAnsi="宋体" w:cs="宋体" w:hint="eastAsia"/>
                <w:sz w:val="18"/>
                <w:szCs w:val="18"/>
              </w:rPr>
              <w:t>个月。</w:t>
            </w:r>
          </w:p>
        </w:tc>
      </w:tr>
    </w:tbl>
    <w:p w:rsidR="008D4B2E" w:rsidRPr="000C2E93" w:rsidRDefault="008D4B2E" w:rsidP="00B87081">
      <w:pPr>
        <w:ind w:firstLineChars="200" w:firstLine="360"/>
        <w:divId w:val="525408917"/>
        <w:rPr>
          <w:rFonts w:ascii="宋体" w:eastAsia="宋体" w:hAnsi="宋体" w:cs="宋体"/>
          <w:sz w:val="18"/>
          <w:szCs w:val="18"/>
        </w:rPr>
      </w:pPr>
      <w:r w:rsidRPr="000C2E93">
        <w:rPr>
          <w:rFonts w:ascii="宋体" w:eastAsia="宋体" w:hAnsi="宋体" w:cs="宋体" w:hint="eastAsia"/>
          <w:sz w:val="18"/>
          <w:szCs w:val="18"/>
        </w:rPr>
        <w:t>①公司于</w:t>
      </w:r>
      <w:r w:rsidRPr="000C2E93">
        <w:rPr>
          <w:rFonts w:ascii="宋体" w:eastAsia="宋体" w:hAnsi="宋体" w:cs="宋体"/>
          <w:sz w:val="18"/>
          <w:szCs w:val="18"/>
        </w:rPr>
        <w:t>2022</w:t>
      </w:r>
      <w:r w:rsidRPr="000C2E93">
        <w:rPr>
          <w:rFonts w:ascii="宋体" w:eastAsia="宋体" w:hAnsi="宋体" w:cs="宋体" w:hint="eastAsia"/>
          <w:sz w:val="18"/>
          <w:szCs w:val="18"/>
        </w:rPr>
        <w:t>年</w:t>
      </w:r>
      <w:r w:rsidRPr="000C2E93">
        <w:rPr>
          <w:rFonts w:ascii="宋体" w:eastAsia="宋体" w:hAnsi="宋体" w:cs="宋体"/>
          <w:sz w:val="18"/>
          <w:szCs w:val="18"/>
        </w:rPr>
        <w:t>8</w:t>
      </w:r>
      <w:r w:rsidRPr="000C2E93">
        <w:rPr>
          <w:rFonts w:ascii="宋体" w:eastAsia="宋体" w:hAnsi="宋体" w:cs="宋体" w:hint="eastAsia"/>
          <w:sz w:val="18"/>
          <w:szCs w:val="18"/>
        </w:rPr>
        <w:t>月</w:t>
      </w:r>
      <w:r w:rsidRPr="000C2E93">
        <w:rPr>
          <w:rFonts w:ascii="宋体" w:eastAsia="宋体" w:hAnsi="宋体" w:cs="宋体"/>
          <w:sz w:val="18"/>
          <w:szCs w:val="18"/>
        </w:rPr>
        <w:t>22</w:t>
      </w:r>
      <w:r w:rsidRPr="000C2E93">
        <w:rPr>
          <w:rFonts w:ascii="宋体" w:eastAsia="宋体" w:hAnsi="宋体" w:cs="宋体" w:hint="eastAsia"/>
          <w:sz w:val="18"/>
          <w:szCs w:val="18"/>
        </w:rPr>
        <w:t>日召开</w:t>
      </w:r>
      <w:r w:rsidRPr="000C2E93">
        <w:rPr>
          <w:rFonts w:ascii="宋体" w:eastAsia="宋体" w:hAnsi="宋体" w:cs="宋体"/>
          <w:sz w:val="18"/>
          <w:szCs w:val="18"/>
        </w:rPr>
        <w:t>2022</w:t>
      </w:r>
      <w:r w:rsidRPr="000C2E93">
        <w:rPr>
          <w:rFonts w:ascii="宋体" w:eastAsia="宋体" w:hAnsi="宋体" w:cs="宋体" w:hint="eastAsia"/>
          <w:sz w:val="18"/>
          <w:szCs w:val="18"/>
        </w:rPr>
        <w:t>年第一次临时股东大会审议通过了《关于</w:t>
      </w:r>
      <w:r w:rsidRPr="000C2E93">
        <w:rPr>
          <w:rFonts w:ascii="宋体" w:eastAsia="宋体" w:hAnsi="宋体" w:cs="宋体"/>
          <w:sz w:val="18"/>
          <w:szCs w:val="18"/>
        </w:rPr>
        <w:t>〈</w:t>
      </w:r>
      <w:r w:rsidRPr="000C2E93">
        <w:rPr>
          <w:rFonts w:ascii="宋体" w:eastAsia="宋体" w:hAnsi="宋体" w:cs="宋体" w:hint="eastAsia"/>
          <w:sz w:val="18"/>
          <w:szCs w:val="18"/>
        </w:rPr>
        <w:t>软控股份有限公司</w:t>
      </w:r>
      <w:r w:rsidRPr="000C2E93">
        <w:rPr>
          <w:rFonts w:ascii="宋体" w:eastAsia="宋体" w:hAnsi="宋体" w:cs="宋体"/>
          <w:sz w:val="18"/>
          <w:szCs w:val="18"/>
        </w:rPr>
        <w:t>2022</w:t>
      </w:r>
      <w:r w:rsidRPr="000C2E93">
        <w:rPr>
          <w:rFonts w:ascii="宋体" w:eastAsia="宋体" w:hAnsi="宋体" w:cs="宋体" w:hint="eastAsia"/>
          <w:sz w:val="18"/>
          <w:szCs w:val="18"/>
        </w:rPr>
        <w:t>年股票期权与限制性股票激励计划（草案）</w:t>
      </w:r>
      <w:r w:rsidRPr="000C2E93">
        <w:rPr>
          <w:rFonts w:ascii="宋体" w:eastAsia="宋体" w:hAnsi="宋体" w:cs="宋体"/>
          <w:sz w:val="18"/>
          <w:szCs w:val="18"/>
        </w:rPr>
        <w:t>〉</w:t>
      </w:r>
      <w:r w:rsidRPr="000C2E93">
        <w:rPr>
          <w:rFonts w:ascii="宋体" w:eastAsia="宋体" w:hAnsi="宋体" w:cs="宋体" w:hint="eastAsia"/>
          <w:sz w:val="18"/>
          <w:szCs w:val="18"/>
        </w:rPr>
        <w:t>及其摘要的议案》、《关于</w:t>
      </w:r>
      <w:r w:rsidRPr="000C2E93">
        <w:rPr>
          <w:rFonts w:ascii="宋体" w:eastAsia="宋体" w:hAnsi="宋体" w:cs="宋体"/>
          <w:sz w:val="18"/>
          <w:szCs w:val="18"/>
        </w:rPr>
        <w:t>〈</w:t>
      </w:r>
      <w:r w:rsidRPr="000C2E93">
        <w:rPr>
          <w:rFonts w:ascii="宋体" w:eastAsia="宋体" w:hAnsi="宋体" w:cs="宋体" w:hint="eastAsia"/>
          <w:sz w:val="18"/>
          <w:szCs w:val="18"/>
        </w:rPr>
        <w:t>软控股份有限公司</w:t>
      </w:r>
      <w:r w:rsidRPr="000C2E93">
        <w:rPr>
          <w:rFonts w:ascii="宋体" w:eastAsia="宋体" w:hAnsi="宋体" w:cs="宋体"/>
          <w:sz w:val="18"/>
          <w:szCs w:val="18"/>
        </w:rPr>
        <w:t>2022</w:t>
      </w:r>
      <w:r w:rsidRPr="000C2E93">
        <w:rPr>
          <w:rFonts w:ascii="宋体" w:eastAsia="宋体" w:hAnsi="宋体" w:cs="宋体" w:hint="eastAsia"/>
          <w:sz w:val="18"/>
          <w:szCs w:val="18"/>
        </w:rPr>
        <w:t>年股票期权与限制性股票激励计划实施考核管理办法</w:t>
      </w:r>
      <w:r w:rsidRPr="000C2E93">
        <w:rPr>
          <w:rFonts w:ascii="宋体" w:eastAsia="宋体" w:hAnsi="宋体" w:cs="宋体"/>
          <w:sz w:val="18"/>
          <w:szCs w:val="18"/>
        </w:rPr>
        <w:t>〉</w:t>
      </w:r>
      <w:r w:rsidRPr="000C2E93">
        <w:rPr>
          <w:rFonts w:ascii="宋体" w:eastAsia="宋体" w:hAnsi="宋体" w:cs="宋体" w:hint="eastAsia"/>
          <w:sz w:val="18"/>
          <w:szCs w:val="18"/>
        </w:rPr>
        <w:t>的议案》、《关于提请股东大会授权董事会办理股权激励相关事宜的议案》等与本次激励计划相关的议案。</w:t>
      </w:r>
      <w:r w:rsidRPr="000C2E93">
        <w:rPr>
          <w:rFonts w:ascii="宋体" w:eastAsia="宋体" w:hAnsi="宋体" w:cs="宋体"/>
          <w:sz w:val="18"/>
          <w:szCs w:val="18"/>
        </w:rPr>
        <w:t>2022</w:t>
      </w:r>
      <w:r w:rsidRPr="000C2E93">
        <w:rPr>
          <w:rFonts w:ascii="宋体" w:eastAsia="宋体" w:hAnsi="宋体" w:cs="宋体" w:hint="eastAsia"/>
          <w:sz w:val="18"/>
          <w:szCs w:val="18"/>
        </w:rPr>
        <w:t>年</w:t>
      </w:r>
      <w:r w:rsidRPr="000C2E93">
        <w:rPr>
          <w:rFonts w:ascii="宋体" w:eastAsia="宋体" w:hAnsi="宋体" w:cs="宋体"/>
          <w:sz w:val="18"/>
          <w:szCs w:val="18"/>
        </w:rPr>
        <w:t>8</w:t>
      </w:r>
      <w:r w:rsidRPr="000C2E93">
        <w:rPr>
          <w:rFonts w:ascii="宋体" w:eastAsia="宋体" w:hAnsi="宋体" w:cs="宋体" w:hint="eastAsia"/>
          <w:sz w:val="18"/>
          <w:szCs w:val="18"/>
        </w:rPr>
        <w:t>月</w:t>
      </w:r>
      <w:r w:rsidRPr="000C2E93">
        <w:rPr>
          <w:rFonts w:ascii="宋体" w:eastAsia="宋体" w:hAnsi="宋体" w:cs="宋体"/>
          <w:sz w:val="18"/>
          <w:szCs w:val="18"/>
        </w:rPr>
        <w:t>22</w:t>
      </w:r>
      <w:r w:rsidRPr="000C2E93">
        <w:rPr>
          <w:rFonts w:ascii="宋体" w:eastAsia="宋体" w:hAnsi="宋体" w:cs="宋体" w:hint="eastAsia"/>
          <w:sz w:val="18"/>
          <w:szCs w:val="18"/>
        </w:rPr>
        <w:t>日召开第八届董事会第三次会议、第八届监事会第四次会议，审议通过了《关于向激励对象授予股票期权与限制性股票的议案》，确定向符合激励计划的激励对象授予总计</w:t>
      </w:r>
      <w:r w:rsidRPr="000C2E93">
        <w:rPr>
          <w:rFonts w:ascii="宋体" w:eastAsia="宋体" w:hAnsi="宋体" w:cs="宋体"/>
          <w:sz w:val="18"/>
          <w:szCs w:val="18"/>
        </w:rPr>
        <w:t>3,980.00</w:t>
      </w:r>
      <w:r w:rsidRPr="000C2E93">
        <w:rPr>
          <w:rFonts w:ascii="宋体" w:eastAsia="宋体" w:hAnsi="宋体" w:cs="宋体" w:hint="eastAsia"/>
          <w:sz w:val="18"/>
          <w:szCs w:val="18"/>
        </w:rPr>
        <w:t>万份权益。其中，确定对官</w:t>
      </w:r>
      <w:proofErr w:type="gramStart"/>
      <w:r w:rsidRPr="000C2E93">
        <w:rPr>
          <w:rFonts w:ascii="宋体" w:eastAsia="宋体" w:hAnsi="宋体" w:cs="宋体" w:hint="eastAsia"/>
          <w:sz w:val="18"/>
          <w:szCs w:val="18"/>
        </w:rPr>
        <w:t>炳</w:t>
      </w:r>
      <w:proofErr w:type="gramEnd"/>
      <w:r w:rsidRPr="000C2E93">
        <w:rPr>
          <w:rFonts w:ascii="宋体" w:eastAsia="宋体" w:hAnsi="宋体" w:cs="宋体" w:hint="eastAsia"/>
          <w:sz w:val="18"/>
          <w:szCs w:val="18"/>
        </w:rPr>
        <w:t>政、张垚、杨慧丽等</w:t>
      </w:r>
      <w:r w:rsidRPr="000C2E93">
        <w:rPr>
          <w:rFonts w:ascii="宋体" w:eastAsia="宋体" w:hAnsi="宋体" w:cs="宋体"/>
          <w:sz w:val="18"/>
          <w:szCs w:val="18"/>
        </w:rPr>
        <w:t>245</w:t>
      </w:r>
      <w:r w:rsidRPr="000C2E93">
        <w:rPr>
          <w:rFonts w:ascii="宋体" w:eastAsia="宋体" w:hAnsi="宋体" w:cs="宋体" w:hint="eastAsia"/>
          <w:sz w:val="18"/>
          <w:szCs w:val="18"/>
        </w:rPr>
        <w:t>名参加对象授予</w:t>
      </w:r>
      <w:r w:rsidRPr="000C2E93">
        <w:rPr>
          <w:rFonts w:ascii="宋体" w:eastAsia="宋体" w:hAnsi="宋体" w:cs="宋体"/>
          <w:sz w:val="18"/>
          <w:szCs w:val="18"/>
        </w:rPr>
        <w:t>1,592</w:t>
      </w:r>
      <w:r w:rsidRPr="000C2E93">
        <w:rPr>
          <w:rFonts w:ascii="宋体" w:eastAsia="宋体" w:hAnsi="宋体" w:cs="宋体" w:hint="eastAsia"/>
          <w:sz w:val="18"/>
          <w:szCs w:val="18"/>
        </w:rPr>
        <w:t>万股限制性股票，本次实际</w:t>
      </w:r>
      <w:r w:rsidRPr="000C2E93">
        <w:rPr>
          <w:rFonts w:ascii="宋体" w:eastAsia="宋体" w:hAnsi="宋体" w:cs="宋体"/>
          <w:sz w:val="18"/>
          <w:szCs w:val="18"/>
        </w:rPr>
        <w:t>245</w:t>
      </w:r>
      <w:r w:rsidRPr="000C2E93">
        <w:rPr>
          <w:rFonts w:ascii="宋体" w:eastAsia="宋体" w:hAnsi="宋体" w:cs="宋体" w:hint="eastAsia"/>
          <w:sz w:val="18"/>
          <w:szCs w:val="18"/>
        </w:rPr>
        <w:t>名参加对象认购</w:t>
      </w:r>
      <w:r w:rsidRPr="000C2E93">
        <w:rPr>
          <w:rFonts w:ascii="宋体" w:eastAsia="宋体" w:hAnsi="宋体" w:cs="宋体"/>
          <w:sz w:val="18"/>
          <w:szCs w:val="18"/>
        </w:rPr>
        <w:t>15,920,000</w:t>
      </w:r>
      <w:r w:rsidRPr="000C2E93">
        <w:rPr>
          <w:rFonts w:ascii="宋体" w:eastAsia="宋体" w:hAnsi="宋体" w:cs="宋体" w:hint="eastAsia"/>
          <w:sz w:val="18"/>
          <w:szCs w:val="18"/>
        </w:rPr>
        <w:t>股限制性股票，股票面值</w:t>
      </w:r>
      <w:r w:rsidRPr="000C2E93">
        <w:rPr>
          <w:rFonts w:ascii="宋体" w:eastAsia="宋体" w:hAnsi="宋体" w:cs="宋体"/>
          <w:sz w:val="18"/>
          <w:szCs w:val="18"/>
        </w:rPr>
        <w:t>1</w:t>
      </w:r>
      <w:r w:rsidRPr="000C2E93">
        <w:rPr>
          <w:rFonts w:ascii="宋体" w:eastAsia="宋体" w:hAnsi="宋体" w:cs="宋体" w:hint="eastAsia"/>
          <w:sz w:val="18"/>
          <w:szCs w:val="18"/>
        </w:rPr>
        <w:t>元，认购价格为</w:t>
      </w:r>
      <w:r w:rsidRPr="000C2E93">
        <w:rPr>
          <w:rFonts w:ascii="宋体" w:eastAsia="宋体" w:hAnsi="宋体" w:cs="宋体"/>
          <w:sz w:val="18"/>
          <w:szCs w:val="18"/>
        </w:rPr>
        <w:t>3.86</w:t>
      </w:r>
      <w:r w:rsidRPr="000C2E93">
        <w:rPr>
          <w:rFonts w:ascii="宋体" w:eastAsia="宋体" w:hAnsi="宋体" w:cs="宋体" w:hint="eastAsia"/>
          <w:sz w:val="18"/>
          <w:szCs w:val="18"/>
        </w:rPr>
        <w:t>元</w:t>
      </w:r>
      <w:r w:rsidRPr="000C2E93">
        <w:rPr>
          <w:rFonts w:ascii="宋体" w:eastAsia="宋体" w:hAnsi="宋体" w:cs="宋体"/>
          <w:sz w:val="18"/>
          <w:szCs w:val="18"/>
        </w:rPr>
        <w:t>/</w:t>
      </w:r>
      <w:r w:rsidRPr="000C2E93">
        <w:rPr>
          <w:rFonts w:ascii="宋体" w:eastAsia="宋体" w:hAnsi="宋体" w:cs="宋体" w:hint="eastAsia"/>
          <w:sz w:val="18"/>
          <w:szCs w:val="18"/>
        </w:rPr>
        <w:t>股。</w:t>
      </w:r>
    </w:p>
    <w:p w:rsidR="008D4B2E" w:rsidRPr="000C2E93" w:rsidRDefault="008D4B2E" w:rsidP="00B87081">
      <w:pPr>
        <w:ind w:firstLineChars="200" w:firstLine="360"/>
        <w:divId w:val="525408917"/>
        <w:rPr>
          <w:rFonts w:ascii="宋体" w:eastAsia="宋体" w:hAnsi="宋体" w:cs="宋体"/>
          <w:sz w:val="18"/>
          <w:szCs w:val="18"/>
        </w:rPr>
      </w:pPr>
      <w:r w:rsidRPr="000C2E93">
        <w:rPr>
          <w:rFonts w:ascii="宋体" w:eastAsia="宋体" w:hAnsi="宋体" w:cs="宋体" w:hint="eastAsia"/>
          <w:sz w:val="18"/>
          <w:szCs w:val="18"/>
        </w:rPr>
        <w:t>②</w:t>
      </w:r>
      <w:proofErr w:type="gramStart"/>
      <w:r w:rsidRPr="000C2E93">
        <w:rPr>
          <w:rFonts w:ascii="宋体" w:eastAsia="宋体" w:hAnsi="宋体" w:cs="宋体" w:hint="eastAsia"/>
          <w:sz w:val="18"/>
          <w:szCs w:val="18"/>
        </w:rPr>
        <w:t>本期员工</w:t>
      </w:r>
      <w:proofErr w:type="gramEnd"/>
      <w:r w:rsidRPr="000C2E93">
        <w:rPr>
          <w:rFonts w:ascii="宋体" w:eastAsia="宋体" w:hAnsi="宋体" w:cs="宋体" w:hint="eastAsia"/>
          <w:sz w:val="18"/>
          <w:szCs w:val="18"/>
        </w:rPr>
        <w:t>持股计划通过向激励对象定向发行的公司人民币</w:t>
      </w:r>
      <w:r w:rsidRPr="000C2E93">
        <w:rPr>
          <w:rFonts w:ascii="宋体" w:eastAsia="宋体" w:hAnsi="宋体" w:cs="宋体"/>
          <w:sz w:val="18"/>
          <w:szCs w:val="18"/>
        </w:rPr>
        <w:t>A</w:t>
      </w:r>
      <w:r w:rsidRPr="000C2E93">
        <w:rPr>
          <w:rFonts w:ascii="宋体" w:eastAsia="宋体" w:hAnsi="宋体" w:cs="宋体" w:hint="eastAsia"/>
          <w:sz w:val="18"/>
          <w:szCs w:val="18"/>
        </w:rPr>
        <w:t>股普通股股票，分三期解锁，解锁时点分别为自公司公告最后一笔标的股票过户至</w:t>
      </w:r>
      <w:proofErr w:type="gramStart"/>
      <w:r w:rsidRPr="000C2E93">
        <w:rPr>
          <w:rFonts w:ascii="宋体" w:eastAsia="宋体" w:hAnsi="宋体" w:cs="宋体" w:hint="eastAsia"/>
          <w:sz w:val="18"/>
          <w:szCs w:val="18"/>
        </w:rPr>
        <w:t>本期员工</w:t>
      </w:r>
      <w:proofErr w:type="gramEnd"/>
      <w:r w:rsidRPr="000C2E93">
        <w:rPr>
          <w:rFonts w:ascii="宋体" w:eastAsia="宋体" w:hAnsi="宋体" w:cs="宋体" w:hint="eastAsia"/>
          <w:sz w:val="18"/>
          <w:szCs w:val="18"/>
        </w:rPr>
        <w:t>持股计划名下之日起满</w:t>
      </w:r>
      <w:r w:rsidRPr="000C2E93">
        <w:rPr>
          <w:rFonts w:ascii="宋体" w:eastAsia="宋体" w:hAnsi="宋体" w:cs="宋体"/>
          <w:sz w:val="18"/>
          <w:szCs w:val="18"/>
        </w:rPr>
        <w:t>12</w:t>
      </w:r>
      <w:r w:rsidRPr="000C2E93">
        <w:rPr>
          <w:rFonts w:ascii="宋体" w:eastAsia="宋体" w:hAnsi="宋体" w:cs="宋体" w:hint="eastAsia"/>
          <w:sz w:val="18"/>
          <w:szCs w:val="18"/>
        </w:rPr>
        <w:t>个月、</w:t>
      </w:r>
      <w:r w:rsidRPr="000C2E93">
        <w:rPr>
          <w:rFonts w:ascii="宋体" w:eastAsia="宋体" w:hAnsi="宋体" w:cs="宋体"/>
          <w:sz w:val="18"/>
          <w:szCs w:val="18"/>
        </w:rPr>
        <w:t>24</w:t>
      </w:r>
      <w:r w:rsidRPr="000C2E93">
        <w:rPr>
          <w:rFonts w:ascii="宋体" w:eastAsia="宋体" w:hAnsi="宋体" w:cs="宋体" w:hint="eastAsia"/>
          <w:sz w:val="18"/>
          <w:szCs w:val="18"/>
        </w:rPr>
        <w:t>个月、</w:t>
      </w:r>
      <w:r w:rsidRPr="000C2E93">
        <w:rPr>
          <w:rFonts w:ascii="宋体" w:eastAsia="宋体" w:hAnsi="宋体" w:cs="宋体"/>
          <w:sz w:val="18"/>
          <w:szCs w:val="18"/>
        </w:rPr>
        <w:t>36</w:t>
      </w:r>
      <w:r w:rsidRPr="000C2E93">
        <w:rPr>
          <w:rFonts w:ascii="宋体" w:eastAsia="宋体" w:hAnsi="宋体" w:cs="宋体" w:hint="eastAsia"/>
          <w:sz w:val="18"/>
          <w:szCs w:val="18"/>
        </w:rPr>
        <w:t>个月，最长锁定期为</w:t>
      </w:r>
      <w:r w:rsidRPr="000C2E93">
        <w:rPr>
          <w:rFonts w:ascii="宋体" w:eastAsia="宋体" w:hAnsi="宋体" w:cs="宋体"/>
          <w:sz w:val="18"/>
          <w:szCs w:val="18"/>
        </w:rPr>
        <w:t>36</w:t>
      </w:r>
      <w:r w:rsidRPr="000C2E93">
        <w:rPr>
          <w:rFonts w:ascii="宋体" w:eastAsia="宋体" w:hAnsi="宋体" w:cs="宋体" w:hint="eastAsia"/>
          <w:sz w:val="18"/>
          <w:szCs w:val="18"/>
        </w:rPr>
        <w:t>个月，每期解锁的标的股票比例分别为</w:t>
      </w:r>
      <w:r w:rsidRPr="000C2E93">
        <w:rPr>
          <w:rFonts w:ascii="宋体" w:eastAsia="宋体" w:hAnsi="宋体" w:cs="宋体"/>
          <w:sz w:val="18"/>
          <w:szCs w:val="18"/>
        </w:rPr>
        <w:t>40%</w:t>
      </w:r>
      <w:r w:rsidRPr="000C2E93">
        <w:rPr>
          <w:rFonts w:ascii="宋体" w:eastAsia="宋体" w:hAnsi="宋体" w:cs="宋体" w:hint="eastAsia"/>
          <w:sz w:val="18"/>
          <w:szCs w:val="18"/>
        </w:rPr>
        <w:t>、</w:t>
      </w:r>
      <w:r w:rsidRPr="000C2E93">
        <w:rPr>
          <w:rFonts w:ascii="宋体" w:eastAsia="宋体" w:hAnsi="宋体" w:cs="宋体"/>
          <w:sz w:val="18"/>
          <w:szCs w:val="18"/>
        </w:rPr>
        <w:t>30%</w:t>
      </w:r>
      <w:r w:rsidRPr="000C2E93">
        <w:rPr>
          <w:rFonts w:ascii="宋体" w:eastAsia="宋体" w:hAnsi="宋体" w:cs="宋体" w:hint="eastAsia"/>
          <w:sz w:val="18"/>
          <w:szCs w:val="18"/>
        </w:rPr>
        <w:t>、</w:t>
      </w:r>
      <w:r w:rsidRPr="000C2E93">
        <w:rPr>
          <w:rFonts w:ascii="宋体" w:eastAsia="宋体" w:hAnsi="宋体" w:cs="宋体"/>
          <w:sz w:val="18"/>
          <w:szCs w:val="18"/>
        </w:rPr>
        <w:t>30%</w:t>
      </w:r>
      <w:r w:rsidRPr="000C2E93">
        <w:rPr>
          <w:rFonts w:ascii="宋体" w:eastAsia="宋体" w:hAnsi="宋体" w:cs="宋体" w:hint="eastAsia"/>
          <w:sz w:val="18"/>
          <w:szCs w:val="18"/>
        </w:rPr>
        <w:t>，各年度具体解锁比例和数量根据公司业绩指标和持有人考核结果计算确定。</w:t>
      </w:r>
    </w:p>
    <w:p w:rsidR="008D4B2E" w:rsidRPr="000C2E93" w:rsidRDefault="008D4B2E" w:rsidP="00B87081">
      <w:pPr>
        <w:ind w:firstLineChars="200" w:firstLine="360"/>
        <w:divId w:val="525408917"/>
        <w:rPr>
          <w:rFonts w:ascii="宋体" w:eastAsia="宋体" w:hAnsi="宋体" w:cs="宋体"/>
          <w:sz w:val="18"/>
          <w:szCs w:val="18"/>
        </w:rPr>
      </w:pPr>
      <w:r w:rsidRPr="000C2E93">
        <w:rPr>
          <w:rFonts w:ascii="宋体" w:eastAsia="宋体" w:hAnsi="宋体" w:cs="宋体" w:hint="eastAsia"/>
          <w:sz w:val="18"/>
          <w:szCs w:val="18"/>
        </w:rPr>
        <w:t>③</w:t>
      </w:r>
      <w:r w:rsidRPr="000C2E93">
        <w:rPr>
          <w:rFonts w:ascii="宋体" w:eastAsia="宋体" w:hAnsi="宋体" w:cs="宋体"/>
          <w:sz w:val="18"/>
          <w:szCs w:val="18"/>
        </w:rPr>
        <w:t>2022</w:t>
      </w:r>
      <w:r w:rsidRPr="000C2E93">
        <w:rPr>
          <w:rFonts w:ascii="宋体" w:eastAsia="宋体" w:hAnsi="宋体" w:cs="宋体" w:hint="eastAsia"/>
          <w:sz w:val="18"/>
          <w:szCs w:val="18"/>
        </w:rPr>
        <w:t>年</w:t>
      </w:r>
      <w:r w:rsidRPr="000C2E93">
        <w:rPr>
          <w:rFonts w:ascii="宋体" w:eastAsia="宋体" w:hAnsi="宋体" w:cs="宋体"/>
          <w:sz w:val="18"/>
          <w:szCs w:val="18"/>
        </w:rPr>
        <w:t>10</w:t>
      </w:r>
      <w:r w:rsidRPr="000C2E93">
        <w:rPr>
          <w:rFonts w:ascii="宋体" w:eastAsia="宋体" w:hAnsi="宋体" w:cs="宋体" w:hint="eastAsia"/>
          <w:sz w:val="18"/>
          <w:szCs w:val="18"/>
        </w:rPr>
        <w:t>月</w:t>
      </w:r>
      <w:r w:rsidRPr="000C2E93">
        <w:rPr>
          <w:rFonts w:ascii="宋体" w:eastAsia="宋体" w:hAnsi="宋体" w:cs="宋体"/>
          <w:sz w:val="18"/>
          <w:szCs w:val="18"/>
        </w:rPr>
        <w:t>13</w:t>
      </w:r>
      <w:r w:rsidRPr="000C2E93">
        <w:rPr>
          <w:rFonts w:ascii="宋体" w:eastAsia="宋体" w:hAnsi="宋体" w:cs="宋体" w:hint="eastAsia"/>
          <w:sz w:val="18"/>
          <w:szCs w:val="18"/>
        </w:rPr>
        <w:t>日，公司完成了</w:t>
      </w:r>
      <w:r w:rsidRPr="000C2E93">
        <w:rPr>
          <w:rFonts w:ascii="宋体" w:eastAsia="宋体" w:hAnsi="宋体" w:cs="宋体"/>
          <w:sz w:val="18"/>
          <w:szCs w:val="18"/>
        </w:rPr>
        <w:t>2022</w:t>
      </w:r>
      <w:r w:rsidRPr="000C2E93">
        <w:rPr>
          <w:rFonts w:ascii="宋体" w:eastAsia="宋体" w:hAnsi="宋体" w:cs="宋体" w:hint="eastAsia"/>
          <w:sz w:val="18"/>
          <w:szCs w:val="18"/>
        </w:rPr>
        <w:t>年限制性股票激励计划限制性股票的授予登记工作，向</w:t>
      </w:r>
      <w:r w:rsidRPr="000C2E93">
        <w:rPr>
          <w:rFonts w:ascii="宋体" w:eastAsia="宋体" w:hAnsi="宋体" w:cs="宋体"/>
          <w:sz w:val="18"/>
          <w:szCs w:val="18"/>
        </w:rPr>
        <w:t>245</w:t>
      </w:r>
      <w:r w:rsidRPr="000C2E93">
        <w:rPr>
          <w:rFonts w:ascii="宋体" w:eastAsia="宋体" w:hAnsi="宋体" w:cs="宋体" w:hint="eastAsia"/>
          <w:sz w:val="18"/>
          <w:szCs w:val="18"/>
        </w:rPr>
        <w:t>名激励对象授予</w:t>
      </w:r>
      <w:r w:rsidRPr="000C2E93">
        <w:rPr>
          <w:rFonts w:ascii="宋体" w:eastAsia="宋体" w:hAnsi="宋体" w:cs="宋体"/>
          <w:sz w:val="18"/>
          <w:szCs w:val="18"/>
        </w:rPr>
        <w:t>1,592.00</w:t>
      </w:r>
      <w:r w:rsidRPr="000C2E93">
        <w:rPr>
          <w:rFonts w:ascii="宋体" w:eastAsia="宋体" w:hAnsi="宋体" w:cs="宋体" w:hint="eastAsia"/>
          <w:sz w:val="18"/>
          <w:szCs w:val="18"/>
        </w:rPr>
        <w:t>万份限制性股票，授予价格为</w:t>
      </w:r>
      <w:r w:rsidRPr="000C2E93">
        <w:rPr>
          <w:rFonts w:ascii="宋体" w:eastAsia="宋体" w:hAnsi="宋体" w:cs="宋体"/>
          <w:sz w:val="18"/>
          <w:szCs w:val="18"/>
        </w:rPr>
        <w:t>3.86</w:t>
      </w:r>
      <w:r w:rsidRPr="000C2E93">
        <w:rPr>
          <w:rFonts w:ascii="宋体" w:eastAsia="宋体" w:hAnsi="宋体" w:cs="宋体" w:hint="eastAsia"/>
          <w:sz w:val="18"/>
          <w:szCs w:val="18"/>
        </w:rPr>
        <w:t>元</w:t>
      </w:r>
      <w:r w:rsidRPr="000C2E93">
        <w:rPr>
          <w:rFonts w:ascii="宋体" w:eastAsia="宋体" w:hAnsi="宋体" w:cs="宋体"/>
          <w:sz w:val="18"/>
          <w:szCs w:val="18"/>
        </w:rPr>
        <w:t>/</w:t>
      </w:r>
      <w:r w:rsidRPr="000C2E93">
        <w:rPr>
          <w:rFonts w:ascii="宋体" w:eastAsia="宋体" w:hAnsi="宋体" w:cs="宋体" w:hint="eastAsia"/>
          <w:sz w:val="18"/>
          <w:szCs w:val="18"/>
        </w:rPr>
        <w:t>股，授予的限制性股票于</w:t>
      </w:r>
      <w:r w:rsidRPr="000C2E93">
        <w:rPr>
          <w:rFonts w:ascii="宋体" w:eastAsia="宋体" w:hAnsi="宋体" w:cs="宋体"/>
          <w:sz w:val="18"/>
          <w:szCs w:val="18"/>
        </w:rPr>
        <w:t>2022</w:t>
      </w:r>
      <w:r w:rsidRPr="000C2E93">
        <w:rPr>
          <w:rFonts w:ascii="宋体" w:eastAsia="宋体" w:hAnsi="宋体" w:cs="宋体" w:hint="eastAsia"/>
          <w:sz w:val="18"/>
          <w:szCs w:val="18"/>
        </w:rPr>
        <w:t>年</w:t>
      </w:r>
      <w:r w:rsidRPr="000C2E93">
        <w:rPr>
          <w:rFonts w:ascii="宋体" w:eastAsia="宋体" w:hAnsi="宋体" w:cs="宋体"/>
          <w:sz w:val="18"/>
          <w:szCs w:val="18"/>
        </w:rPr>
        <w:t>10</w:t>
      </w:r>
      <w:r w:rsidRPr="000C2E93">
        <w:rPr>
          <w:rFonts w:ascii="宋体" w:eastAsia="宋体" w:hAnsi="宋体" w:cs="宋体" w:hint="eastAsia"/>
          <w:sz w:val="18"/>
          <w:szCs w:val="18"/>
        </w:rPr>
        <w:t>月</w:t>
      </w:r>
      <w:r w:rsidRPr="000C2E93">
        <w:rPr>
          <w:rFonts w:ascii="宋体" w:eastAsia="宋体" w:hAnsi="宋体" w:cs="宋体"/>
          <w:sz w:val="18"/>
          <w:szCs w:val="18"/>
        </w:rPr>
        <w:t>13</w:t>
      </w:r>
      <w:r w:rsidRPr="000C2E93">
        <w:rPr>
          <w:rFonts w:ascii="宋体" w:eastAsia="宋体" w:hAnsi="宋体" w:cs="宋体" w:hint="eastAsia"/>
          <w:sz w:val="18"/>
          <w:szCs w:val="18"/>
        </w:rPr>
        <w:t>日上市。公司全部有效的员工持股计划所持有的股票总数累计未超过公司股本总额的</w:t>
      </w:r>
      <w:r w:rsidRPr="000C2E93">
        <w:rPr>
          <w:rFonts w:ascii="宋体" w:eastAsia="宋体" w:hAnsi="宋体" w:cs="宋体"/>
          <w:sz w:val="18"/>
          <w:szCs w:val="18"/>
        </w:rPr>
        <w:t>10%</w:t>
      </w:r>
      <w:r w:rsidRPr="000C2E93">
        <w:rPr>
          <w:rFonts w:ascii="宋体" w:eastAsia="宋体" w:hAnsi="宋体" w:cs="宋体" w:hint="eastAsia"/>
          <w:sz w:val="18"/>
          <w:szCs w:val="18"/>
        </w:rPr>
        <w:t>，单个员工所获股份权益对应的股票总数累计未超过公司股本总额的</w:t>
      </w:r>
      <w:r w:rsidRPr="000C2E93">
        <w:rPr>
          <w:rFonts w:ascii="宋体" w:eastAsia="宋体" w:hAnsi="宋体" w:cs="宋体"/>
          <w:sz w:val="18"/>
          <w:szCs w:val="18"/>
        </w:rPr>
        <w:t>1%</w:t>
      </w:r>
      <w:r w:rsidRPr="000C2E93">
        <w:rPr>
          <w:rFonts w:ascii="宋体" w:eastAsia="宋体" w:hAnsi="宋体" w:cs="宋体" w:hint="eastAsia"/>
          <w:sz w:val="18"/>
          <w:szCs w:val="18"/>
        </w:rPr>
        <w:t>。</w:t>
      </w:r>
    </w:p>
    <w:p w:rsidR="008D4B2E" w:rsidRPr="000C2E93" w:rsidRDefault="008D4B2E" w:rsidP="00B87081">
      <w:pPr>
        <w:ind w:firstLineChars="200" w:firstLine="360"/>
        <w:divId w:val="525408917"/>
        <w:rPr>
          <w:rFonts w:ascii="宋体" w:eastAsia="宋体" w:hAnsi="宋体" w:cs="宋体"/>
          <w:sz w:val="18"/>
          <w:szCs w:val="18"/>
        </w:rPr>
      </w:pPr>
      <w:r w:rsidRPr="000C2E93">
        <w:rPr>
          <w:rFonts w:ascii="宋体" w:eastAsia="宋体" w:hAnsi="宋体" w:cs="宋体" w:hint="eastAsia"/>
          <w:sz w:val="18"/>
          <w:szCs w:val="18"/>
        </w:rPr>
        <w:t>④本激励计划在</w:t>
      </w:r>
      <w:r w:rsidRPr="000C2E93">
        <w:rPr>
          <w:rFonts w:ascii="宋体" w:eastAsia="宋体" w:hAnsi="宋体" w:cs="宋体"/>
          <w:sz w:val="18"/>
          <w:szCs w:val="18"/>
        </w:rPr>
        <w:t>2022</w:t>
      </w:r>
      <w:r w:rsidRPr="000C2E93">
        <w:rPr>
          <w:rFonts w:ascii="宋体" w:eastAsia="宋体" w:hAnsi="宋体" w:cs="宋体" w:hint="eastAsia"/>
          <w:sz w:val="18"/>
          <w:szCs w:val="18"/>
        </w:rPr>
        <w:t>年</w:t>
      </w:r>
      <w:r w:rsidRPr="000C2E93">
        <w:rPr>
          <w:rFonts w:ascii="宋体" w:eastAsia="宋体" w:hAnsi="宋体" w:cs="宋体"/>
          <w:sz w:val="18"/>
          <w:szCs w:val="18"/>
        </w:rPr>
        <w:t>-2024</w:t>
      </w:r>
      <w:r w:rsidRPr="000C2E93">
        <w:rPr>
          <w:rFonts w:ascii="宋体" w:eastAsia="宋体" w:hAnsi="宋体" w:cs="宋体" w:hint="eastAsia"/>
          <w:sz w:val="18"/>
          <w:szCs w:val="18"/>
        </w:rPr>
        <w:t>年会计年度中，分年度对公司的业绩指标进行考核，以达到业绩考核目标作为</w:t>
      </w:r>
      <w:r w:rsidR="00B87081">
        <w:rPr>
          <w:rFonts w:ascii="宋体" w:eastAsia="宋体" w:hAnsi="宋体" w:cs="宋体" w:hint="eastAsia"/>
          <w:sz w:val="18"/>
          <w:szCs w:val="18"/>
        </w:rPr>
        <w:t>激励对象当年度的解除限售条件之一。本激励计划业绩考核目标如下：</w:t>
      </w:r>
    </w:p>
    <w:tbl>
      <w:tblPr>
        <w:tblW w:w="9629" w:type="dxa"/>
        <w:tblCellMar>
          <w:left w:w="0" w:type="dxa"/>
          <w:right w:w="0" w:type="dxa"/>
        </w:tblCellMar>
        <w:tblLook w:val="04A0" w:firstRow="1" w:lastRow="0" w:firstColumn="1" w:lastColumn="0" w:noHBand="0" w:noVBand="1"/>
      </w:tblPr>
      <w:tblGrid>
        <w:gridCol w:w="2039"/>
        <w:gridCol w:w="7590"/>
      </w:tblGrid>
      <w:tr w:rsidR="008D4B2E" w:rsidTr="00B87081">
        <w:trPr>
          <w:divId w:val="525408917"/>
          <w:trHeight w:val="356"/>
        </w:trPr>
        <w:tc>
          <w:tcPr>
            <w:tcW w:w="2039" w:type="dxa"/>
            <w:tcBorders>
              <w:top w:val="single" w:sz="8" w:space="0" w:color="auto"/>
              <w:left w:val="single" w:sz="8" w:space="0" w:color="auto"/>
              <w:bottom w:val="single" w:sz="8" w:space="0" w:color="auto"/>
              <w:right w:val="single" w:sz="8" w:space="0" w:color="auto"/>
            </w:tcBorders>
            <w:shd w:val="clear" w:color="auto" w:fill="D3D3D3"/>
            <w:vAlign w:val="center"/>
            <w:hideMark/>
          </w:tcPr>
          <w:p w:rsidR="008D4B2E" w:rsidRPr="00362F1D" w:rsidRDefault="008D4B2E" w:rsidP="00C75946">
            <w:pPr>
              <w:spacing w:line="240" w:lineRule="exact"/>
              <w:jc w:val="center"/>
              <w:rPr>
                <w:rFonts w:ascii="宋体" w:eastAsia="宋体" w:hAnsi="宋体" w:cs="宋体"/>
                <w:sz w:val="18"/>
                <w:szCs w:val="18"/>
              </w:rPr>
            </w:pPr>
            <w:r w:rsidRPr="00362F1D">
              <w:rPr>
                <w:rFonts w:ascii="宋体" w:eastAsia="宋体" w:hAnsi="宋体" w:cs="宋体" w:hint="eastAsia"/>
                <w:bCs/>
                <w:sz w:val="18"/>
                <w:szCs w:val="18"/>
              </w:rPr>
              <w:lastRenderedPageBreak/>
              <w:t>解锁期</w:t>
            </w:r>
          </w:p>
        </w:tc>
        <w:tc>
          <w:tcPr>
            <w:tcW w:w="7590" w:type="dxa"/>
            <w:tcBorders>
              <w:top w:val="single" w:sz="8" w:space="0" w:color="auto"/>
              <w:left w:val="nil"/>
              <w:bottom w:val="single" w:sz="8" w:space="0" w:color="auto"/>
              <w:right w:val="single" w:sz="8" w:space="0" w:color="auto"/>
            </w:tcBorders>
            <w:shd w:val="clear" w:color="auto" w:fill="D3D3D3"/>
            <w:vAlign w:val="center"/>
            <w:hideMark/>
          </w:tcPr>
          <w:p w:rsidR="008D4B2E" w:rsidRPr="00362F1D" w:rsidRDefault="008D4B2E" w:rsidP="00C75946">
            <w:pPr>
              <w:spacing w:line="240" w:lineRule="exact"/>
              <w:jc w:val="center"/>
              <w:rPr>
                <w:rFonts w:ascii="宋体" w:eastAsia="宋体" w:hAnsi="宋体" w:cs="宋体"/>
                <w:sz w:val="18"/>
                <w:szCs w:val="18"/>
              </w:rPr>
            </w:pPr>
            <w:r w:rsidRPr="00362F1D">
              <w:rPr>
                <w:rFonts w:ascii="宋体" w:eastAsia="宋体" w:hAnsi="宋体" w:cs="宋体" w:hint="eastAsia"/>
                <w:bCs/>
                <w:sz w:val="18"/>
                <w:szCs w:val="18"/>
              </w:rPr>
              <w:t>业绩考核目标</w:t>
            </w:r>
          </w:p>
        </w:tc>
      </w:tr>
      <w:tr w:rsidR="008D4B2E" w:rsidTr="00B87081">
        <w:trPr>
          <w:divId w:val="525408917"/>
          <w:trHeight w:val="403"/>
        </w:trPr>
        <w:tc>
          <w:tcPr>
            <w:tcW w:w="2039" w:type="dxa"/>
            <w:tcBorders>
              <w:top w:val="nil"/>
              <w:left w:val="single" w:sz="8" w:space="0" w:color="auto"/>
              <w:bottom w:val="single" w:sz="8" w:space="0" w:color="auto"/>
              <w:right w:val="single" w:sz="8" w:space="0" w:color="auto"/>
            </w:tcBorders>
            <w:vAlign w:val="center"/>
            <w:hideMark/>
          </w:tcPr>
          <w:p w:rsidR="008D4B2E" w:rsidRPr="000C2E93" w:rsidRDefault="008D4B2E" w:rsidP="00362F1D">
            <w:pPr>
              <w:spacing w:line="240" w:lineRule="exact"/>
              <w:rPr>
                <w:rFonts w:ascii="宋体" w:eastAsia="宋体" w:hAnsi="宋体" w:cs="宋体"/>
                <w:sz w:val="18"/>
                <w:szCs w:val="18"/>
              </w:rPr>
            </w:pPr>
            <w:r w:rsidRPr="000C2E93">
              <w:rPr>
                <w:rFonts w:ascii="宋体" w:eastAsia="宋体" w:hAnsi="宋体" w:cs="宋体" w:hint="eastAsia"/>
                <w:sz w:val="18"/>
                <w:szCs w:val="18"/>
              </w:rPr>
              <w:t>第一个解锁期</w:t>
            </w:r>
          </w:p>
        </w:tc>
        <w:tc>
          <w:tcPr>
            <w:tcW w:w="7590" w:type="dxa"/>
            <w:tcBorders>
              <w:top w:val="nil"/>
              <w:left w:val="nil"/>
              <w:bottom w:val="single" w:sz="8" w:space="0" w:color="auto"/>
              <w:right w:val="single" w:sz="8" w:space="0" w:color="auto"/>
            </w:tcBorders>
            <w:vAlign w:val="center"/>
            <w:hideMark/>
          </w:tcPr>
          <w:p w:rsidR="008D4B2E" w:rsidRPr="000C2E93" w:rsidRDefault="008D4B2E" w:rsidP="000C2E93">
            <w:pPr>
              <w:spacing w:line="240" w:lineRule="exact"/>
              <w:rPr>
                <w:rFonts w:ascii="宋体" w:eastAsia="宋体" w:hAnsi="宋体" w:cs="宋体"/>
                <w:sz w:val="18"/>
                <w:szCs w:val="18"/>
              </w:rPr>
            </w:pPr>
            <w:r w:rsidRPr="000C2E93">
              <w:rPr>
                <w:rFonts w:ascii="宋体" w:eastAsia="宋体" w:hAnsi="宋体" w:cs="宋体" w:hint="eastAsia"/>
                <w:sz w:val="18"/>
                <w:szCs w:val="18"/>
              </w:rPr>
              <w:t>以</w:t>
            </w:r>
            <w:r w:rsidRPr="000C2E93">
              <w:rPr>
                <w:rFonts w:ascii="宋体" w:eastAsia="宋体" w:hAnsi="宋体" w:cs="宋体"/>
                <w:sz w:val="18"/>
                <w:szCs w:val="18"/>
              </w:rPr>
              <w:t>2021</w:t>
            </w:r>
            <w:r w:rsidRPr="000C2E93">
              <w:rPr>
                <w:rFonts w:ascii="宋体" w:eastAsia="宋体" w:hAnsi="宋体" w:cs="宋体" w:hint="eastAsia"/>
                <w:sz w:val="18"/>
                <w:szCs w:val="18"/>
              </w:rPr>
              <w:t>年的净利润为基数，</w:t>
            </w:r>
            <w:r w:rsidRPr="000C2E93">
              <w:rPr>
                <w:rFonts w:ascii="宋体" w:eastAsia="宋体" w:hAnsi="宋体" w:cs="宋体"/>
                <w:sz w:val="18"/>
                <w:szCs w:val="18"/>
              </w:rPr>
              <w:t>2022</w:t>
            </w:r>
            <w:r w:rsidRPr="000C2E93">
              <w:rPr>
                <w:rFonts w:ascii="宋体" w:eastAsia="宋体" w:hAnsi="宋体" w:cs="宋体" w:hint="eastAsia"/>
                <w:sz w:val="18"/>
                <w:szCs w:val="18"/>
              </w:rPr>
              <w:t>年净利润增长率不低于</w:t>
            </w:r>
            <w:r w:rsidRPr="000C2E93">
              <w:rPr>
                <w:rFonts w:ascii="宋体" w:eastAsia="宋体" w:hAnsi="宋体" w:cs="宋体"/>
                <w:sz w:val="18"/>
                <w:szCs w:val="18"/>
              </w:rPr>
              <w:t>25.00%</w:t>
            </w:r>
          </w:p>
        </w:tc>
      </w:tr>
      <w:tr w:rsidR="008D4B2E" w:rsidTr="00B87081">
        <w:trPr>
          <w:divId w:val="525408917"/>
          <w:trHeight w:val="409"/>
        </w:trPr>
        <w:tc>
          <w:tcPr>
            <w:tcW w:w="2039" w:type="dxa"/>
            <w:tcBorders>
              <w:top w:val="nil"/>
              <w:left w:val="single" w:sz="8" w:space="0" w:color="auto"/>
              <w:bottom w:val="single" w:sz="8" w:space="0" w:color="auto"/>
              <w:right w:val="single" w:sz="8" w:space="0" w:color="auto"/>
            </w:tcBorders>
            <w:vAlign w:val="center"/>
            <w:hideMark/>
          </w:tcPr>
          <w:p w:rsidR="008D4B2E" w:rsidRPr="000C2E93" w:rsidRDefault="008D4B2E" w:rsidP="00362F1D">
            <w:pPr>
              <w:spacing w:line="240" w:lineRule="exact"/>
              <w:rPr>
                <w:rFonts w:ascii="宋体" w:eastAsia="宋体" w:hAnsi="宋体" w:cs="宋体"/>
                <w:sz w:val="18"/>
                <w:szCs w:val="18"/>
              </w:rPr>
            </w:pPr>
            <w:r w:rsidRPr="000C2E93">
              <w:rPr>
                <w:rFonts w:ascii="宋体" w:eastAsia="宋体" w:hAnsi="宋体" w:cs="宋体" w:hint="eastAsia"/>
                <w:sz w:val="18"/>
                <w:szCs w:val="18"/>
              </w:rPr>
              <w:t>第二个解锁期</w:t>
            </w:r>
          </w:p>
        </w:tc>
        <w:tc>
          <w:tcPr>
            <w:tcW w:w="7590" w:type="dxa"/>
            <w:tcBorders>
              <w:top w:val="nil"/>
              <w:left w:val="nil"/>
              <w:bottom w:val="single" w:sz="8" w:space="0" w:color="auto"/>
              <w:right w:val="single" w:sz="8" w:space="0" w:color="auto"/>
            </w:tcBorders>
            <w:vAlign w:val="center"/>
            <w:hideMark/>
          </w:tcPr>
          <w:p w:rsidR="008D4B2E" w:rsidRPr="000C2E93" w:rsidRDefault="008D4B2E" w:rsidP="000C2E93">
            <w:pPr>
              <w:spacing w:line="240" w:lineRule="exact"/>
              <w:rPr>
                <w:rFonts w:ascii="宋体" w:eastAsia="宋体" w:hAnsi="宋体" w:cs="宋体"/>
                <w:sz w:val="18"/>
                <w:szCs w:val="18"/>
              </w:rPr>
            </w:pPr>
            <w:r w:rsidRPr="000C2E93">
              <w:rPr>
                <w:rFonts w:ascii="宋体" w:eastAsia="宋体" w:hAnsi="宋体" w:cs="宋体" w:hint="eastAsia"/>
                <w:sz w:val="18"/>
                <w:szCs w:val="18"/>
              </w:rPr>
              <w:t>以</w:t>
            </w:r>
            <w:r w:rsidRPr="000C2E93">
              <w:rPr>
                <w:rFonts w:ascii="宋体" w:eastAsia="宋体" w:hAnsi="宋体" w:cs="宋体"/>
                <w:sz w:val="18"/>
                <w:szCs w:val="18"/>
              </w:rPr>
              <w:t>2021</w:t>
            </w:r>
            <w:r w:rsidRPr="000C2E93">
              <w:rPr>
                <w:rFonts w:ascii="宋体" w:eastAsia="宋体" w:hAnsi="宋体" w:cs="宋体" w:hint="eastAsia"/>
                <w:sz w:val="18"/>
                <w:szCs w:val="18"/>
              </w:rPr>
              <w:t>年的净利润为基数，</w:t>
            </w:r>
            <w:r w:rsidRPr="000C2E93">
              <w:rPr>
                <w:rFonts w:ascii="宋体" w:eastAsia="宋体" w:hAnsi="宋体" w:cs="宋体"/>
                <w:sz w:val="18"/>
                <w:szCs w:val="18"/>
              </w:rPr>
              <w:t>2023</w:t>
            </w:r>
            <w:r w:rsidRPr="000C2E93">
              <w:rPr>
                <w:rFonts w:ascii="宋体" w:eastAsia="宋体" w:hAnsi="宋体" w:cs="宋体" w:hint="eastAsia"/>
                <w:sz w:val="18"/>
                <w:szCs w:val="18"/>
              </w:rPr>
              <w:t>年净利润增长率不低于</w:t>
            </w:r>
            <w:r w:rsidRPr="000C2E93">
              <w:rPr>
                <w:rFonts w:ascii="宋体" w:eastAsia="宋体" w:hAnsi="宋体" w:cs="宋体"/>
                <w:sz w:val="18"/>
                <w:szCs w:val="18"/>
              </w:rPr>
              <w:t>75.00%</w:t>
            </w:r>
          </w:p>
        </w:tc>
      </w:tr>
      <w:tr w:rsidR="008D4B2E" w:rsidTr="00B87081">
        <w:trPr>
          <w:divId w:val="525408917"/>
          <w:trHeight w:val="401"/>
        </w:trPr>
        <w:tc>
          <w:tcPr>
            <w:tcW w:w="2039" w:type="dxa"/>
            <w:tcBorders>
              <w:top w:val="nil"/>
              <w:left w:val="single" w:sz="8" w:space="0" w:color="auto"/>
              <w:bottom w:val="single" w:sz="8" w:space="0" w:color="auto"/>
              <w:right w:val="single" w:sz="8" w:space="0" w:color="auto"/>
            </w:tcBorders>
            <w:vAlign w:val="center"/>
            <w:hideMark/>
          </w:tcPr>
          <w:p w:rsidR="008D4B2E" w:rsidRPr="000C2E93" w:rsidRDefault="008D4B2E" w:rsidP="00362F1D">
            <w:pPr>
              <w:spacing w:line="240" w:lineRule="exact"/>
              <w:rPr>
                <w:rFonts w:ascii="宋体" w:eastAsia="宋体" w:hAnsi="宋体" w:cs="宋体"/>
                <w:sz w:val="18"/>
                <w:szCs w:val="18"/>
              </w:rPr>
            </w:pPr>
            <w:r w:rsidRPr="000C2E93">
              <w:rPr>
                <w:rFonts w:ascii="宋体" w:eastAsia="宋体" w:hAnsi="宋体" w:cs="宋体" w:hint="eastAsia"/>
                <w:sz w:val="18"/>
                <w:szCs w:val="18"/>
              </w:rPr>
              <w:t>第三个解锁期</w:t>
            </w:r>
          </w:p>
        </w:tc>
        <w:tc>
          <w:tcPr>
            <w:tcW w:w="7590" w:type="dxa"/>
            <w:tcBorders>
              <w:top w:val="nil"/>
              <w:left w:val="nil"/>
              <w:bottom w:val="single" w:sz="8" w:space="0" w:color="auto"/>
              <w:right w:val="single" w:sz="8" w:space="0" w:color="auto"/>
            </w:tcBorders>
            <w:vAlign w:val="center"/>
            <w:hideMark/>
          </w:tcPr>
          <w:p w:rsidR="008D4B2E" w:rsidRPr="000C2E93" w:rsidRDefault="008D4B2E" w:rsidP="000C2E93">
            <w:pPr>
              <w:spacing w:line="240" w:lineRule="exact"/>
              <w:rPr>
                <w:rFonts w:ascii="宋体" w:eastAsia="宋体" w:hAnsi="宋体" w:cs="宋体"/>
                <w:sz w:val="18"/>
                <w:szCs w:val="18"/>
              </w:rPr>
            </w:pPr>
            <w:r w:rsidRPr="000C2E93">
              <w:rPr>
                <w:rFonts w:ascii="宋体" w:eastAsia="宋体" w:hAnsi="宋体" w:cs="宋体" w:hint="eastAsia"/>
                <w:sz w:val="18"/>
                <w:szCs w:val="18"/>
              </w:rPr>
              <w:t>以</w:t>
            </w:r>
            <w:r w:rsidRPr="000C2E93">
              <w:rPr>
                <w:rFonts w:ascii="宋体" w:eastAsia="宋体" w:hAnsi="宋体" w:cs="宋体"/>
                <w:sz w:val="18"/>
                <w:szCs w:val="18"/>
              </w:rPr>
              <w:t>2021</w:t>
            </w:r>
            <w:r w:rsidRPr="000C2E93">
              <w:rPr>
                <w:rFonts w:ascii="宋体" w:eastAsia="宋体" w:hAnsi="宋体" w:cs="宋体" w:hint="eastAsia"/>
                <w:sz w:val="18"/>
                <w:szCs w:val="18"/>
              </w:rPr>
              <w:t>年的净利润为基数，</w:t>
            </w:r>
            <w:r w:rsidRPr="000C2E93">
              <w:rPr>
                <w:rFonts w:ascii="宋体" w:eastAsia="宋体" w:hAnsi="宋体" w:cs="宋体"/>
                <w:sz w:val="18"/>
                <w:szCs w:val="18"/>
              </w:rPr>
              <w:t>2024</w:t>
            </w:r>
            <w:r w:rsidRPr="000C2E93">
              <w:rPr>
                <w:rFonts w:ascii="宋体" w:eastAsia="宋体" w:hAnsi="宋体" w:cs="宋体" w:hint="eastAsia"/>
                <w:sz w:val="18"/>
                <w:szCs w:val="18"/>
              </w:rPr>
              <w:t>年净利润增长率不低于</w:t>
            </w:r>
            <w:r w:rsidRPr="000C2E93">
              <w:rPr>
                <w:rFonts w:ascii="宋体" w:eastAsia="宋体" w:hAnsi="宋体" w:cs="宋体"/>
                <w:sz w:val="18"/>
                <w:szCs w:val="18"/>
              </w:rPr>
              <w:t>125.00%</w:t>
            </w:r>
          </w:p>
        </w:tc>
      </w:tr>
    </w:tbl>
    <w:p w:rsidR="008D4B2E" w:rsidRDefault="008D4B2E">
      <w:pPr>
        <w:pStyle w:val="a3"/>
        <w:spacing w:before="0" w:beforeAutospacing="0" w:after="0" w:afterAutospacing="0" w:line="400" w:lineRule="atLeast"/>
        <w:ind w:firstLine="400"/>
        <w:jc w:val="both"/>
        <w:divId w:val="525408917"/>
        <w:rPr>
          <w:rFonts w:ascii="Arial" w:hAnsi="Arial" w:cs="Arial"/>
          <w:sz w:val="20"/>
          <w:szCs w:val="20"/>
        </w:rPr>
      </w:pPr>
      <w:r>
        <w:rPr>
          <w:rFonts w:cs="Arial" w:hint="eastAsia"/>
          <w:sz w:val="20"/>
          <w:szCs w:val="20"/>
        </w:rPr>
        <w:t>注：上述</w:t>
      </w:r>
      <w:r>
        <w:rPr>
          <w:rFonts w:ascii="Arial" w:hAnsi="Arial" w:cs="Arial"/>
          <w:sz w:val="20"/>
          <w:szCs w:val="20"/>
        </w:rPr>
        <w:t>“</w:t>
      </w:r>
      <w:r>
        <w:rPr>
          <w:rFonts w:cs="Arial" w:hint="eastAsia"/>
          <w:sz w:val="20"/>
          <w:szCs w:val="20"/>
        </w:rPr>
        <w:t>净利润</w:t>
      </w:r>
      <w:r>
        <w:rPr>
          <w:rFonts w:ascii="Arial" w:hAnsi="Arial" w:cs="Arial"/>
          <w:sz w:val="20"/>
          <w:szCs w:val="20"/>
        </w:rPr>
        <w:t>”</w:t>
      </w:r>
      <w:r>
        <w:rPr>
          <w:rFonts w:cs="Arial" w:hint="eastAsia"/>
          <w:sz w:val="20"/>
          <w:szCs w:val="20"/>
        </w:rPr>
        <w:t>指经审计的归属于母公司的净利润。</w:t>
      </w:r>
    </w:p>
    <w:p w:rsidR="008D4B2E" w:rsidRDefault="008D4B2E">
      <w:pPr>
        <w:pStyle w:val="a3"/>
        <w:spacing w:before="0" w:beforeAutospacing="0" w:after="0" w:afterAutospacing="0" w:line="400" w:lineRule="atLeast"/>
        <w:ind w:left="482"/>
        <w:jc w:val="both"/>
        <w:divId w:val="525408917"/>
        <w:rPr>
          <w:rFonts w:ascii="Arial" w:hAnsi="Arial" w:cs="Arial"/>
          <w:sz w:val="20"/>
          <w:szCs w:val="20"/>
        </w:rPr>
      </w:pPr>
      <w:r>
        <w:rPr>
          <w:rStyle w:val="a4"/>
          <w:rFonts w:cs="Arial" w:hint="eastAsia"/>
          <w:sz w:val="20"/>
          <w:szCs w:val="20"/>
        </w:rPr>
        <w:t>（</w:t>
      </w:r>
      <w:r>
        <w:rPr>
          <w:rStyle w:val="a4"/>
          <w:rFonts w:ascii="Arial" w:hAnsi="Arial" w:cs="Arial"/>
          <w:sz w:val="20"/>
          <w:szCs w:val="20"/>
        </w:rPr>
        <w:t>5</w:t>
      </w:r>
      <w:r>
        <w:rPr>
          <w:rStyle w:val="a4"/>
          <w:rFonts w:cs="Arial" w:hint="eastAsia"/>
          <w:sz w:val="20"/>
          <w:szCs w:val="20"/>
        </w:rPr>
        <w:t>）</w:t>
      </w:r>
      <w:r>
        <w:rPr>
          <w:rStyle w:val="a4"/>
          <w:rFonts w:ascii="Arial" w:hAnsi="Arial" w:cs="Arial"/>
          <w:sz w:val="20"/>
          <w:szCs w:val="20"/>
        </w:rPr>
        <w:t>2023</w:t>
      </w:r>
      <w:r>
        <w:rPr>
          <w:rStyle w:val="a4"/>
          <w:rFonts w:cs="Arial" w:hint="eastAsia"/>
          <w:sz w:val="20"/>
          <w:szCs w:val="20"/>
        </w:rPr>
        <w:t>年期</w:t>
      </w:r>
      <w:r>
        <w:rPr>
          <w:rStyle w:val="a4"/>
          <w:rFonts w:ascii="Arial" w:hAnsi="Arial" w:cs="Arial"/>
          <w:sz w:val="20"/>
          <w:szCs w:val="20"/>
        </w:rPr>
        <w:t xml:space="preserve"> </w:t>
      </w:r>
    </w:p>
    <w:tbl>
      <w:tblPr>
        <w:tblW w:w="9629" w:type="dxa"/>
        <w:tblCellMar>
          <w:left w:w="0" w:type="dxa"/>
          <w:right w:w="0" w:type="dxa"/>
        </w:tblCellMar>
        <w:tblLook w:val="04A0" w:firstRow="1" w:lastRow="0" w:firstColumn="1" w:lastColumn="0" w:noHBand="0" w:noVBand="1"/>
      </w:tblPr>
      <w:tblGrid>
        <w:gridCol w:w="4077"/>
        <w:gridCol w:w="5552"/>
      </w:tblGrid>
      <w:tr w:rsidR="008D4B2E" w:rsidTr="00B87081">
        <w:trPr>
          <w:divId w:val="525408917"/>
          <w:trHeight w:val="380"/>
          <w:tblHeader/>
        </w:trPr>
        <w:tc>
          <w:tcPr>
            <w:tcW w:w="4077" w:type="dxa"/>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8D4B2E" w:rsidRPr="000C2E93" w:rsidRDefault="008D4B2E" w:rsidP="000C2E93">
            <w:pPr>
              <w:spacing w:line="240" w:lineRule="exact"/>
              <w:jc w:val="center"/>
              <w:rPr>
                <w:rFonts w:ascii="宋体" w:eastAsia="宋体" w:hAnsi="宋体" w:cs="宋体"/>
                <w:sz w:val="18"/>
                <w:szCs w:val="18"/>
              </w:rPr>
            </w:pPr>
            <w:r w:rsidRPr="000C2E93">
              <w:rPr>
                <w:rFonts w:ascii="宋体" w:eastAsia="宋体" w:hAnsi="宋体" w:cs="宋体" w:hint="eastAsia"/>
                <w:sz w:val="18"/>
                <w:szCs w:val="18"/>
              </w:rPr>
              <w:t>项目</w:t>
            </w:r>
          </w:p>
        </w:tc>
        <w:tc>
          <w:tcPr>
            <w:tcW w:w="5552" w:type="dxa"/>
            <w:tcBorders>
              <w:top w:val="single" w:sz="8" w:space="0" w:color="auto"/>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rsidR="008D4B2E" w:rsidRPr="000C2E93" w:rsidRDefault="008D4B2E" w:rsidP="000C2E93">
            <w:pPr>
              <w:spacing w:line="240" w:lineRule="exact"/>
              <w:jc w:val="center"/>
              <w:rPr>
                <w:rFonts w:ascii="宋体" w:eastAsia="宋体" w:hAnsi="宋体" w:cs="宋体"/>
                <w:sz w:val="18"/>
                <w:szCs w:val="18"/>
              </w:rPr>
            </w:pPr>
            <w:r w:rsidRPr="000C2E93">
              <w:rPr>
                <w:rFonts w:ascii="宋体" w:eastAsia="宋体" w:hAnsi="宋体" w:cs="宋体" w:hint="eastAsia"/>
                <w:sz w:val="18"/>
                <w:szCs w:val="18"/>
              </w:rPr>
              <w:t>相关内容</w:t>
            </w:r>
          </w:p>
        </w:tc>
      </w:tr>
      <w:tr w:rsidR="008D4B2E" w:rsidTr="00B87081">
        <w:trPr>
          <w:divId w:val="525408917"/>
          <w:trHeight w:val="360"/>
        </w:trPr>
        <w:tc>
          <w:tcPr>
            <w:tcW w:w="40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4B2E" w:rsidRPr="000C2E93" w:rsidRDefault="008D4B2E" w:rsidP="000C2E93">
            <w:pPr>
              <w:spacing w:line="240" w:lineRule="exact"/>
              <w:rPr>
                <w:rFonts w:ascii="宋体" w:eastAsia="宋体" w:hAnsi="宋体" w:cs="宋体"/>
                <w:sz w:val="18"/>
                <w:szCs w:val="18"/>
              </w:rPr>
            </w:pPr>
            <w:r w:rsidRPr="000C2E93">
              <w:rPr>
                <w:rFonts w:ascii="宋体" w:eastAsia="宋体" w:hAnsi="宋体" w:cs="宋体" w:hint="eastAsia"/>
                <w:sz w:val="18"/>
                <w:szCs w:val="18"/>
              </w:rPr>
              <w:t>公司本期授予的各项权益工具总额</w:t>
            </w:r>
            <w:r w:rsidR="00C75946">
              <w:rPr>
                <w:rFonts w:ascii="宋体" w:eastAsia="宋体" w:hAnsi="宋体" w:cs="宋体" w:hint="eastAsia"/>
                <w:sz w:val="18"/>
                <w:szCs w:val="18"/>
              </w:rPr>
              <w:t>（元）</w:t>
            </w:r>
          </w:p>
        </w:tc>
        <w:tc>
          <w:tcPr>
            <w:tcW w:w="5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0C2E93" w:rsidRDefault="008D4B2E" w:rsidP="000C2E93">
            <w:pPr>
              <w:spacing w:line="240" w:lineRule="exact"/>
              <w:jc w:val="right"/>
              <w:rPr>
                <w:rFonts w:ascii="宋体" w:eastAsia="宋体" w:hAnsi="宋体" w:cs="宋体"/>
                <w:sz w:val="18"/>
                <w:szCs w:val="18"/>
              </w:rPr>
            </w:pPr>
            <w:r w:rsidRPr="000C2E93">
              <w:rPr>
                <w:rFonts w:ascii="宋体" w:eastAsia="宋体" w:hAnsi="宋体" w:cs="宋体"/>
                <w:sz w:val="18"/>
                <w:szCs w:val="18"/>
              </w:rPr>
              <w:t>150,000,000.00</w:t>
            </w:r>
          </w:p>
        </w:tc>
      </w:tr>
      <w:tr w:rsidR="008D4B2E" w:rsidTr="00B87081">
        <w:trPr>
          <w:divId w:val="525408917"/>
          <w:trHeight w:val="360"/>
        </w:trPr>
        <w:tc>
          <w:tcPr>
            <w:tcW w:w="40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4B2E" w:rsidRPr="000C2E93" w:rsidRDefault="008D4B2E" w:rsidP="000C2E93">
            <w:pPr>
              <w:spacing w:line="240" w:lineRule="exact"/>
              <w:rPr>
                <w:rFonts w:ascii="宋体" w:eastAsia="宋体" w:hAnsi="宋体" w:cs="宋体"/>
                <w:sz w:val="18"/>
                <w:szCs w:val="18"/>
              </w:rPr>
            </w:pPr>
            <w:r w:rsidRPr="000C2E93">
              <w:rPr>
                <w:rFonts w:ascii="宋体" w:eastAsia="宋体" w:hAnsi="宋体" w:cs="宋体" w:hint="eastAsia"/>
                <w:sz w:val="18"/>
                <w:szCs w:val="18"/>
              </w:rPr>
              <w:t>公司本期行权的各项权益工具总额</w:t>
            </w:r>
          </w:p>
        </w:tc>
        <w:tc>
          <w:tcPr>
            <w:tcW w:w="5552" w:type="dxa"/>
            <w:tcBorders>
              <w:top w:val="nil"/>
              <w:left w:val="nil"/>
              <w:bottom w:val="single" w:sz="8" w:space="0" w:color="auto"/>
              <w:right w:val="single" w:sz="8" w:space="0" w:color="auto"/>
            </w:tcBorders>
            <w:tcMar>
              <w:top w:w="0" w:type="dxa"/>
              <w:left w:w="108" w:type="dxa"/>
              <w:bottom w:w="0" w:type="dxa"/>
              <w:right w:w="108" w:type="dxa"/>
            </w:tcMar>
            <w:hideMark/>
          </w:tcPr>
          <w:p w:rsidR="008D4B2E" w:rsidRPr="000C2E93" w:rsidRDefault="008D4B2E" w:rsidP="000C2E93">
            <w:pPr>
              <w:spacing w:line="240" w:lineRule="exact"/>
              <w:rPr>
                <w:rFonts w:ascii="宋体" w:eastAsia="宋体" w:hAnsi="宋体" w:cs="宋体"/>
                <w:sz w:val="18"/>
                <w:szCs w:val="18"/>
              </w:rPr>
            </w:pPr>
            <w:r w:rsidRPr="000C2E93">
              <w:rPr>
                <w:rFonts w:ascii="宋体" w:eastAsia="宋体" w:hAnsi="宋体" w:cs="宋体"/>
                <w:sz w:val="18"/>
                <w:szCs w:val="18"/>
              </w:rPr>
              <w:t> </w:t>
            </w:r>
          </w:p>
        </w:tc>
      </w:tr>
      <w:tr w:rsidR="008D4B2E" w:rsidTr="00B87081">
        <w:trPr>
          <w:divId w:val="525408917"/>
          <w:trHeight w:val="360"/>
        </w:trPr>
        <w:tc>
          <w:tcPr>
            <w:tcW w:w="40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4B2E" w:rsidRPr="000C2E93" w:rsidRDefault="008D4B2E" w:rsidP="000C2E93">
            <w:pPr>
              <w:spacing w:line="240" w:lineRule="exact"/>
              <w:rPr>
                <w:rFonts w:ascii="宋体" w:eastAsia="宋体" w:hAnsi="宋体" w:cs="宋体"/>
                <w:sz w:val="18"/>
                <w:szCs w:val="18"/>
              </w:rPr>
            </w:pPr>
            <w:r w:rsidRPr="000C2E93">
              <w:rPr>
                <w:rFonts w:ascii="宋体" w:eastAsia="宋体" w:hAnsi="宋体" w:cs="宋体" w:hint="eastAsia"/>
                <w:sz w:val="18"/>
                <w:szCs w:val="18"/>
              </w:rPr>
              <w:t>公司本期失效的各项权益工具总额</w:t>
            </w:r>
          </w:p>
        </w:tc>
        <w:tc>
          <w:tcPr>
            <w:tcW w:w="5552" w:type="dxa"/>
            <w:tcBorders>
              <w:top w:val="nil"/>
              <w:left w:val="nil"/>
              <w:bottom w:val="single" w:sz="8" w:space="0" w:color="auto"/>
              <w:right w:val="single" w:sz="8" w:space="0" w:color="auto"/>
            </w:tcBorders>
            <w:tcMar>
              <w:top w:w="0" w:type="dxa"/>
              <w:left w:w="108" w:type="dxa"/>
              <w:bottom w:w="0" w:type="dxa"/>
              <w:right w:w="108" w:type="dxa"/>
            </w:tcMar>
            <w:hideMark/>
          </w:tcPr>
          <w:p w:rsidR="008D4B2E" w:rsidRPr="000C2E93" w:rsidRDefault="008D4B2E" w:rsidP="000C2E93">
            <w:pPr>
              <w:spacing w:line="240" w:lineRule="exact"/>
              <w:rPr>
                <w:rFonts w:ascii="宋体" w:eastAsia="宋体" w:hAnsi="宋体" w:cs="宋体"/>
                <w:sz w:val="18"/>
                <w:szCs w:val="18"/>
              </w:rPr>
            </w:pPr>
            <w:r w:rsidRPr="000C2E93">
              <w:rPr>
                <w:rFonts w:ascii="宋体" w:eastAsia="宋体" w:hAnsi="宋体" w:cs="宋体"/>
                <w:sz w:val="18"/>
                <w:szCs w:val="18"/>
              </w:rPr>
              <w:t> </w:t>
            </w:r>
          </w:p>
        </w:tc>
      </w:tr>
      <w:tr w:rsidR="008D4B2E" w:rsidTr="00B87081">
        <w:trPr>
          <w:divId w:val="525408917"/>
          <w:trHeight w:val="510"/>
        </w:trPr>
        <w:tc>
          <w:tcPr>
            <w:tcW w:w="40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4B2E" w:rsidRPr="000C2E93" w:rsidRDefault="008D4B2E" w:rsidP="000C2E93">
            <w:pPr>
              <w:spacing w:line="240" w:lineRule="exact"/>
              <w:rPr>
                <w:rFonts w:ascii="宋体" w:eastAsia="宋体" w:hAnsi="宋体" w:cs="宋体"/>
                <w:sz w:val="18"/>
                <w:szCs w:val="18"/>
              </w:rPr>
            </w:pPr>
            <w:r w:rsidRPr="000C2E93">
              <w:rPr>
                <w:rFonts w:ascii="宋体" w:eastAsia="宋体" w:hAnsi="宋体" w:cs="宋体" w:hint="eastAsia"/>
                <w:sz w:val="18"/>
                <w:szCs w:val="18"/>
              </w:rPr>
              <w:t>公司期末发行在外的股份期权行权价格的范围和合同剩余期限</w:t>
            </w:r>
          </w:p>
        </w:tc>
        <w:tc>
          <w:tcPr>
            <w:tcW w:w="5552" w:type="dxa"/>
            <w:tcBorders>
              <w:top w:val="nil"/>
              <w:left w:val="nil"/>
              <w:bottom w:val="single" w:sz="8" w:space="0" w:color="auto"/>
              <w:right w:val="single" w:sz="8" w:space="0" w:color="auto"/>
            </w:tcBorders>
            <w:tcMar>
              <w:top w:w="0" w:type="dxa"/>
              <w:left w:w="108" w:type="dxa"/>
              <w:bottom w:w="0" w:type="dxa"/>
              <w:right w:w="108" w:type="dxa"/>
            </w:tcMar>
            <w:hideMark/>
          </w:tcPr>
          <w:p w:rsidR="008D4B2E" w:rsidRPr="000C2E93" w:rsidRDefault="008D4B2E" w:rsidP="000C2E93">
            <w:pPr>
              <w:spacing w:line="240" w:lineRule="exact"/>
              <w:rPr>
                <w:rFonts w:ascii="宋体" w:eastAsia="宋体" w:hAnsi="宋体" w:cs="宋体"/>
                <w:sz w:val="18"/>
                <w:szCs w:val="18"/>
              </w:rPr>
            </w:pPr>
            <w:r w:rsidRPr="000C2E93">
              <w:rPr>
                <w:rFonts w:ascii="宋体" w:eastAsia="宋体" w:hAnsi="宋体" w:cs="宋体"/>
                <w:sz w:val="18"/>
                <w:szCs w:val="18"/>
              </w:rPr>
              <w:t> </w:t>
            </w:r>
          </w:p>
        </w:tc>
      </w:tr>
      <w:tr w:rsidR="008D4B2E" w:rsidTr="00B87081">
        <w:trPr>
          <w:divId w:val="525408917"/>
          <w:trHeight w:val="495"/>
        </w:trPr>
        <w:tc>
          <w:tcPr>
            <w:tcW w:w="40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4B2E" w:rsidRPr="000C2E93" w:rsidRDefault="008D4B2E" w:rsidP="000C2E93">
            <w:pPr>
              <w:spacing w:line="240" w:lineRule="exact"/>
              <w:rPr>
                <w:rFonts w:ascii="宋体" w:eastAsia="宋体" w:hAnsi="宋体" w:cs="宋体"/>
                <w:sz w:val="18"/>
                <w:szCs w:val="18"/>
              </w:rPr>
            </w:pPr>
            <w:r w:rsidRPr="000C2E93">
              <w:rPr>
                <w:rFonts w:ascii="宋体" w:eastAsia="宋体" w:hAnsi="宋体" w:cs="宋体" w:hint="eastAsia"/>
                <w:sz w:val="18"/>
                <w:szCs w:val="18"/>
              </w:rPr>
              <w:t>公司期末其他权益工具行权价格的范围和合同剩余期限</w:t>
            </w:r>
          </w:p>
        </w:tc>
        <w:tc>
          <w:tcPr>
            <w:tcW w:w="5552" w:type="dxa"/>
            <w:tcBorders>
              <w:top w:val="nil"/>
              <w:left w:val="nil"/>
              <w:bottom w:val="single" w:sz="8" w:space="0" w:color="auto"/>
              <w:right w:val="single" w:sz="8" w:space="0" w:color="auto"/>
            </w:tcBorders>
            <w:tcMar>
              <w:top w:w="0" w:type="dxa"/>
              <w:left w:w="108" w:type="dxa"/>
              <w:bottom w:w="0" w:type="dxa"/>
              <w:right w:w="108" w:type="dxa"/>
            </w:tcMar>
            <w:hideMark/>
          </w:tcPr>
          <w:p w:rsidR="008D4B2E" w:rsidRPr="000C2E93" w:rsidRDefault="008D4B2E" w:rsidP="000C2E93">
            <w:pPr>
              <w:spacing w:line="240" w:lineRule="exact"/>
              <w:rPr>
                <w:rFonts w:ascii="宋体" w:eastAsia="宋体" w:hAnsi="宋体" w:cs="宋体"/>
                <w:sz w:val="18"/>
                <w:szCs w:val="18"/>
              </w:rPr>
            </w:pPr>
            <w:r w:rsidRPr="000C2E93">
              <w:rPr>
                <w:rFonts w:ascii="宋体" w:eastAsia="宋体" w:hAnsi="宋体" w:cs="宋体" w:hint="eastAsia"/>
                <w:sz w:val="18"/>
                <w:szCs w:val="18"/>
              </w:rPr>
              <w:t>授予价格为</w:t>
            </w:r>
            <w:r w:rsidRPr="000C2E93">
              <w:rPr>
                <w:rFonts w:ascii="宋体" w:eastAsia="宋体" w:hAnsi="宋体" w:cs="宋体"/>
                <w:sz w:val="18"/>
                <w:szCs w:val="18"/>
              </w:rPr>
              <w:t>4.00</w:t>
            </w:r>
            <w:r w:rsidRPr="000C2E93">
              <w:rPr>
                <w:rFonts w:ascii="宋体" w:eastAsia="宋体" w:hAnsi="宋体" w:cs="宋体" w:hint="eastAsia"/>
                <w:sz w:val="18"/>
                <w:szCs w:val="18"/>
              </w:rPr>
              <w:t>元</w:t>
            </w:r>
            <w:r w:rsidRPr="000C2E93">
              <w:rPr>
                <w:rFonts w:ascii="宋体" w:eastAsia="宋体" w:hAnsi="宋体" w:cs="宋体"/>
                <w:sz w:val="18"/>
                <w:szCs w:val="18"/>
              </w:rPr>
              <w:t>/</w:t>
            </w:r>
            <w:r w:rsidRPr="000C2E93">
              <w:rPr>
                <w:rFonts w:ascii="宋体" w:eastAsia="宋体" w:hAnsi="宋体" w:cs="宋体" w:hint="eastAsia"/>
                <w:sz w:val="18"/>
                <w:szCs w:val="18"/>
              </w:rPr>
              <w:t>股；限制性股票激励计划的有效期为自限制性股票授予之日起至激励</w:t>
            </w:r>
            <w:proofErr w:type="gramStart"/>
            <w:r w:rsidRPr="000C2E93">
              <w:rPr>
                <w:rFonts w:ascii="宋体" w:eastAsia="宋体" w:hAnsi="宋体" w:cs="宋体" w:hint="eastAsia"/>
                <w:sz w:val="18"/>
                <w:szCs w:val="18"/>
              </w:rPr>
              <w:t>对象获</w:t>
            </w:r>
            <w:proofErr w:type="gramEnd"/>
            <w:r w:rsidRPr="000C2E93">
              <w:rPr>
                <w:rFonts w:ascii="宋体" w:eastAsia="宋体" w:hAnsi="宋体" w:cs="宋体" w:hint="eastAsia"/>
                <w:sz w:val="18"/>
                <w:szCs w:val="18"/>
              </w:rPr>
              <w:t>授的限制性股票全部解除限售或回购注销完毕之日止，最长不超过</w:t>
            </w:r>
            <w:r w:rsidRPr="000C2E93">
              <w:rPr>
                <w:rFonts w:ascii="宋体" w:eastAsia="宋体" w:hAnsi="宋体" w:cs="宋体"/>
                <w:sz w:val="18"/>
                <w:szCs w:val="18"/>
              </w:rPr>
              <w:t>48</w:t>
            </w:r>
            <w:r w:rsidRPr="000C2E93">
              <w:rPr>
                <w:rFonts w:ascii="宋体" w:eastAsia="宋体" w:hAnsi="宋体" w:cs="宋体" w:hint="eastAsia"/>
                <w:sz w:val="18"/>
                <w:szCs w:val="18"/>
              </w:rPr>
              <w:t>个月。</w:t>
            </w:r>
          </w:p>
        </w:tc>
      </w:tr>
    </w:tbl>
    <w:p w:rsidR="008D4B2E" w:rsidRPr="000C2E93" w:rsidRDefault="008D4B2E" w:rsidP="00B87081">
      <w:pPr>
        <w:ind w:firstLineChars="200" w:firstLine="360"/>
        <w:divId w:val="525408917"/>
        <w:rPr>
          <w:rFonts w:ascii="宋体" w:eastAsia="宋体" w:hAnsi="宋体" w:cs="宋体"/>
          <w:sz w:val="18"/>
          <w:szCs w:val="18"/>
        </w:rPr>
      </w:pPr>
      <w:r w:rsidRPr="000C2E93">
        <w:rPr>
          <w:rFonts w:ascii="宋体" w:eastAsia="宋体" w:hAnsi="宋体" w:cs="宋体" w:hint="eastAsia"/>
          <w:sz w:val="18"/>
          <w:szCs w:val="18"/>
        </w:rPr>
        <w:t>公司于</w:t>
      </w:r>
      <w:r w:rsidRPr="000C2E93">
        <w:rPr>
          <w:rFonts w:ascii="宋体" w:eastAsia="宋体" w:hAnsi="宋体" w:cs="宋体"/>
          <w:sz w:val="18"/>
          <w:szCs w:val="18"/>
        </w:rPr>
        <w:t>2023</w:t>
      </w:r>
      <w:r w:rsidRPr="000C2E93">
        <w:rPr>
          <w:rFonts w:ascii="宋体" w:eastAsia="宋体" w:hAnsi="宋体" w:cs="宋体" w:hint="eastAsia"/>
          <w:sz w:val="18"/>
          <w:szCs w:val="18"/>
        </w:rPr>
        <w:t>年</w:t>
      </w:r>
      <w:r w:rsidRPr="000C2E93">
        <w:rPr>
          <w:rFonts w:ascii="宋体" w:eastAsia="宋体" w:hAnsi="宋体" w:cs="宋体"/>
          <w:sz w:val="18"/>
          <w:szCs w:val="18"/>
        </w:rPr>
        <w:t>8</w:t>
      </w:r>
      <w:r w:rsidRPr="000C2E93">
        <w:rPr>
          <w:rFonts w:ascii="宋体" w:eastAsia="宋体" w:hAnsi="宋体" w:cs="宋体" w:hint="eastAsia"/>
          <w:sz w:val="18"/>
          <w:szCs w:val="18"/>
        </w:rPr>
        <w:t>月</w:t>
      </w:r>
      <w:r w:rsidRPr="000C2E93">
        <w:rPr>
          <w:rFonts w:ascii="宋体" w:eastAsia="宋体" w:hAnsi="宋体" w:cs="宋体"/>
          <w:sz w:val="18"/>
          <w:szCs w:val="18"/>
        </w:rPr>
        <w:t>15</w:t>
      </w:r>
      <w:r w:rsidRPr="000C2E93">
        <w:rPr>
          <w:rFonts w:ascii="宋体" w:eastAsia="宋体" w:hAnsi="宋体" w:cs="宋体" w:hint="eastAsia"/>
          <w:sz w:val="18"/>
          <w:szCs w:val="18"/>
        </w:rPr>
        <w:t>日召开</w:t>
      </w:r>
      <w:r w:rsidRPr="000C2E93">
        <w:rPr>
          <w:rFonts w:ascii="宋体" w:eastAsia="宋体" w:hAnsi="宋体" w:cs="宋体"/>
          <w:sz w:val="18"/>
          <w:szCs w:val="18"/>
        </w:rPr>
        <w:t>2023</w:t>
      </w:r>
      <w:r w:rsidRPr="000C2E93">
        <w:rPr>
          <w:rFonts w:ascii="宋体" w:eastAsia="宋体" w:hAnsi="宋体" w:cs="宋体" w:hint="eastAsia"/>
          <w:sz w:val="18"/>
          <w:szCs w:val="18"/>
        </w:rPr>
        <w:t>年第一次临时股东大会审议通过了《关于</w:t>
      </w:r>
      <w:r w:rsidRPr="000C2E93">
        <w:rPr>
          <w:rFonts w:ascii="宋体" w:eastAsia="宋体" w:hAnsi="宋体" w:cs="宋体"/>
          <w:sz w:val="18"/>
          <w:szCs w:val="18"/>
        </w:rPr>
        <w:t>〈</w:t>
      </w:r>
      <w:r w:rsidRPr="000C2E93">
        <w:rPr>
          <w:rFonts w:ascii="宋体" w:eastAsia="宋体" w:hAnsi="宋体" w:cs="宋体" w:hint="eastAsia"/>
          <w:sz w:val="18"/>
          <w:szCs w:val="18"/>
        </w:rPr>
        <w:t>软控股份有限公司</w:t>
      </w:r>
      <w:r w:rsidRPr="000C2E93">
        <w:rPr>
          <w:rFonts w:ascii="宋体" w:eastAsia="宋体" w:hAnsi="宋体" w:cs="宋体"/>
          <w:sz w:val="18"/>
          <w:szCs w:val="18"/>
        </w:rPr>
        <w:t>2023</w:t>
      </w:r>
      <w:r w:rsidRPr="000C2E93">
        <w:rPr>
          <w:rFonts w:ascii="宋体" w:eastAsia="宋体" w:hAnsi="宋体" w:cs="宋体" w:hint="eastAsia"/>
          <w:sz w:val="18"/>
          <w:szCs w:val="18"/>
        </w:rPr>
        <w:t>年限制性股票激励计划（草案）</w:t>
      </w:r>
      <w:r w:rsidRPr="000C2E93">
        <w:rPr>
          <w:rFonts w:ascii="宋体" w:eastAsia="宋体" w:hAnsi="宋体" w:cs="宋体"/>
          <w:sz w:val="18"/>
          <w:szCs w:val="18"/>
        </w:rPr>
        <w:t>〉</w:t>
      </w:r>
      <w:r w:rsidRPr="000C2E93">
        <w:rPr>
          <w:rFonts w:ascii="宋体" w:eastAsia="宋体" w:hAnsi="宋体" w:cs="宋体" w:hint="eastAsia"/>
          <w:sz w:val="18"/>
          <w:szCs w:val="18"/>
        </w:rPr>
        <w:t>及其摘要的议案》、《关于</w:t>
      </w:r>
      <w:r w:rsidRPr="000C2E93">
        <w:rPr>
          <w:rFonts w:ascii="宋体" w:eastAsia="宋体" w:hAnsi="宋体" w:cs="宋体"/>
          <w:sz w:val="18"/>
          <w:szCs w:val="18"/>
        </w:rPr>
        <w:t>〈</w:t>
      </w:r>
      <w:r w:rsidRPr="000C2E93">
        <w:rPr>
          <w:rFonts w:ascii="宋体" w:eastAsia="宋体" w:hAnsi="宋体" w:cs="宋体" w:hint="eastAsia"/>
          <w:sz w:val="18"/>
          <w:szCs w:val="18"/>
        </w:rPr>
        <w:t>软控股份有限公司</w:t>
      </w:r>
      <w:r w:rsidRPr="000C2E93">
        <w:rPr>
          <w:rFonts w:ascii="宋体" w:eastAsia="宋体" w:hAnsi="宋体" w:cs="宋体"/>
          <w:sz w:val="18"/>
          <w:szCs w:val="18"/>
        </w:rPr>
        <w:t>2023</w:t>
      </w:r>
      <w:r w:rsidRPr="000C2E93">
        <w:rPr>
          <w:rFonts w:ascii="宋体" w:eastAsia="宋体" w:hAnsi="宋体" w:cs="宋体" w:hint="eastAsia"/>
          <w:sz w:val="18"/>
          <w:szCs w:val="18"/>
        </w:rPr>
        <w:t>年限制性股票激励计划实施考核管理办法</w:t>
      </w:r>
      <w:r w:rsidRPr="000C2E93">
        <w:rPr>
          <w:rFonts w:ascii="宋体" w:eastAsia="宋体" w:hAnsi="宋体" w:cs="宋体"/>
          <w:sz w:val="18"/>
          <w:szCs w:val="18"/>
        </w:rPr>
        <w:t>〉</w:t>
      </w:r>
      <w:r w:rsidRPr="000C2E93">
        <w:rPr>
          <w:rFonts w:ascii="宋体" w:eastAsia="宋体" w:hAnsi="宋体" w:cs="宋体" w:hint="eastAsia"/>
          <w:sz w:val="18"/>
          <w:szCs w:val="18"/>
        </w:rPr>
        <w:t>的议案》、《关于提请股东大会授权董事会办理股权激励相关事宜的议案》等与本次激励计划相关的议案。</w:t>
      </w:r>
      <w:r w:rsidRPr="000C2E93">
        <w:rPr>
          <w:rFonts w:ascii="宋体" w:eastAsia="宋体" w:hAnsi="宋体" w:cs="宋体"/>
          <w:sz w:val="18"/>
          <w:szCs w:val="18"/>
        </w:rPr>
        <w:t>2023</w:t>
      </w:r>
      <w:r w:rsidRPr="000C2E93">
        <w:rPr>
          <w:rFonts w:ascii="宋体" w:eastAsia="宋体" w:hAnsi="宋体" w:cs="宋体" w:hint="eastAsia"/>
          <w:sz w:val="18"/>
          <w:szCs w:val="18"/>
        </w:rPr>
        <w:t>年</w:t>
      </w:r>
      <w:r w:rsidRPr="000C2E93">
        <w:rPr>
          <w:rFonts w:ascii="宋体" w:eastAsia="宋体" w:hAnsi="宋体" w:cs="宋体"/>
          <w:sz w:val="18"/>
          <w:szCs w:val="18"/>
        </w:rPr>
        <w:t>8</w:t>
      </w:r>
      <w:r w:rsidRPr="000C2E93">
        <w:rPr>
          <w:rFonts w:ascii="宋体" w:eastAsia="宋体" w:hAnsi="宋体" w:cs="宋体" w:hint="eastAsia"/>
          <w:sz w:val="18"/>
          <w:szCs w:val="18"/>
        </w:rPr>
        <w:t>月</w:t>
      </w:r>
      <w:r w:rsidRPr="000C2E93">
        <w:rPr>
          <w:rFonts w:ascii="宋体" w:eastAsia="宋体" w:hAnsi="宋体" w:cs="宋体"/>
          <w:sz w:val="18"/>
          <w:szCs w:val="18"/>
        </w:rPr>
        <w:t>28</w:t>
      </w:r>
      <w:r w:rsidRPr="000C2E93">
        <w:rPr>
          <w:rFonts w:ascii="宋体" w:eastAsia="宋体" w:hAnsi="宋体" w:cs="宋体" w:hint="eastAsia"/>
          <w:sz w:val="18"/>
          <w:szCs w:val="18"/>
        </w:rPr>
        <w:t>日召开第八届董事会第十一次会议、第八届监事会第十三次会议，审议通过了《关于向激励对象授予限制性股票的议案》，确定向符合激励计划的激励对象授予总计</w:t>
      </w:r>
      <w:bookmarkStart w:id="400" w:name="_Hlk162166911"/>
      <w:bookmarkEnd w:id="400"/>
      <w:r w:rsidRPr="000C2E93">
        <w:rPr>
          <w:rFonts w:ascii="宋体" w:eastAsia="宋体" w:hAnsi="宋体" w:cs="宋体"/>
          <w:sz w:val="18"/>
          <w:szCs w:val="18"/>
        </w:rPr>
        <w:t>3,750.00</w:t>
      </w:r>
      <w:r w:rsidRPr="000C2E93">
        <w:rPr>
          <w:rFonts w:ascii="宋体" w:eastAsia="宋体" w:hAnsi="宋体" w:cs="宋体" w:hint="eastAsia"/>
          <w:sz w:val="18"/>
          <w:szCs w:val="18"/>
        </w:rPr>
        <w:t>万份权益。其中，确定对官</w:t>
      </w:r>
      <w:proofErr w:type="gramStart"/>
      <w:r w:rsidRPr="000C2E93">
        <w:rPr>
          <w:rFonts w:ascii="宋体" w:eastAsia="宋体" w:hAnsi="宋体" w:cs="宋体" w:hint="eastAsia"/>
          <w:sz w:val="18"/>
          <w:szCs w:val="18"/>
        </w:rPr>
        <w:t>炳</w:t>
      </w:r>
      <w:proofErr w:type="gramEnd"/>
      <w:r w:rsidRPr="000C2E93">
        <w:rPr>
          <w:rFonts w:ascii="宋体" w:eastAsia="宋体" w:hAnsi="宋体" w:cs="宋体" w:hint="eastAsia"/>
          <w:sz w:val="18"/>
          <w:szCs w:val="18"/>
        </w:rPr>
        <w:t>政、张垚、杨慧丽等</w:t>
      </w:r>
      <w:r w:rsidRPr="000C2E93">
        <w:rPr>
          <w:rFonts w:ascii="宋体" w:eastAsia="宋体" w:hAnsi="宋体" w:cs="宋体"/>
          <w:sz w:val="18"/>
          <w:szCs w:val="18"/>
        </w:rPr>
        <w:t>51</w:t>
      </w:r>
      <w:r w:rsidRPr="000C2E93">
        <w:rPr>
          <w:rFonts w:ascii="宋体" w:eastAsia="宋体" w:hAnsi="宋体" w:cs="宋体" w:hint="eastAsia"/>
          <w:sz w:val="18"/>
          <w:szCs w:val="18"/>
        </w:rPr>
        <w:t>名参加对象授予</w:t>
      </w:r>
      <w:r w:rsidRPr="000C2E93">
        <w:rPr>
          <w:rFonts w:ascii="宋体" w:eastAsia="宋体" w:hAnsi="宋体" w:cs="宋体"/>
          <w:sz w:val="18"/>
          <w:szCs w:val="18"/>
        </w:rPr>
        <w:t>3,750</w:t>
      </w:r>
      <w:r w:rsidRPr="000C2E93">
        <w:rPr>
          <w:rFonts w:ascii="宋体" w:eastAsia="宋体" w:hAnsi="宋体" w:cs="宋体" w:hint="eastAsia"/>
          <w:sz w:val="18"/>
          <w:szCs w:val="18"/>
        </w:rPr>
        <w:t>万股限制性股票，本次实际</w:t>
      </w:r>
      <w:r w:rsidRPr="000C2E93">
        <w:rPr>
          <w:rFonts w:ascii="宋体" w:eastAsia="宋体" w:hAnsi="宋体" w:cs="宋体"/>
          <w:sz w:val="18"/>
          <w:szCs w:val="18"/>
        </w:rPr>
        <w:t>51</w:t>
      </w:r>
      <w:r w:rsidRPr="000C2E93">
        <w:rPr>
          <w:rFonts w:ascii="宋体" w:eastAsia="宋体" w:hAnsi="宋体" w:cs="宋体" w:hint="eastAsia"/>
          <w:sz w:val="18"/>
          <w:szCs w:val="18"/>
        </w:rPr>
        <w:t>名参加对象认购</w:t>
      </w:r>
      <w:r w:rsidRPr="000C2E93">
        <w:rPr>
          <w:rFonts w:ascii="宋体" w:eastAsia="宋体" w:hAnsi="宋体" w:cs="宋体"/>
          <w:sz w:val="18"/>
          <w:szCs w:val="18"/>
        </w:rPr>
        <w:t>37,500,000</w:t>
      </w:r>
      <w:r w:rsidRPr="000C2E93">
        <w:rPr>
          <w:rFonts w:ascii="宋体" w:eastAsia="宋体" w:hAnsi="宋体" w:cs="宋体" w:hint="eastAsia"/>
          <w:sz w:val="18"/>
          <w:szCs w:val="18"/>
        </w:rPr>
        <w:t>股限制性股票，股票面值</w:t>
      </w:r>
      <w:r w:rsidRPr="000C2E93">
        <w:rPr>
          <w:rFonts w:ascii="宋体" w:eastAsia="宋体" w:hAnsi="宋体" w:cs="宋体"/>
          <w:sz w:val="18"/>
          <w:szCs w:val="18"/>
        </w:rPr>
        <w:t>1</w:t>
      </w:r>
      <w:r w:rsidRPr="000C2E93">
        <w:rPr>
          <w:rFonts w:ascii="宋体" w:eastAsia="宋体" w:hAnsi="宋体" w:cs="宋体" w:hint="eastAsia"/>
          <w:sz w:val="18"/>
          <w:szCs w:val="18"/>
        </w:rPr>
        <w:t>元，认购价格为</w:t>
      </w:r>
      <w:r w:rsidRPr="000C2E93">
        <w:rPr>
          <w:rFonts w:ascii="宋体" w:eastAsia="宋体" w:hAnsi="宋体" w:cs="宋体"/>
          <w:sz w:val="18"/>
          <w:szCs w:val="18"/>
        </w:rPr>
        <w:t>4.00</w:t>
      </w:r>
      <w:r w:rsidRPr="000C2E93">
        <w:rPr>
          <w:rFonts w:ascii="宋体" w:eastAsia="宋体" w:hAnsi="宋体" w:cs="宋体" w:hint="eastAsia"/>
          <w:sz w:val="18"/>
          <w:szCs w:val="18"/>
        </w:rPr>
        <w:t>元</w:t>
      </w:r>
      <w:r w:rsidRPr="000C2E93">
        <w:rPr>
          <w:rFonts w:ascii="宋体" w:eastAsia="宋体" w:hAnsi="宋体" w:cs="宋体"/>
          <w:sz w:val="18"/>
          <w:szCs w:val="18"/>
        </w:rPr>
        <w:t>/</w:t>
      </w:r>
      <w:r w:rsidRPr="000C2E93">
        <w:rPr>
          <w:rFonts w:ascii="宋体" w:eastAsia="宋体" w:hAnsi="宋体" w:cs="宋体" w:hint="eastAsia"/>
          <w:sz w:val="18"/>
          <w:szCs w:val="18"/>
        </w:rPr>
        <w:t>股。</w:t>
      </w:r>
    </w:p>
    <w:p w:rsidR="008D4B2E" w:rsidRPr="000C2E93" w:rsidRDefault="008D4B2E" w:rsidP="00B87081">
      <w:pPr>
        <w:ind w:firstLineChars="200" w:firstLine="360"/>
        <w:divId w:val="525408917"/>
        <w:rPr>
          <w:rFonts w:ascii="宋体" w:eastAsia="宋体" w:hAnsi="宋体" w:cs="宋体"/>
          <w:sz w:val="18"/>
          <w:szCs w:val="18"/>
        </w:rPr>
      </w:pPr>
      <w:proofErr w:type="gramStart"/>
      <w:r w:rsidRPr="000C2E93">
        <w:rPr>
          <w:rFonts w:ascii="宋体" w:eastAsia="宋体" w:hAnsi="宋体" w:cs="宋体" w:hint="eastAsia"/>
          <w:sz w:val="18"/>
          <w:szCs w:val="18"/>
        </w:rPr>
        <w:t>本期员工</w:t>
      </w:r>
      <w:proofErr w:type="gramEnd"/>
      <w:r w:rsidRPr="000C2E93">
        <w:rPr>
          <w:rFonts w:ascii="宋体" w:eastAsia="宋体" w:hAnsi="宋体" w:cs="宋体" w:hint="eastAsia"/>
          <w:sz w:val="18"/>
          <w:szCs w:val="18"/>
        </w:rPr>
        <w:t>持股计划通过向激励对象定向发行的公司人民币</w:t>
      </w:r>
      <w:r w:rsidRPr="000C2E93">
        <w:rPr>
          <w:rFonts w:ascii="宋体" w:eastAsia="宋体" w:hAnsi="宋体" w:cs="宋体"/>
          <w:sz w:val="18"/>
          <w:szCs w:val="18"/>
        </w:rPr>
        <w:t>A</w:t>
      </w:r>
      <w:r w:rsidRPr="000C2E93">
        <w:rPr>
          <w:rFonts w:ascii="宋体" w:eastAsia="宋体" w:hAnsi="宋体" w:cs="宋体" w:hint="eastAsia"/>
          <w:sz w:val="18"/>
          <w:szCs w:val="18"/>
        </w:rPr>
        <w:t>股普通股股票，分两期解锁，解锁时点分别为自公司公告最后一笔标的股票过户至</w:t>
      </w:r>
      <w:proofErr w:type="gramStart"/>
      <w:r w:rsidRPr="000C2E93">
        <w:rPr>
          <w:rFonts w:ascii="宋体" w:eastAsia="宋体" w:hAnsi="宋体" w:cs="宋体" w:hint="eastAsia"/>
          <w:sz w:val="18"/>
          <w:szCs w:val="18"/>
        </w:rPr>
        <w:t>本期员工</w:t>
      </w:r>
      <w:proofErr w:type="gramEnd"/>
      <w:r w:rsidRPr="000C2E93">
        <w:rPr>
          <w:rFonts w:ascii="宋体" w:eastAsia="宋体" w:hAnsi="宋体" w:cs="宋体" w:hint="eastAsia"/>
          <w:sz w:val="18"/>
          <w:szCs w:val="18"/>
        </w:rPr>
        <w:t>持股计划名下之日起满</w:t>
      </w:r>
      <w:r w:rsidRPr="000C2E93">
        <w:rPr>
          <w:rFonts w:ascii="宋体" w:eastAsia="宋体" w:hAnsi="宋体" w:cs="宋体"/>
          <w:sz w:val="18"/>
          <w:szCs w:val="18"/>
        </w:rPr>
        <w:t>12</w:t>
      </w:r>
      <w:r w:rsidRPr="000C2E93">
        <w:rPr>
          <w:rFonts w:ascii="宋体" w:eastAsia="宋体" w:hAnsi="宋体" w:cs="宋体" w:hint="eastAsia"/>
          <w:sz w:val="18"/>
          <w:szCs w:val="18"/>
        </w:rPr>
        <w:t>个月、</w:t>
      </w:r>
      <w:r w:rsidRPr="000C2E93">
        <w:rPr>
          <w:rFonts w:ascii="宋体" w:eastAsia="宋体" w:hAnsi="宋体" w:cs="宋体"/>
          <w:sz w:val="18"/>
          <w:szCs w:val="18"/>
        </w:rPr>
        <w:t>24</w:t>
      </w:r>
      <w:r w:rsidRPr="000C2E93">
        <w:rPr>
          <w:rFonts w:ascii="宋体" w:eastAsia="宋体" w:hAnsi="宋体" w:cs="宋体" w:hint="eastAsia"/>
          <w:sz w:val="18"/>
          <w:szCs w:val="18"/>
        </w:rPr>
        <w:t>个月，最长锁定期为</w:t>
      </w:r>
      <w:r w:rsidRPr="000C2E93">
        <w:rPr>
          <w:rFonts w:ascii="宋体" w:eastAsia="宋体" w:hAnsi="宋体" w:cs="宋体"/>
          <w:sz w:val="18"/>
          <w:szCs w:val="18"/>
        </w:rPr>
        <w:t>24</w:t>
      </w:r>
      <w:r w:rsidRPr="000C2E93">
        <w:rPr>
          <w:rFonts w:ascii="宋体" w:eastAsia="宋体" w:hAnsi="宋体" w:cs="宋体" w:hint="eastAsia"/>
          <w:sz w:val="18"/>
          <w:szCs w:val="18"/>
        </w:rPr>
        <w:t>个月，每期解锁的标的股票比例分别为</w:t>
      </w:r>
      <w:r w:rsidRPr="000C2E93">
        <w:rPr>
          <w:rFonts w:ascii="宋体" w:eastAsia="宋体" w:hAnsi="宋体" w:cs="宋体"/>
          <w:sz w:val="18"/>
          <w:szCs w:val="18"/>
        </w:rPr>
        <w:t>50%</w:t>
      </w:r>
      <w:r w:rsidRPr="000C2E93">
        <w:rPr>
          <w:rFonts w:ascii="宋体" w:eastAsia="宋体" w:hAnsi="宋体" w:cs="宋体" w:hint="eastAsia"/>
          <w:sz w:val="18"/>
          <w:szCs w:val="18"/>
        </w:rPr>
        <w:t>、</w:t>
      </w:r>
      <w:r w:rsidRPr="000C2E93">
        <w:rPr>
          <w:rFonts w:ascii="宋体" w:eastAsia="宋体" w:hAnsi="宋体" w:cs="宋体"/>
          <w:sz w:val="18"/>
          <w:szCs w:val="18"/>
        </w:rPr>
        <w:t>50%</w:t>
      </w:r>
      <w:r w:rsidRPr="000C2E93">
        <w:rPr>
          <w:rFonts w:ascii="宋体" w:eastAsia="宋体" w:hAnsi="宋体" w:cs="宋体" w:hint="eastAsia"/>
          <w:sz w:val="18"/>
          <w:szCs w:val="18"/>
        </w:rPr>
        <w:t>，各年度具体解锁比例和数量根据公司业绩指标和持有人考核结果计算确定。</w:t>
      </w:r>
    </w:p>
    <w:p w:rsidR="008D4B2E" w:rsidRPr="000C2E93" w:rsidRDefault="008D4B2E" w:rsidP="00B87081">
      <w:pPr>
        <w:ind w:firstLineChars="200" w:firstLine="360"/>
        <w:divId w:val="525408917"/>
        <w:rPr>
          <w:rFonts w:ascii="宋体" w:eastAsia="宋体" w:hAnsi="宋体" w:cs="宋体"/>
          <w:sz w:val="18"/>
          <w:szCs w:val="18"/>
        </w:rPr>
      </w:pPr>
      <w:r w:rsidRPr="000C2E93">
        <w:rPr>
          <w:rFonts w:ascii="宋体" w:eastAsia="宋体" w:hAnsi="宋体" w:cs="宋体"/>
          <w:sz w:val="18"/>
          <w:szCs w:val="18"/>
        </w:rPr>
        <w:t>2023</w:t>
      </w:r>
      <w:r w:rsidRPr="000C2E93">
        <w:rPr>
          <w:rFonts w:ascii="宋体" w:eastAsia="宋体" w:hAnsi="宋体" w:cs="宋体" w:hint="eastAsia"/>
          <w:sz w:val="18"/>
          <w:szCs w:val="18"/>
        </w:rPr>
        <w:t>年</w:t>
      </w:r>
      <w:r w:rsidRPr="000C2E93">
        <w:rPr>
          <w:rFonts w:ascii="宋体" w:eastAsia="宋体" w:hAnsi="宋体" w:cs="宋体"/>
          <w:sz w:val="18"/>
          <w:szCs w:val="18"/>
        </w:rPr>
        <w:t>8</w:t>
      </w:r>
      <w:r w:rsidRPr="000C2E93">
        <w:rPr>
          <w:rFonts w:ascii="宋体" w:eastAsia="宋体" w:hAnsi="宋体" w:cs="宋体" w:hint="eastAsia"/>
          <w:sz w:val="18"/>
          <w:szCs w:val="18"/>
        </w:rPr>
        <w:t>月</w:t>
      </w:r>
      <w:r w:rsidRPr="000C2E93">
        <w:rPr>
          <w:rFonts w:ascii="宋体" w:eastAsia="宋体" w:hAnsi="宋体" w:cs="宋体"/>
          <w:sz w:val="18"/>
          <w:szCs w:val="18"/>
        </w:rPr>
        <w:t>28</w:t>
      </w:r>
      <w:r w:rsidRPr="000C2E93">
        <w:rPr>
          <w:rFonts w:ascii="宋体" w:eastAsia="宋体" w:hAnsi="宋体" w:cs="宋体" w:hint="eastAsia"/>
          <w:sz w:val="18"/>
          <w:szCs w:val="18"/>
        </w:rPr>
        <w:t>日，公司完成了</w:t>
      </w:r>
      <w:r w:rsidRPr="000C2E93">
        <w:rPr>
          <w:rFonts w:ascii="宋体" w:eastAsia="宋体" w:hAnsi="宋体" w:cs="宋体"/>
          <w:sz w:val="18"/>
          <w:szCs w:val="18"/>
        </w:rPr>
        <w:t>2023</w:t>
      </w:r>
      <w:r w:rsidRPr="000C2E93">
        <w:rPr>
          <w:rFonts w:ascii="宋体" w:eastAsia="宋体" w:hAnsi="宋体" w:cs="宋体" w:hint="eastAsia"/>
          <w:sz w:val="18"/>
          <w:szCs w:val="18"/>
        </w:rPr>
        <w:t>年限制性股票激励计划限制性股票的授予登记工作，向</w:t>
      </w:r>
      <w:r w:rsidRPr="000C2E93">
        <w:rPr>
          <w:rFonts w:ascii="宋体" w:eastAsia="宋体" w:hAnsi="宋体" w:cs="宋体"/>
          <w:sz w:val="18"/>
          <w:szCs w:val="18"/>
        </w:rPr>
        <w:t>51</w:t>
      </w:r>
      <w:r w:rsidRPr="000C2E93">
        <w:rPr>
          <w:rFonts w:ascii="宋体" w:eastAsia="宋体" w:hAnsi="宋体" w:cs="宋体" w:hint="eastAsia"/>
          <w:sz w:val="18"/>
          <w:szCs w:val="18"/>
        </w:rPr>
        <w:t>名激励对象授予</w:t>
      </w:r>
      <w:r w:rsidRPr="000C2E93">
        <w:rPr>
          <w:rFonts w:ascii="宋体" w:eastAsia="宋体" w:hAnsi="宋体" w:cs="宋体"/>
          <w:sz w:val="18"/>
          <w:szCs w:val="18"/>
        </w:rPr>
        <w:t>3,750.00</w:t>
      </w:r>
      <w:r w:rsidRPr="000C2E93">
        <w:rPr>
          <w:rFonts w:ascii="宋体" w:eastAsia="宋体" w:hAnsi="宋体" w:cs="宋体" w:hint="eastAsia"/>
          <w:sz w:val="18"/>
          <w:szCs w:val="18"/>
        </w:rPr>
        <w:t>万份限制性股票，授予价格为</w:t>
      </w:r>
      <w:r w:rsidRPr="000C2E93">
        <w:rPr>
          <w:rFonts w:ascii="宋体" w:eastAsia="宋体" w:hAnsi="宋体" w:cs="宋体"/>
          <w:sz w:val="18"/>
          <w:szCs w:val="18"/>
        </w:rPr>
        <w:t>4.00</w:t>
      </w:r>
      <w:r w:rsidRPr="000C2E93">
        <w:rPr>
          <w:rFonts w:ascii="宋体" w:eastAsia="宋体" w:hAnsi="宋体" w:cs="宋体" w:hint="eastAsia"/>
          <w:sz w:val="18"/>
          <w:szCs w:val="18"/>
        </w:rPr>
        <w:t>元</w:t>
      </w:r>
      <w:r w:rsidRPr="000C2E93">
        <w:rPr>
          <w:rFonts w:ascii="宋体" w:eastAsia="宋体" w:hAnsi="宋体" w:cs="宋体"/>
          <w:sz w:val="18"/>
          <w:szCs w:val="18"/>
        </w:rPr>
        <w:t>/</w:t>
      </w:r>
      <w:r w:rsidRPr="000C2E93">
        <w:rPr>
          <w:rFonts w:ascii="宋体" w:eastAsia="宋体" w:hAnsi="宋体" w:cs="宋体" w:hint="eastAsia"/>
          <w:sz w:val="18"/>
          <w:szCs w:val="18"/>
        </w:rPr>
        <w:t>股，授予的限制性股票于</w:t>
      </w:r>
      <w:r w:rsidRPr="000C2E93">
        <w:rPr>
          <w:rFonts w:ascii="宋体" w:eastAsia="宋体" w:hAnsi="宋体" w:cs="宋体"/>
          <w:sz w:val="18"/>
          <w:szCs w:val="18"/>
        </w:rPr>
        <w:t>2023</w:t>
      </w:r>
      <w:r w:rsidRPr="000C2E93">
        <w:rPr>
          <w:rFonts w:ascii="宋体" w:eastAsia="宋体" w:hAnsi="宋体" w:cs="宋体" w:hint="eastAsia"/>
          <w:sz w:val="18"/>
          <w:szCs w:val="18"/>
        </w:rPr>
        <w:t>年</w:t>
      </w:r>
      <w:r w:rsidRPr="000C2E93">
        <w:rPr>
          <w:rFonts w:ascii="宋体" w:eastAsia="宋体" w:hAnsi="宋体" w:cs="宋体"/>
          <w:sz w:val="18"/>
          <w:szCs w:val="18"/>
        </w:rPr>
        <w:t>8</w:t>
      </w:r>
      <w:r w:rsidRPr="000C2E93">
        <w:rPr>
          <w:rFonts w:ascii="宋体" w:eastAsia="宋体" w:hAnsi="宋体" w:cs="宋体" w:hint="eastAsia"/>
          <w:sz w:val="18"/>
          <w:szCs w:val="18"/>
        </w:rPr>
        <w:t>月</w:t>
      </w:r>
      <w:r w:rsidRPr="000C2E93">
        <w:rPr>
          <w:rFonts w:ascii="宋体" w:eastAsia="宋体" w:hAnsi="宋体" w:cs="宋体"/>
          <w:sz w:val="18"/>
          <w:szCs w:val="18"/>
        </w:rPr>
        <w:t>28</w:t>
      </w:r>
      <w:r w:rsidRPr="000C2E93">
        <w:rPr>
          <w:rFonts w:ascii="宋体" w:eastAsia="宋体" w:hAnsi="宋体" w:cs="宋体" w:hint="eastAsia"/>
          <w:sz w:val="18"/>
          <w:szCs w:val="18"/>
        </w:rPr>
        <w:t>日上市。公司全部有效的员工持股计划所持有的股票总数累计未超过公司股本总额的</w:t>
      </w:r>
      <w:r w:rsidRPr="000C2E93">
        <w:rPr>
          <w:rFonts w:ascii="宋体" w:eastAsia="宋体" w:hAnsi="宋体" w:cs="宋体"/>
          <w:sz w:val="18"/>
          <w:szCs w:val="18"/>
        </w:rPr>
        <w:t>10%</w:t>
      </w:r>
      <w:r w:rsidRPr="000C2E93">
        <w:rPr>
          <w:rFonts w:ascii="宋体" w:eastAsia="宋体" w:hAnsi="宋体" w:cs="宋体" w:hint="eastAsia"/>
          <w:sz w:val="18"/>
          <w:szCs w:val="18"/>
        </w:rPr>
        <w:t>，单个员工所获股份权益对应的股票总数累计未超过公司股本总额的</w:t>
      </w:r>
      <w:r w:rsidRPr="000C2E93">
        <w:rPr>
          <w:rFonts w:ascii="宋体" w:eastAsia="宋体" w:hAnsi="宋体" w:cs="宋体"/>
          <w:sz w:val="18"/>
          <w:szCs w:val="18"/>
        </w:rPr>
        <w:t>1%</w:t>
      </w:r>
      <w:r w:rsidRPr="000C2E93">
        <w:rPr>
          <w:rFonts w:ascii="宋体" w:eastAsia="宋体" w:hAnsi="宋体" w:cs="宋体" w:hint="eastAsia"/>
          <w:sz w:val="18"/>
          <w:szCs w:val="18"/>
        </w:rPr>
        <w:t>。</w:t>
      </w:r>
    </w:p>
    <w:p w:rsidR="008D4B2E" w:rsidRPr="000C2E93" w:rsidRDefault="008D4B2E" w:rsidP="00B87081">
      <w:pPr>
        <w:ind w:firstLineChars="200" w:firstLine="360"/>
        <w:divId w:val="525408917"/>
        <w:rPr>
          <w:rFonts w:ascii="宋体" w:eastAsia="宋体" w:hAnsi="宋体" w:cs="宋体"/>
          <w:sz w:val="18"/>
          <w:szCs w:val="18"/>
        </w:rPr>
      </w:pPr>
      <w:r w:rsidRPr="000C2E93">
        <w:rPr>
          <w:rFonts w:ascii="宋体" w:eastAsia="宋体" w:hAnsi="宋体" w:cs="宋体" w:hint="eastAsia"/>
          <w:sz w:val="18"/>
          <w:szCs w:val="18"/>
        </w:rPr>
        <w:t>本激励计划在</w:t>
      </w:r>
      <w:r w:rsidRPr="000C2E93">
        <w:rPr>
          <w:rFonts w:ascii="宋体" w:eastAsia="宋体" w:hAnsi="宋体" w:cs="宋体"/>
          <w:sz w:val="18"/>
          <w:szCs w:val="18"/>
        </w:rPr>
        <w:t>2023</w:t>
      </w:r>
      <w:r w:rsidRPr="000C2E93">
        <w:rPr>
          <w:rFonts w:ascii="宋体" w:eastAsia="宋体" w:hAnsi="宋体" w:cs="宋体" w:hint="eastAsia"/>
          <w:sz w:val="18"/>
          <w:szCs w:val="18"/>
        </w:rPr>
        <w:t>年</w:t>
      </w:r>
      <w:r w:rsidRPr="000C2E93">
        <w:rPr>
          <w:rFonts w:ascii="宋体" w:eastAsia="宋体" w:hAnsi="宋体" w:cs="宋体"/>
          <w:sz w:val="18"/>
          <w:szCs w:val="18"/>
        </w:rPr>
        <w:t>-2024</w:t>
      </w:r>
      <w:r w:rsidRPr="000C2E93">
        <w:rPr>
          <w:rFonts w:ascii="宋体" w:eastAsia="宋体" w:hAnsi="宋体" w:cs="宋体" w:hint="eastAsia"/>
          <w:sz w:val="18"/>
          <w:szCs w:val="18"/>
        </w:rPr>
        <w:t>年会计年度中，分年度对公司的业绩指标进行考核，以达到业绩考核目标作为激励对象当年度的解除限售条件之一。本激励计划业绩考核目标如下：</w:t>
      </w:r>
    </w:p>
    <w:tbl>
      <w:tblPr>
        <w:tblW w:w="9629" w:type="dxa"/>
        <w:tblCellMar>
          <w:left w:w="0" w:type="dxa"/>
          <w:right w:w="0" w:type="dxa"/>
        </w:tblCellMar>
        <w:tblLook w:val="04A0" w:firstRow="1" w:lastRow="0" w:firstColumn="1" w:lastColumn="0" w:noHBand="0" w:noVBand="1"/>
      </w:tblPr>
      <w:tblGrid>
        <w:gridCol w:w="2039"/>
        <w:gridCol w:w="7590"/>
      </w:tblGrid>
      <w:tr w:rsidR="008D4B2E" w:rsidTr="00B87081">
        <w:trPr>
          <w:divId w:val="525408917"/>
          <w:trHeight w:val="429"/>
        </w:trPr>
        <w:tc>
          <w:tcPr>
            <w:tcW w:w="2039" w:type="dxa"/>
            <w:tcBorders>
              <w:top w:val="single" w:sz="8" w:space="0" w:color="auto"/>
              <w:left w:val="single" w:sz="8" w:space="0" w:color="auto"/>
              <w:bottom w:val="single" w:sz="8" w:space="0" w:color="auto"/>
              <w:right w:val="single" w:sz="8" w:space="0" w:color="auto"/>
            </w:tcBorders>
            <w:shd w:val="clear" w:color="auto" w:fill="D3D3D3"/>
            <w:vAlign w:val="center"/>
            <w:hideMark/>
          </w:tcPr>
          <w:p w:rsidR="008D4B2E" w:rsidRPr="00362F1D" w:rsidRDefault="008D4B2E" w:rsidP="00C75946">
            <w:pPr>
              <w:spacing w:line="240" w:lineRule="exact"/>
              <w:jc w:val="center"/>
              <w:rPr>
                <w:rFonts w:ascii="宋体" w:eastAsia="宋体" w:hAnsi="宋体" w:cs="宋体"/>
                <w:sz w:val="18"/>
                <w:szCs w:val="18"/>
              </w:rPr>
            </w:pPr>
            <w:r w:rsidRPr="00362F1D">
              <w:rPr>
                <w:rFonts w:ascii="宋体" w:eastAsia="宋体" w:hAnsi="宋体" w:cs="宋体" w:hint="eastAsia"/>
                <w:bCs/>
                <w:sz w:val="18"/>
                <w:szCs w:val="18"/>
              </w:rPr>
              <w:t>解锁期</w:t>
            </w:r>
          </w:p>
        </w:tc>
        <w:tc>
          <w:tcPr>
            <w:tcW w:w="7590" w:type="dxa"/>
            <w:tcBorders>
              <w:top w:val="single" w:sz="8" w:space="0" w:color="auto"/>
              <w:left w:val="nil"/>
              <w:bottom w:val="single" w:sz="8" w:space="0" w:color="auto"/>
              <w:right w:val="single" w:sz="8" w:space="0" w:color="auto"/>
            </w:tcBorders>
            <w:shd w:val="clear" w:color="auto" w:fill="D3D3D3"/>
            <w:vAlign w:val="center"/>
            <w:hideMark/>
          </w:tcPr>
          <w:p w:rsidR="008D4B2E" w:rsidRPr="00362F1D" w:rsidRDefault="008D4B2E" w:rsidP="00C75946">
            <w:pPr>
              <w:spacing w:line="240" w:lineRule="exact"/>
              <w:jc w:val="center"/>
              <w:rPr>
                <w:rFonts w:ascii="宋体" w:eastAsia="宋体" w:hAnsi="宋体" w:cs="宋体"/>
                <w:sz w:val="18"/>
                <w:szCs w:val="18"/>
              </w:rPr>
            </w:pPr>
            <w:r w:rsidRPr="00362F1D">
              <w:rPr>
                <w:rFonts w:ascii="宋体" w:eastAsia="宋体" w:hAnsi="宋体" w:cs="宋体" w:hint="eastAsia"/>
                <w:bCs/>
                <w:sz w:val="18"/>
                <w:szCs w:val="18"/>
              </w:rPr>
              <w:t>业绩考核目标</w:t>
            </w:r>
          </w:p>
        </w:tc>
      </w:tr>
      <w:tr w:rsidR="008D4B2E" w:rsidTr="00B87081">
        <w:trPr>
          <w:divId w:val="525408917"/>
          <w:trHeight w:val="583"/>
        </w:trPr>
        <w:tc>
          <w:tcPr>
            <w:tcW w:w="2039" w:type="dxa"/>
            <w:tcBorders>
              <w:top w:val="nil"/>
              <w:left w:val="single" w:sz="8" w:space="0" w:color="auto"/>
              <w:bottom w:val="single" w:sz="8" w:space="0" w:color="auto"/>
              <w:right w:val="single" w:sz="8" w:space="0" w:color="auto"/>
            </w:tcBorders>
            <w:vAlign w:val="center"/>
            <w:hideMark/>
          </w:tcPr>
          <w:p w:rsidR="008D4B2E" w:rsidRPr="000C2E93" w:rsidRDefault="008D4B2E" w:rsidP="00362F1D">
            <w:pPr>
              <w:spacing w:line="240" w:lineRule="exact"/>
              <w:rPr>
                <w:rFonts w:ascii="宋体" w:eastAsia="宋体" w:hAnsi="宋体" w:cs="宋体"/>
                <w:sz w:val="18"/>
                <w:szCs w:val="18"/>
              </w:rPr>
            </w:pPr>
            <w:r w:rsidRPr="000C2E93">
              <w:rPr>
                <w:rFonts w:ascii="宋体" w:eastAsia="宋体" w:hAnsi="宋体" w:cs="宋体" w:hint="eastAsia"/>
                <w:sz w:val="18"/>
                <w:szCs w:val="18"/>
              </w:rPr>
              <w:t>第一个解锁期</w:t>
            </w:r>
          </w:p>
        </w:tc>
        <w:tc>
          <w:tcPr>
            <w:tcW w:w="7590" w:type="dxa"/>
            <w:tcBorders>
              <w:top w:val="nil"/>
              <w:left w:val="nil"/>
              <w:bottom w:val="single" w:sz="8" w:space="0" w:color="auto"/>
              <w:right w:val="single" w:sz="8" w:space="0" w:color="auto"/>
            </w:tcBorders>
            <w:vAlign w:val="center"/>
            <w:hideMark/>
          </w:tcPr>
          <w:p w:rsidR="008D4B2E" w:rsidRPr="000C2E93" w:rsidRDefault="008D4B2E" w:rsidP="000C2E93">
            <w:pPr>
              <w:spacing w:line="240" w:lineRule="exact"/>
              <w:rPr>
                <w:rFonts w:ascii="宋体" w:eastAsia="宋体" w:hAnsi="宋体" w:cs="宋体"/>
                <w:sz w:val="18"/>
                <w:szCs w:val="18"/>
              </w:rPr>
            </w:pPr>
            <w:r w:rsidRPr="000C2E93">
              <w:rPr>
                <w:rFonts w:ascii="宋体" w:eastAsia="宋体" w:hAnsi="宋体" w:cs="宋体" w:hint="eastAsia"/>
                <w:sz w:val="18"/>
                <w:szCs w:val="18"/>
              </w:rPr>
              <w:t>以</w:t>
            </w:r>
            <w:r w:rsidRPr="000C2E93">
              <w:rPr>
                <w:rFonts w:ascii="宋体" w:eastAsia="宋体" w:hAnsi="宋体" w:cs="宋体"/>
                <w:sz w:val="18"/>
                <w:szCs w:val="18"/>
              </w:rPr>
              <w:t>2022</w:t>
            </w:r>
            <w:r w:rsidRPr="000C2E93">
              <w:rPr>
                <w:rFonts w:ascii="宋体" w:eastAsia="宋体" w:hAnsi="宋体" w:cs="宋体" w:hint="eastAsia"/>
                <w:sz w:val="18"/>
                <w:szCs w:val="18"/>
              </w:rPr>
              <w:t>年归属于上市公司股东的净利润为基数，</w:t>
            </w:r>
            <w:r w:rsidRPr="000C2E93">
              <w:rPr>
                <w:rFonts w:ascii="宋体" w:eastAsia="宋体" w:hAnsi="宋体" w:cs="宋体"/>
                <w:sz w:val="18"/>
                <w:szCs w:val="18"/>
              </w:rPr>
              <w:t>2023</w:t>
            </w:r>
            <w:r w:rsidRPr="000C2E93">
              <w:rPr>
                <w:rFonts w:ascii="宋体" w:eastAsia="宋体" w:hAnsi="宋体" w:cs="宋体" w:hint="eastAsia"/>
                <w:sz w:val="18"/>
                <w:szCs w:val="18"/>
              </w:rPr>
              <w:t>年归属于上市公司股东的净利润增长率不低</w:t>
            </w:r>
            <w:r w:rsidRPr="000C2E93">
              <w:rPr>
                <w:rFonts w:ascii="宋体" w:eastAsia="宋体" w:hAnsi="宋体" w:cs="宋体"/>
                <w:sz w:val="18"/>
                <w:szCs w:val="18"/>
              </w:rPr>
              <w:t>30.00%</w:t>
            </w:r>
            <w:r w:rsidRPr="000C2E93">
              <w:rPr>
                <w:rFonts w:ascii="宋体" w:eastAsia="宋体" w:hAnsi="宋体" w:cs="宋体" w:hint="eastAsia"/>
                <w:sz w:val="18"/>
                <w:szCs w:val="18"/>
              </w:rPr>
              <w:t>。</w:t>
            </w:r>
          </w:p>
        </w:tc>
      </w:tr>
      <w:tr w:rsidR="008D4B2E" w:rsidTr="00B87081">
        <w:trPr>
          <w:divId w:val="525408917"/>
          <w:trHeight w:val="618"/>
        </w:trPr>
        <w:tc>
          <w:tcPr>
            <w:tcW w:w="2039" w:type="dxa"/>
            <w:tcBorders>
              <w:top w:val="nil"/>
              <w:left w:val="single" w:sz="8" w:space="0" w:color="auto"/>
              <w:bottom w:val="single" w:sz="8" w:space="0" w:color="auto"/>
              <w:right w:val="single" w:sz="8" w:space="0" w:color="auto"/>
            </w:tcBorders>
            <w:vAlign w:val="center"/>
            <w:hideMark/>
          </w:tcPr>
          <w:p w:rsidR="008D4B2E" w:rsidRPr="000C2E93" w:rsidRDefault="008D4B2E" w:rsidP="00362F1D">
            <w:pPr>
              <w:spacing w:line="240" w:lineRule="exact"/>
              <w:rPr>
                <w:rFonts w:ascii="宋体" w:eastAsia="宋体" w:hAnsi="宋体" w:cs="宋体"/>
                <w:sz w:val="18"/>
                <w:szCs w:val="18"/>
              </w:rPr>
            </w:pPr>
            <w:r w:rsidRPr="000C2E93">
              <w:rPr>
                <w:rFonts w:ascii="宋体" w:eastAsia="宋体" w:hAnsi="宋体" w:cs="宋体" w:hint="eastAsia"/>
                <w:sz w:val="18"/>
                <w:szCs w:val="18"/>
              </w:rPr>
              <w:t>第二个解锁期</w:t>
            </w:r>
          </w:p>
        </w:tc>
        <w:tc>
          <w:tcPr>
            <w:tcW w:w="7590" w:type="dxa"/>
            <w:tcBorders>
              <w:top w:val="nil"/>
              <w:left w:val="nil"/>
              <w:bottom w:val="single" w:sz="8" w:space="0" w:color="auto"/>
              <w:right w:val="single" w:sz="8" w:space="0" w:color="auto"/>
            </w:tcBorders>
            <w:vAlign w:val="center"/>
            <w:hideMark/>
          </w:tcPr>
          <w:p w:rsidR="008D4B2E" w:rsidRPr="000C2E93" w:rsidRDefault="008D4B2E" w:rsidP="000C2E93">
            <w:pPr>
              <w:spacing w:line="240" w:lineRule="exact"/>
              <w:rPr>
                <w:rFonts w:ascii="宋体" w:eastAsia="宋体" w:hAnsi="宋体" w:cs="宋体"/>
                <w:sz w:val="18"/>
                <w:szCs w:val="18"/>
              </w:rPr>
            </w:pPr>
            <w:r w:rsidRPr="000C2E93">
              <w:rPr>
                <w:rFonts w:ascii="宋体" w:eastAsia="宋体" w:hAnsi="宋体" w:cs="宋体" w:hint="eastAsia"/>
                <w:sz w:val="18"/>
                <w:szCs w:val="18"/>
              </w:rPr>
              <w:t>以</w:t>
            </w:r>
            <w:r w:rsidRPr="000C2E93">
              <w:rPr>
                <w:rFonts w:ascii="宋体" w:eastAsia="宋体" w:hAnsi="宋体" w:cs="宋体"/>
                <w:sz w:val="18"/>
                <w:szCs w:val="18"/>
              </w:rPr>
              <w:t>2022</w:t>
            </w:r>
            <w:r w:rsidRPr="000C2E93">
              <w:rPr>
                <w:rFonts w:ascii="宋体" w:eastAsia="宋体" w:hAnsi="宋体" w:cs="宋体" w:hint="eastAsia"/>
                <w:sz w:val="18"/>
                <w:szCs w:val="18"/>
              </w:rPr>
              <w:t>年归属于上市公司股东的净利润为基数，</w:t>
            </w:r>
            <w:r w:rsidRPr="000C2E93">
              <w:rPr>
                <w:rFonts w:ascii="宋体" w:eastAsia="宋体" w:hAnsi="宋体" w:cs="宋体"/>
                <w:sz w:val="18"/>
                <w:szCs w:val="18"/>
              </w:rPr>
              <w:t>2024</w:t>
            </w:r>
            <w:r w:rsidRPr="000C2E93">
              <w:rPr>
                <w:rFonts w:ascii="宋体" w:eastAsia="宋体" w:hAnsi="宋体" w:cs="宋体" w:hint="eastAsia"/>
                <w:sz w:val="18"/>
                <w:szCs w:val="18"/>
              </w:rPr>
              <w:t>年归属于上市公司股东的净利润增长率不低</w:t>
            </w:r>
            <w:r w:rsidRPr="000C2E93">
              <w:rPr>
                <w:rFonts w:ascii="宋体" w:eastAsia="宋体" w:hAnsi="宋体" w:cs="宋体"/>
                <w:sz w:val="18"/>
                <w:szCs w:val="18"/>
              </w:rPr>
              <w:t>60.00%</w:t>
            </w:r>
            <w:r w:rsidRPr="000C2E93">
              <w:rPr>
                <w:rFonts w:ascii="宋体" w:eastAsia="宋体" w:hAnsi="宋体" w:cs="宋体" w:hint="eastAsia"/>
                <w:sz w:val="18"/>
                <w:szCs w:val="18"/>
              </w:rPr>
              <w:t>。</w:t>
            </w:r>
          </w:p>
        </w:tc>
      </w:tr>
    </w:tbl>
    <w:p w:rsidR="008D4B2E" w:rsidRDefault="008D4B2E" w:rsidP="00B87081">
      <w:pPr>
        <w:pStyle w:val="a3"/>
        <w:divId w:val="525408917"/>
        <w:rPr>
          <w:sz w:val="18"/>
          <w:szCs w:val="18"/>
        </w:rPr>
      </w:pPr>
      <w:r>
        <w:rPr>
          <w:rFonts w:hint="eastAsia"/>
          <w:sz w:val="20"/>
          <w:szCs w:val="20"/>
        </w:rPr>
        <w:t>注：上述“净利润”指经审计的归属于上市公司股东的净利润，并剔除全部在有效期内激励计划股份支付费用影响的数值作为计算依据。</w:t>
      </w:r>
    </w:p>
    <w:p w:rsidR="00BA0365" w:rsidRDefault="008D4B2E">
      <w:pPr>
        <w:pStyle w:val="3"/>
        <w:spacing w:line="280" w:lineRule="exact"/>
        <w:jc w:val="left"/>
        <w:rPr>
          <w:rFonts w:ascii="宋体" w:hAnsi="宋体" w:cs="宋体"/>
          <w:b/>
          <w:bCs/>
        </w:rPr>
      </w:pPr>
      <w:bookmarkStart w:id="401" w:name="_Toc989308"/>
      <w:r>
        <w:rPr>
          <w:rFonts w:ascii="宋体" w:hAnsi="宋体" w:cs="宋体"/>
          <w:b/>
          <w:bCs/>
        </w:rPr>
        <w:lastRenderedPageBreak/>
        <w:t>2、以权益结算的股份支付情况</w:t>
      </w:r>
      <w:bookmarkEnd w:id="401"/>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BA0365" w:rsidRDefault="008D4B2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4820"/>
        <w:gridCol w:w="4819"/>
      </w:tblGrid>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授予日权益工具公允价值的确定方法</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以Black-Scholes模型（B-S模型）作为定价模型，扣除激励对象在未来解除限售</w:t>
            </w:r>
            <w:proofErr w:type="gramStart"/>
            <w:r>
              <w:rPr>
                <w:rFonts w:ascii="宋体" w:eastAsia="宋体" w:hAnsi="宋体" w:cs="宋体"/>
                <w:sz w:val="18"/>
                <w:szCs w:val="18"/>
              </w:rPr>
              <w:t>期取得</w:t>
            </w:r>
            <w:proofErr w:type="gramEnd"/>
            <w:r>
              <w:rPr>
                <w:rFonts w:ascii="宋体" w:eastAsia="宋体" w:hAnsi="宋体" w:cs="宋体"/>
                <w:sz w:val="18"/>
                <w:szCs w:val="18"/>
              </w:rPr>
              <w:t>理性预期收益所需要支付的成本后作为限制性股票的公允价值</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可行权权益工具数量的确定依据</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公司根据在职激励对象对应的权益工具、对未来年度公司业绩的预测及对个人绩效考核情况进行确定</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本期估计与上期估计有重大差异的原因</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无</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以权益结算的股份支付计入资本公积的累计金额</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316,097,971.40</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本期以权益结算的股份支付确认的费用总额</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110,357,659.37</w:t>
            </w:r>
          </w:p>
        </w:tc>
      </w:tr>
    </w:tbl>
    <w:p w:rsidR="00BA0365" w:rsidRDefault="008D4B2E">
      <w:pPr>
        <w:pStyle w:val="3"/>
        <w:spacing w:line="280" w:lineRule="exact"/>
        <w:jc w:val="left"/>
        <w:rPr>
          <w:rFonts w:ascii="宋体" w:hAnsi="宋体" w:cs="宋体"/>
          <w:b/>
          <w:bCs/>
        </w:rPr>
      </w:pPr>
      <w:bookmarkStart w:id="402" w:name="_Toc989309"/>
      <w:r>
        <w:rPr>
          <w:rFonts w:ascii="宋体" w:hAnsi="宋体" w:cs="宋体"/>
          <w:b/>
          <w:bCs/>
        </w:rPr>
        <w:t>3、以现金结算的股份支付情况</w:t>
      </w:r>
      <w:bookmarkEnd w:id="402"/>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pStyle w:val="3"/>
        <w:spacing w:line="280" w:lineRule="exact"/>
        <w:jc w:val="left"/>
        <w:rPr>
          <w:rFonts w:ascii="宋体" w:hAnsi="宋体" w:cs="宋体"/>
          <w:b/>
          <w:bCs/>
        </w:rPr>
      </w:pPr>
      <w:bookmarkStart w:id="403" w:name="_Toc989310"/>
      <w:r>
        <w:rPr>
          <w:rFonts w:ascii="宋体" w:hAnsi="宋体" w:cs="宋体"/>
          <w:b/>
          <w:bCs/>
        </w:rPr>
        <w:t>4、本期股份支付费用</w:t>
      </w:r>
      <w:bookmarkEnd w:id="403"/>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BA0365" w:rsidRDefault="008D4B2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3213"/>
        <w:gridCol w:w="3213"/>
        <w:gridCol w:w="3213"/>
      </w:tblGrid>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授予对象类别</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以权益结算的股份支付费用</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以现金结算的股份支付费用</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关键员工</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110,357,659.37</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110,357,659.37</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bl>
    <w:p w:rsidR="00BA0365" w:rsidRDefault="008D4B2E">
      <w:pPr>
        <w:pStyle w:val="2"/>
        <w:spacing w:before="300" w:after="300" w:line="320" w:lineRule="exact"/>
        <w:rPr>
          <w:rFonts w:ascii="宋体" w:eastAsia="宋体" w:hAnsi="宋体" w:cs="宋体"/>
          <w:b/>
          <w:bCs/>
          <w:sz w:val="24"/>
          <w:szCs w:val="24"/>
        </w:rPr>
      </w:pPr>
      <w:bookmarkStart w:id="404" w:name="_Toc989313"/>
      <w:r>
        <w:rPr>
          <w:rFonts w:ascii="宋体" w:eastAsia="宋体" w:hAnsi="宋体" w:cs="宋体"/>
          <w:b/>
          <w:bCs/>
          <w:sz w:val="24"/>
          <w:szCs w:val="24"/>
        </w:rPr>
        <w:t>十六、承诺及或有事项</w:t>
      </w:r>
      <w:bookmarkEnd w:id="404"/>
    </w:p>
    <w:p w:rsidR="00BA0365" w:rsidRDefault="008D4B2E">
      <w:pPr>
        <w:pStyle w:val="3"/>
        <w:spacing w:line="280" w:lineRule="exact"/>
        <w:jc w:val="left"/>
        <w:rPr>
          <w:rFonts w:ascii="宋体" w:hAnsi="宋体" w:cs="宋体"/>
          <w:b/>
          <w:bCs/>
        </w:rPr>
      </w:pPr>
      <w:bookmarkStart w:id="405" w:name="_Toc989314"/>
      <w:r>
        <w:rPr>
          <w:rFonts w:ascii="宋体" w:hAnsi="宋体" w:cs="宋体"/>
          <w:b/>
          <w:bCs/>
        </w:rPr>
        <w:t>1、重要承诺事项</w:t>
      </w:r>
      <w:bookmarkEnd w:id="405"/>
    </w:p>
    <w:p w:rsidR="00BA0365" w:rsidRPr="00B87081" w:rsidRDefault="008D4B2E">
      <w:pPr>
        <w:spacing w:before="100" w:after="100" w:line="240" w:lineRule="exact"/>
        <w:rPr>
          <w:rFonts w:asciiTheme="minorEastAsia" w:hAnsiTheme="minorEastAsia" w:cs="宋体"/>
          <w:sz w:val="18"/>
          <w:szCs w:val="18"/>
        </w:rPr>
      </w:pPr>
      <w:r w:rsidRPr="00B87081">
        <w:rPr>
          <w:rFonts w:asciiTheme="minorEastAsia" w:hAnsiTheme="minorEastAsia" w:cs="宋体"/>
          <w:sz w:val="18"/>
          <w:szCs w:val="18"/>
        </w:rPr>
        <w:t>资产负债表</w:t>
      </w:r>
      <w:proofErr w:type="gramStart"/>
      <w:r w:rsidRPr="00B87081">
        <w:rPr>
          <w:rFonts w:asciiTheme="minorEastAsia" w:hAnsiTheme="minorEastAsia" w:cs="宋体"/>
          <w:sz w:val="18"/>
          <w:szCs w:val="18"/>
        </w:rPr>
        <w:t>日存在</w:t>
      </w:r>
      <w:proofErr w:type="gramEnd"/>
      <w:r w:rsidRPr="00B87081">
        <w:rPr>
          <w:rFonts w:asciiTheme="minorEastAsia" w:hAnsiTheme="minorEastAsia" w:cs="宋体"/>
          <w:sz w:val="18"/>
          <w:szCs w:val="18"/>
        </w:rPr>
        <w:t>的重要承诺</w:t>
      </w:r>
    </w:p>
    <w:p w:rsidR="008D4B2E" w:rsidRDefault="008D4B2E">
      <w:pPr>
        <w:pStyle w:val="a3"/>
        <w:spacing w:before="0" w:beforeAutospacing="0" w:after="0" w:afterAutospacing="0"/>
        <w:jc w:val="both"/>
        <w:divId w:val="2040887566"/>
        <w:rPr>
          <w:rFonts w:ascii="Arial" w:hAnsi="Arial" w:cs="Arial"/>
          <w:sz w:val="18"/>
          <w:szCs w:val="18"/>
        </w:rPr>
      </w:pPr>
      <w:r w:rsidRPr="00B87081">
        <w:rPr>
          <w:rFonts w:asciiTheme="minorEastAsia" w:eastAsiaTheme="minorEastAsia" w:hAnsiTheme="minorEastAsia" w:cs="Arial" w:hint="eastAsia"/>
          <w:sz w:val="18"/>
          <w:szCs w:val="18"/>
        </w:rPr>
        <w:t>截至</w:t>
      </w:r>
      <w:r w:rsidRPr="00B87081">
        <w:rPr>
          <w:rFonts w:asciiTheme="minorEastAsia" w:eastAsiaTheme="minorEastAsia" w:hAnsiTheme="minorEastAsia" w:cs="Arial"/>
          <w:sz w:val="18"/>
          <w:szCs w:val="18"/>
        </w:rPr>
        <w:t>2023</w:t>
      </w:r>
      <w:r w:rsidRPr="00B87081">
        <w:rPr>
          <w:rFonts w:asciiTheme="minorEastAsia" w:eastAsiaTheme="minorEastAsia" w:hAnsiTheme="minorEastAsia" w:cs="Arial" w:hint="eastAsia"/>
          <w:sz w:val="18"/>
          <w:szCs w:val="18"/>
        </w:rPr>
        <w:t>年</w:t>
      </w:r>
      <w:r w:rsidRPr="00B87081">
        <w:rPr>
          <w:rFonts w:asciiTheme="minorEastAsia" w:eastAsiaTheme="minorEastAsia" w:hAnsiTheme="minorEastAsia" w:cs="Arial"/>
          <w:sz w:val="18"/>
          <w:szCs w:val="18"/>
        </w:rPr>
        <w:t>12</w:t>
      </w:r>
      <w:r w:rsidRPr="00B87081">
        <w:rPr>
          <w:rFonts w:asciiTheme="minorEastAsia" w:eastAsiaTheme="minorEastAsia" w:hAnsiTheme="minorEastAsia" w:cs="Arial" w:hint="eastAsia"/>
          <w:sz w:val="18"/>
          <w:szCs w:val="18"/>
        </w:rPr>
        <w:t>月</w:t>
      </w:r>
      <w:r w:rsidRPr="00B87081">
        <w:rPr>
          <w:rFonts w:asciiTheme="minorEastAsia" w:eastAsiaTheme="minorEastAsia" w:hAnsiTheme="minorEastAsia" w:cs="Arial"/>
          <w:sz w:val="18"/>
          <w:szCs w:val="18"/>
        </w:rPr>
        <w:t>31</w:t>
      </w:r>
      <w:r w:rsidRPr="00B87081">
        <w:rPr>
          <w:rFonts w:asciiTheme="minorEastAsia" w:eastAsiaTheme="minorEastAsia" w:hAnsiTheme="minorEastAsia" w:cs="Arial" w:hint="eastAsia"/>
          <w:sz w:val="18"/>
          <w:szCs w:val="18"/>
        </w:rPr>
        <w:t>日，本公司本期无需要披露的重要承诺事项</w:t>
      </w:r>
      <w:r>
        <w:rPr>
          <w:rFonts w:cs="Arial" w:hint="eastAsia"/>
          <w:sz w:val="18"/>
          <w:szCs w:val="18"/>
        </w:rPr>
        <w:t>。</w:t>
      </w:r>
    </w:p>
    <w:p w:rsidR="00BA0365" w:rsidRDefault="008D4B2E">
      <w:pPr>
        <w:pStyle w:val="2"/>
        <w:spacing w:before="300" w:after="300" w:line="320" w:lineRule="exact"/>
        <w:rPr>
          <w:rFonts w:ascii="宋体" w:eastAsia="宋体" w:hAnsi="宋体" w:cs="宋体"/>
          <w:b/>
          <w:bCs/>
          <w:sz w:val="24"/>
          <w:szCs w:val="24"/>
        </w:rPr>
      </w:pPr>
      <w:bookmarkStart w:id="406" w:name="_Toc989319"/>
      <w:r>
        <w:rPr>
          <w:rFonts w:ascii="宋体" w:eastAsia="宋体" w:hAnsi="宋体" w:cs="宋体"/>
          <w:b/>
          <w:bCs/>
          <w:sz w:val="24"/>
          <w:szCs w:val="24"/>
        </w:rPr>
        <w:t>十七、资产负债表日后事项</w:t>
      </w:r>
      <w:bookmarkEnd w:id="406"/>
    </w:p>
    <w:p w:rsidR="00BA0365" w:rsidRDefault="008D4B2E">
      <w:pPr>
        <w:pStyle w:val="3"/>
        <w:spacing w:line="280" w:lineRule="exact"/>
        <w:jc w:val="left"/>
        <w:rPr>
          <w:rFonts w:ascii="宋体" w:hAnsi="宋体" w:cs="宋体"/>
          <w:b/>
          <w:bCs/>
        </w:rPr>
      </w:pPr>
      <w:bookmarkStart w:id="407" w:name="_Toc989320"/>
      <w:r>
        <w:rPr>
          <w:rFonts w:ascii="宋体" w:hAnsi="宋体" w:cs="宋体"/>
          <w:b/>
          <w:bCs/>
        </w:rPr>
        <w:t>1、利润分配情况</w:t>
      </w:r>
      <w:bookmarkEnd w:id="407"/>
    </w:p>
    <w:tbl>
      <w:tblPr>
        <w:tblW w:w="9639" w:type="dxa"/>
        <w:tblLayout w:type="fixed"/>
        <w:tblLook w:val="04A0" w:firstRow="1" w:lastRow="0" w:firstColumn="1" w:lastColumn="0" w:noHBand="0" w:noVBand="1"/>
      </w:tblPr>
      <w:tblGrid>
        <w:gridCol w:w="2943"/>
        <w:gridCol w:w="6696"/>
      </w:tblGrid>
      <w:tr w:rsidR="00157EA0" w:rsidTr="00C75946">
        <w:trPr>
          <w:trHeight w:val="240"/>
        </w:trPr>
        <w:tc>
          <w:tcPr>
            <w:tcW w:w="294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拟分配每10股派息数（元）</w:t>
            </w:r>
          </w:p>
        </w:tc>
        <w:tc>
          <w:tcPr>
            <w:tcW w:w="669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w:t>
            </w:r>
          </w:p>
        </w:tc>
      </w:tr>
      <w:tr w:rsidR="00157EA0" w:rsidTr="00C75946">
        <w:trPr>
          <w:trHeight w:val="240"/>
        </w:trPr>
        <w:tc>
          <w:tcPr>
            <w:tcW w:w="294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利润分配方案</w:t>
            </w:r>
          </w:p>
        </w:tc>
        <w:tc>
          <w:tcPr>
            <w:tcW w:w="669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本次利润分配预案为：</w:t>
            </w:r>
            <w:proofErr w:type="gramStart"/>
            <w:r>
              <w:rPr>
                <w:rFonts w:ascii="宋体" w:eastAsia="宋体" w:hAnsi="宋体" w:cs="宋体"/>
                <w:sz w:val="18"/>
                <w:szCs w:val="18"/>
              </w:rPr>
              <w:t>以软控股份有限公司</w:t>
            </w:r>
            <w:proofErr w:type="gramEnd"/>
            <w:r>
              <w:rPr>
                <w:rFonts w:ascii="宋体" w:eastAsia="宋体" w:hAnsi="宋体" w:cs="宋体"/>
                <w:sz w:val="18"/>
                <w:szCs w:val="18"/>
              </w:rPr>
              <w:t>（以下简称“公司”）2023年12月31日总股本1,012,096,504股为基数，向全体股东每10股派发现金红利1.00元（含税），送红股0股（含税），不以公积金转增股本。</w:t>
            </w:r>
          </w:p>
        </w:tc>
      </w:tr>
    </w:tbl>
    <w:p w:rsidR="00BA0365" w:rsidRDefault="008D4B2E">
      <w:pPr>
        <w:pStyle w:val="2"/>
        <w:spacing w:before="300" w:after="300" w:line="320" w:lineRule="exact"/>
        <w:rPr>
          <w:rFonts w:ascii="宋体" w:eastAsia="宋体" w:hAnsi="宋体" w:cs="宋体"/>
          <w:b/>
          <w:bCs/>
          <w:sz w:val="24"/>
          <w:szCs w:val="24"/>
        </w:rPr>
      </w:pPr>
      <w:bookmarkStart w:id="408" w:name="_Toc989323"/>
      <w:r>
        <w:rPr>
          <w:rFonts w:ascii="宋体" w:eastAsia="宋体" w:hAnsi="宋体" w:cs="宋体"/>
          <w:b/>
          <w:bCs/>
          <w:sz w:val="24"/>
          <w:szCs w:val="24"/>
        </w:rPr>
        <w:lastRenderedPageBreak/>
        <w:t>十八、其他重要事项</w:t>
      </w:r>
      <w:bookmarkEnd w:id="408"/>
    </w:p>
    <w:p w:rsidR="00BA0365" w:rsidRDefault="00C75946">
      <w:pPr>
        <w:pStyle w:val="3"/>
        <w:spacing w:line="280" w:lineRule="exact"/>
        <w:jc w:val="left"/>
        <w:rPr>
          <w:rFonts w:ascii="宋体" w:hAnsi="宋体" w:cs="宋体"/>
          <w:b/>
          <w:bCs/>
        </w:rPr>
      </w:pPr>
      <w:bookmarkStart w:id="409" w:name="_Toc989330"/>
      <w:r>
        <w:rPr>
          <w:rFonts w:ascii="宋体" w:hAnsi="宋体" w:cs="宋体"/>
          <w:b/>
          <w:bCs/>
        </w:rPr>
        <w:t>1</w:t>
      </w:r>
      <w:r w:rsidR="008D4B2E">
        <w:rPr>
          <w:rFonts w:ascii="宋体" w:hAnsi="宋体" w:cs="宋体"/>
          <w:b/>
          <w:bCs/>
        </w:rPr>
        <w:t>、分部信息</w:t>
      </w:r>
      <w:bookmarkEnd w:id="409"/>
    </w:p>
    <w:p w:rsidR="00BA0365" w:rsidRDefault="008D4B2E">
      <w:pPr>
        <w:keepNext/>
        <w:keepLines/>
        <w:spacing w:before="300" w:after="300" w:line="280" w:lineRule="exact"/>
        <w:outlineLvl w:val="3"/>
        <w:rPr>
          <w:rFonts w:ascii="宋体" w:eastAsia="宋体" w:hAnsi="宋体" w:cs="宋体"/>
          <w:b/>
          <w:bCs/>
          <w:szCs w:val="21"/>
        </w:rPr>
      </w:pPr>
      <w:bookmarkStart w:id="410" w:name="_Toc989331"/>
      <w:r>
        <w:rPr>
          <w:rFonts w:ascii="宋体" w:eastAsia="宋体" w:hAnsi="宋体" w:cs="宋体"/>
          <w:b/>
          <w:bCs/>
          <w:szCs w:val="21"/>
        </w:rPr>
        <w:t>（1） 报告分部的确定依据与会计政策</w:t>
      </w:r>
      <w:bookmarkEnd w:id="410"/>
    </w:p>
    <w:p w:rsidR="00362F1D" w:rsidRDefault="008D4B2E" w:rsidP="00B87081">
      <w:pPr>
        <w:ind w:firstLineChars="200" w:firstLine="360"/>
        <w:divId w:val="474567145"/>
        <w:rPr>
          <w:rFonts w:ascii="宋体" w:eastAsia="宋体" w:hAnsi="宋体" w:cs="宋体"/>
          <w:sz w:val="18"/>
          <w:szCs w:val="18"/>
        </w:rPr>
      </w:pPr>
      <w:r w:rsidRPr="000C2E93">
        <w:rPr>
          <w:rFonts w:ascii="宋体" w:eastAsia="宋体" w:hAnsi="宋体" w:cs="宋体" w:hint="eastAsia"/>
          <w:sz w:val="18"/>
          <w:szCs w:val="18"/>
        </w:rPr>
        <w:t>公司以内部组织结构、管理要求、内部报告制度等为依据确定经营分部。公司的经营分部是指同时满足下列条件的组成部分：</w:t>
      </w:r>
    </w:p>
    <w:p w:rsidR="00362F1D" w:rsidRDefault="008D4B2E" w:rsidP="00B87081">
      <w:pPr>
        <w:ind w:firstLineChars="200" w:firstLine="360"/>
        <w:divId w:val="474567145"/>
        <w:rPr>
          <w:rFonts w:ascii="宋体" w:eastAsia="宋体" w:hAnsi="宋体" w:cs="宋体"/>
          <w:sz w:val="18"/>
          <w:szCs w:val="18"/>
        </w:rPr>
      </w:pPr>
      <w:r w:rsidRPr="000C2E93">
        <w:rPr>
          <w:rFonts w:ascii="宋体" w:eastAsia="宋体" w:hAnsi="宋体" w:cs="宋体" w:hint="eastAsia"/>
          <w:sz w:val="18"/>
          <w:szCs w:val="18"/>
        </w:rPr>
        <w:t>①该组成部分能够在日常活动中产生收入、发生费用；</w:t>
      </w:r>
    </w:p>
    <w:p w:rsidR="008D4B2E" w:rsidRPr="000C2E93" w:rsidRDefault="008D4B2E" w:rsidP="00B87081">
      <w:pPr>
        <w:ind w:firstLineChars="200" w:firstLine="360"/>
        <w:divId w:val="474567145"/>
        <w:rPr>
          <w:rFonts w:ascii="宋体" w:eastAsia="宋体" w:hAnsi="宋体" w:cs="宋体"/>
          <w:sz w:val="18"/>
          <w:szCs w:val="18"/>
        </w:rPr>
      </w:pPr>
      <w:r w:rsidRPr="000C2E93">
        <w:rPr>
          <w:rFonts w:ascii="宋体" w:eastAsia="宋体" w:hAnsi="宋体" w:cs="宋体" w:hint="eastAsia"/>
          <w:sz w:val="18"/>
          <w:szCs w:val="18"/>
        </w:rPr>
        <w:t>②管理层能够定期评价该组成部分的经营成果，以决定向其配置资源、评价其业绩；</w:t>
      </w:r>
    </w:p>
    <w:p w:rsidR="008D4B2E" w:rsidRPr="000C2E93" w:rsidRDefault="008D4B2E" w:rsidP="00B87081">
      <w:pPr>
        <w:ind w:firstLineChars="200" w:firstLine="360"/>
        <w:divId w:val="474567145"/>
        <w:rPr>
          <w:rFonts w:ascii="宋体" w:eastAsia="宋体" w:hAnsi="宋体" w:cs="宋体"/>
          <w:sz w:val="18"/>
          <w:szCs w:val="18"/>
        </w:rPr>
      </w:pPr>
      <w:r w:rsidRPr="000C2E93">
        <w:rPr>
          <w:rFonts w:ascii="宋体" w:eastAsia="宋体" w:hAnsi="宋体" w:cs="宋体" w:hint="eastAsia"/>
          <w:sz w:val="18"/>
          <w:szCs w:val="18"/>
        </w:rPr>
        <w:t>③能够通过分析取得该组成部分的财务状况、经营成果和现金流量等有关会计信息。</w:t>
      </w:r>
    </w:p>
    <w:p w:rsidR="008D4B2E" w:rsidRPr="000C2E93" w:rsidRDefault="008D4B2E" w:rsidP="00B87081">
      <w:pPr>
        <w:ind w:firstLineChars="200" w:firstLine="360"/>
        <w:divId w:val="474567145"/>
        <w:rPr>
          <w:rFonts w:ascii="宋体" w:eastAsia="宋体" w:hAnsi="宋体" w:cs="宋体"/>
          <w:sz w:val="18"/>
          <w:szCs w:val="18"/>
        </w:rPr>
      </w:pPr>
      <w:r w:rsidRPr="000C2E93">
        <w:rPr>
          <w:rFonts w:ascii="宋体" w:eastAsia="宋体" w:hAnsi="宋体" w:cs="宋体" w:hint="eastAsia"/>
          <w:sz w:val="18"/>
          <w:szCs w:val="18"/>
        </w:rPr>
        <w:t>本公司以行业分部为基础确定报告分部，主营业务收入、主营业务成本按销售商品类别进行划分。</w:t>
      </w:r>
    </w:p>
    <w:p w:rsidR="00BA0365" w:rsidRDefault="008D4B2E">
      <w:pPr>
        <w:keepNext/>
        <w:keepLines/>
        <w:spacing w:before="300" w:after="300" w:line="280" w:lineRule="exact"/>
        <w:outlineLvl w:val="3"/>
        <w:rPr>
          <w:rFonts w:ascii="宋体" w:eastAsia="宋体" w:hAnsi="宋体" w:cs="宋体"/>
          <w:b/>
          <w:bCs/>
          <w:szCs w:val="21"/>
        </w:rPr>
      </w:pPr>
      <w:bookmarkStart w:id="411" w:name="_Toc989332"/>
      <w:r>
        <w:rPr>
          <w:rFonts w:ascii="宋体" w:eastAsia="宋体" w:hAnsi="宋体" w:cs="宋体"/>
          <w:b/>
          <w:bCs/>
          <w:szCs w:val="21"/>
        </w:rPr>
        <w:t>（2） 报告分部的财务信息</w:t>
      </w:r>
      <w:bookmarkEnd w:id="411"/>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1927"/>
        <w:gridCol w:w="1928"/>
        <w:gridCol w:w="1928"/>
        <w:gridCol w:w="1928"/>
        <w:gridCol w:w="1928"/>
      </w:tblGrid>
      <w:tr w:rsidR="00157EA0" w:rsidTr="00B87081">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jc w:val="center"/>
              <w:rPr>
                <w:rFonts w:ascii="宋体" w:eastAsia="宋体" w:hAnsi="宋体" w:cs="宋体"/>
                <w:sz w:val="18"/>
                <w:szCs w:val="18"/>
              </w:rPr>
            </w:pPr>
            <w:r>
              <w:rPr>
                <w:rFonts w:ascii="宋体" w:eastAsia="宋体" w:hAnsi="宋体" w:cs="宋体"/>
                <w:sz w:val="18"/>
                <w:szCs w:val="18"/>
              </w:rPr>
              <w:t>软件业</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line="240" w:lineRule="exact"/>
              <w:jc w:val="center"/>
              <w:rPr>
                <w:rFonts w:ascii="宋体" w:eastAsia="宋体" w:hAnsi="宋体" w:cs="宋体"/>
                <w:sz w:val="18"/>
                <w:szCs w:val="18"/>
              </w:rPr>
            </w:pPr>
            <w:r>
              <w:rPr>
                <w:rFonts w:ascii="宋体" w:eastAsia="宋体" w:hAnsi="宋体" w:cs="宋体"/>
                <w:sz w:val="18"/>
                <w:szCs w:val="18"/>
              </w:rPr>
              <w:t>制造及安装业</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分部间</w:t>
            </w:r>
            <w:proofErr w:type="gramStart"/>
            <w:r>
              <w:rPr>
                <w:rFonts w:ascii="宋体" w:eastAsia="宋体" w:hAnsi="宋体" w:cs="宋体"/>
                <w:sz w:val="18"/>
                <w:szCs w:val="18"/>
              </w:rPr>
              <w:t>抵销</w:t>
            </w:r>
            <w:proofErr w:type="gramEnd"/>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合计</w:t>
            </w:r>
          </w:p>
        </w:tc>
      </w:tr>
      <w:tr w:rsidR="00157EA0" w:rsidTr="00B87081">
        <w:trPr>
          <w:trHeight w:val="394"/>
        </w:trPr>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营业收入</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214,180,155.25</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5,647,595,165.99</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214,180,155.25</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5,647,595,165.99</w:t>
            </w:r>
          </w:p>
        </w:tc>
      </w:tr>
      <w:tr w:rsidR="00157EA0" w:rsidTr="00B87081">
        <w:trPr>
          <w:trHeight w:val="414"/>
        </w:trPr>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营业成本</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14,079,974.00</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4,379,302,430.42</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214,180,155.25</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4,179,202,249.17</w:t>
            </w:r>
          </w:p>
        </w:tc>
      </w:tr>
    </w:tbl>
    <w:p w:rsidR="00BA0365" w:rsidRDefault="008D4B2E">
      <w:pPr>
        <w:pStyle w:val="2"/>
        <w:spacing w:before="300" w:after="300" w:line="320" w:lineRule="exact"/>
        <w:rPr>
          <w:rFonts w:ascii="宋体" w:eastAsia="宋体" w:hAnsi="宋体" w:cs="宋体"/>
          <w:b/>
          <w:bCs/>
          <w:sz w:val="24"/>
          <w:szCs w:val="24"/>
        </w:rPr>
      </w:pPr>
      <w:bookmarkStart w:id="412" w:name="_Toc989337"/>
      <w:r>
        <w:rPr>
          <w:rFonts w:ascii="宋体" w:eastAsia="宋体" w:hAnsi="宋体" w:cs="宋体"/>
          <w:b/>
          <w:bCs/>
          <w:sz w:val="24"/>
          <w:szCs w:val="24"/>
        </w:rPr>
        <w:t>十九、母公司财务报表主要项目注释</w:t>
      </w:r>
      <w:bookmarkEnd w:id="412"/>
    </w:p>
    <w:p w:rsidR="00BA0365" w:rsidRDefault="008D4B2E">
      <w:pPr>
        <w:pStyle w:val="3"/>
        <w:spacing w:line="280" w:lineRule="exact"/>
        <w:jc w:val="left"/>
        <w:rPr>
          <w:rFonts w:ascii="宋体" w:hAnsi="宋体" w:cs="宋体"/>
          <w:b/>
          <w:bCs/>
        </w:rPr>
      </w:pPr>
      <w:bookmarkStart w:id="413" w:name="_Toc989338"/>
      <w:r>
        <w:rPr>
          <w:rFonts w:ascii="宋体" w:hAnsi="宋体" w:cs="宋体"/>
          <w:b/>
          <w:bCs/>
        </w:rPr>
        <w:t>1、应收账款</w:t>
      </w:r>
      <w:bookmarkEnd w:id="413"/>
    </w:p>
    <w:p w:rsidR="00BA0365" w:rsidRDefault="008D4B2E">
      <w:pPr>
        <w:keepNext/>
        <w:keepLines/>
        <w:spacing w:before="300" w:after="300" w:line="280" w:lineRule="exact"/>
        <w:outlineLvl w:val="3"/>
        <w:rPr>
          <w:rFonts w:ascii="宋体" w:eastAsia="宋体" w:hAnsi="宋体" w:cs="宋体"/>
          <w:b/>
          <w:bCs/>
          <w:szCs w:val="21"/>
        </w:rPr>
      </w:pPr>
      <w:bookmarkStart w:id="414" w:name="_Toc989339"/>
      <w:r>
        <w:rPr>
          <w:rFonts w:ascii="宋体" w:eastAsia="宋体" w:hAnsi="宋体" w:cs="宋体"/>
          <w:b/>
          <w:bCs/>
          <w:szCs w:val="21"/>
        </w:rPr>
        <w:t xml:space="preserve">（1） </w:t>
      </w:r>
      <w:proofErr w:type="gramStart"/>
      <w:r>
        <w:rPr>
          <w:rFonts w:ascii="宋体" w:eastAsia="宋体" w:hAnsi="宋体" w:cs="宋体"/>
          <w:b/>
          <w:bCs/>
          <w:szCs w:val="21"/>
        </w:rPr>
        <w:t>按账龄</w:t>
      </w:r>
      <w:proofErr w:type="gramEnd"/>
      <w:r>
        <w:rPr>
          <w:rFonts w:ascii="宋体" w:eastAsia="宋体" w:hAnsi="宋体" w:cs="宋体"/>
          <w:b/>
          <w:bCs/>
          <w:szCs w:val="21"/>
        </w:rPr>
        <w:t>披露</w:t>
      </w:r>
      <w:bookmarkEnd w:id="414"/>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3213"/>
        <w:gridCol w:w="3213"/>
        <w:gridCol w:w="3213"/>
      </w:tblGrid>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期初账面余额</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1年以内（含1年）</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227,925,586.46</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254,636,216.34</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1至2年</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69,466,166.56</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118,370,520.32</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2至3年</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45,201,267.32</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53,025,756.54</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3年以上</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526,612,255.13</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481,668,309.53</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3至4年</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52,917,214.90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55,979,259.41</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4至5年</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54,155,095.58</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8,839,954.21</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5年以上</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419,539,944.65</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416,849,095.91</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869,205,275.47</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907,700,802.73</w:t>
            </w:r>
          </w:p>
        </w:tc>
      </w:tr>
    </w:tbl>
    <w:p w:rsidR="00BA0365" w:rsidRDefault="008D4B2E">
      <w:pPr>
        <w:keepNext/>
        <w:keepLines/>
        <w:spacing w:before="300" w:after="300" w:line="280" w:lineRule="exact"/>
        <w:outlineLvl w:val="3"/>
        <w:rPr>
          <w:rFonts w:ascii="宋体" w:eastAsia="宋体" w:hAnsi="宋体" w:cs="宋体"/>
          <w:b/>
          <w:bCs/>
          <w:szCs w:val="21"/>
        </w:rPr>
      </w:pPr>
      <w:bookmarkStart w:id="415" w:name="_Toc989340"/>
      <w:r>
        <w:rPr>
          <w:rFonts w:ascii="宋体" w:eastAsia="宋体" w:hAnsi="宋体" w:cs="宋体"/>
          <w:b/>
          <w:bCs/>
          <w:szCs w:val="21"/>
        </w:rPr>
        <w:t>（2） 按坏账计提方法分类披露</w:t>
      </w:r>
      <w:bookmarkEnd w:id="415"/>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875"/>
        <w:gridCol w:w="876"/>
        <w:gridCol w:w="877"/>
        <w:gridCol w:w="876"/>
        <w:gridCol w:w="877"/>
        <w:gridCol w:w="876"/>
        <w:gridCol w:w="876"/>
        <w:gridCol w:w="877"/>
        <w:gridCol w:w="876"/>
        <w:gridCol w:w="877"/>
        <w:gridCol w:w="876"/>
      </w:tblGrid>
      <w:tr w:rsidR="00157EA0">
        <w:trPr>
          <w:trHeight w:val="240"/>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57EA0">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157EA0">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r w:rsidR="00157EA0">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按单项</w:t>
            </w:r>
            <w:r>
              <w:rPr>
                <w:rFonts w:ascii="宋体" w:eastAsia="宋体" w:hAnsi="宋体" w:cs="宋体"/>
                <w:sz w:val="18"/>
                <w:szCs w:val="18"/>
              </w:rPr>
              <w:lastRenderedPageBreak/>
              <w:t>计提坏账准备的应收账款</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lastRenderedPageBreak/>
              <w:t>10,609,</w:t>
            </w:r>
            <w:r>
              <w:rPr>
                <w:rFonts w:ascii="宋体" w:eastAsia="宋体" w:hAnsi="宋体" w:cs="宋体"/>
                <w:sz w:val="18"/>
                <w:szCs w:val="18"/>
              </w:rPr>
              <w:lastRenderedPageBreak/>
              <w:t>867.21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lastRenderedPageBreak/>
              <w:t>1.22%</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10,609,</w:t>
            </w:r>
            <w:r>
              <w:rPr>
                <w:rFonts w:ascii="宋体" w:eastAsia="宋体" w:hAnsi="宋体" w:cs="宋体"/>
                <w:sz w:val="18"/>
                <w:szCs w:val="18"/>
              </w:rPr>
              <w:lastRenderedPageBreak/>
              <w:t>867.21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lastRenderedPageBreak/>
              <w:t>100.00%</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10,651,</w:t>
            </w:r>
            <w:r>
              <w:rPr>
                <w:rFonts w:ascii="宋体" w:eastAsia="宋体" w:hAnsi="宋体" w:cs="宋体"/>
                <w:sz w:val="18"/>
                <w:szCs w:val="18"/>
              </w:rPr>
              <w:lastRenderedPageBreak/>
              <w:t>541.71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lastRenderedPageBreak/>
              <w:t>1.17%</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10,651,</w:t>
            </w:r>
            <w:r>
              <w:rPr>
                <w:rFonts w:ascii="宋体" w:eastAsia="宋体" w:hAnsi="宋体" w:cs="宋体"/>
                <w:sz w:val="18"/>
                <w:szCs w:val="18"/>
              </w:rPr>
              <w:lastRenderedPageBreak/>
              <w:t>541.71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lastRenderedPageBreak/>
              <w:t>100.00%</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lastRenderedPageBreak/>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r w:rsidR="00157EA0">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按组合计提坏账准备的应收账款</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858,595,408.26</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98.78%</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55,068,403.31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6.41%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803,527,004.95</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897,049,261.02</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98.83%</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60,347,911.95</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6.73%</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836,701,349.07</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100" w:firstLine="180"/>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其中：</w:t>
            </w:r>
            <w:proofErr w:type="gramStart"/>
            <w:r>
              <w:rPr>
                <w:rFonts w:ascii="宋体" w:eastAsia="宋体" w:hAnsi="宋体" w:cs="宋体"/>
                <w:sz w:val="18"/>
                <w:szCs w:val="18"/>
              </w:rPr>
              <w:t>账</w:t>
            </w:r>
            <w:proofErr w:type="gramEnd"/>
            <w:r>
              <w:rPr>
                <w:rFonts w:ascii="宋体" w:eastAsia="宋体" w:hAnsi="宋体" w:cs="宋体"/>
                <w:sz w:val="18"/>
                <w:szCs w:val="18"/>
              </w:rPr>
              <w:t>龄组合</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64,459,218.87</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7.42%</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55,068,403.31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85.43%</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9,390,815.56</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73,955,924.11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8.15%</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60,347,911.95</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81.60%</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13,608,012.16</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合并范围内公司</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794,136,189.39</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91.36%</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794,136,189.39</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823,093,336.91</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90.68%</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823,093,336.91</w:t>
            </w:r>
          </w:p>
        </w:tc>
      </w:tr>
      <w:tr w:rsidR="00157EA0">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869,205,275.47</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65,678,270.52</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7.56%</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803,527,004.95</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907,700,802.73</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70,999,453.66</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7.82%</w:t>
            </w:r>
          </w:p>
        </w:tc>
        <w:tc>
          <w:tcPr>
            <w:tcW w:w="87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836,701,349.07</w:t>
            </w:r>
          </w:p>
        </w:tc>
      </w:tr>
    </w:tbl>
    <w:p w:rsidR="00BA0365" w:rsidRDefault="008D4B2E">
      <w:pPr>
        <w:spacing w:line="240" w:lineRule="exact"/>
        <w:rPr>
          <w:rFonts w:ascii="宋体" w:eastAsia="宋体" w:hAnsi="宋体" w:cs="宋体"/>
          <w:sz w:val="18"/>
          <w:szCs w:val="18"/>
        </w:rPr>
      </w:pPr>
      <w:r>
        <w:rPr>
          <w:rFonts w:ascii="宋体" w:eastAsia="宋体" w:hAnsi="宋体" w:cs="宋体"/>
          <w:sz w:val="18"/>
          <w:szCs w:val="18"/>
        </w:rPr>
        <w:t>按单项计提坏账准备：</w:t>
      </w:r>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1377"/>
        <w:gridCol w:w="1377"/>
        <w:gridCol w:w="1377"/>
        <w:gridCol w:w="1377"/>
        <w:gridCol w:w="1377"/>
        <w:gridCol w:w="1377"/>
        <w:gridCol w:w="1377"/>
      </w:tblGrid>
      <w:tr w:rsidR="00157EA0">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名称</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157EA0">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计提理由</w:t>
            </w:r>
          </w:p>
        </w:tc>
      </w:tr>
      <w:tr w:rsidR="00157EA0">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A公司</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9,005,148.41</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9,005,148.41</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9,005,148.41</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9,005,148.41</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无法收回</w:t>
            </w:r>
          </w:p>
        </w:tc>
      </w:tr>
      <w:tr w:rsidR="00157EA0">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B公司</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1,145,086.00</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1,145,086.00</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1,145,086.00</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1,145,086.00</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无法收回</w:t>
            </w:r>
          </w:p>
        </w:tc>
      </w:tr>
      <w:tr w:rsidR="00157EA0">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C公司</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415,180.00</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415,180.00</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415,180.00</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415,180.00</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无法收回</w:t>
            </w:r>
          </w:p>
        </w:tc>
      </w:tr>
      <w:tr w:rsidR="00157EA0">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D公司</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86,127.30</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86,127.30</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44,452.80</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44,452.80</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无法收回</w:t>
            </w:r>
          </w:p>
        </w:tc>
      </w:tr>
      <w:tr w:rsidR="00157EA0">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10,651,541.71</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10,651,541.71</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10,609,867.21</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10,609,867.21</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bl>
    <w:p w:rsidR="00BA0365" w:rsidRDefault="008D4B2E">
      <w:pPr>
        <w:spacing w:line="240" w:lineRule="exact"/>
        <w:rPr>
          <w:rFonts w:ascii="宋体" w:eastAsia="宋体" w:hAnsi="宋体" w:cs="宋体"/>
          <w:sz w:val="18"/>
          <w:szCs w:val="18"/>
        </w:rPr>
      </w:pPr>
      <w:r>
        <w:rPr>
          <w:rFonts w:ascii="宋体" w:eastAsia="宋体" w:hAnsi="宋体" w:cs="宋体"/>
          <w:sz w:val="18"/>
          <w:szCs w:val="18"/>
        </w:rPr>
        <w:t>按组合计提坏账准备：</w:t>
      </w:r>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2409"/>
        <w:gridCol w:w="2410"/>
        <w:gridCol w:w="2410"/>
        <w:gridCol w:w="2410"/>
      </w:tblGrid>
      <w:tr w:rsidR="00157EA0">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157EA0">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计提比例</w:t>
            </w:r>
          </w:p>
        </w:tc>
      </w:tr>
      <w:tr w:rsidR="00157EA0">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1年以内</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4,270,834.25</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85,416.69</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2.00%</w:t>
            </w:r>
          </w:p>
        </w:tc>
      </w:tr>
      <w:tr w:rsidR="00157EA0">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1至2年</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3,882,303.86</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194,115.19</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5.00%</w:t>
            </w:r>
          </w:p>
        </w:tc>
      </w:tr>
      <w:tr w:rsidR="00157EA0">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2至3年</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321,099.78</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32,109.98</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w:t>
            </w:r>
          </w:p>
        </w:tc>
      </w:tr>
      <w:tr w:rsidR="00157EA0">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3至4年</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2,103,518.88</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1,051,759.44</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50.00%</w:t>
            </w:r>
          </w:p>
        </w:tc>
      </w:tr>
      <w:tr w:rsidR="00157EA0">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4至5年</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882,300.47</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705,840.38</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80.00%</w:t>
            </w:r>
          </w:p>
        </w:tc>
      </w:tr>
      <w:tr w:rsidR="00157EA0">
        <w:trPr>
          <w:trHeight w:val="240"/>
        </w:trPr>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5年以上</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52,999,161.63</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52,999,161.63</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100.00%</w:t>
            </w:r>
          </w:p>
        </w:tc>
      </w:tr>
      <w:tr w:rsidR="00157EA0">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64,459,218.87</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55,068,403.31</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bl>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如是按照预期信用损失一般模型计提应收账款坏账准备：</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keepNext/>
        <w:keepLines/>
        <w:spacing w:before="300" w:after="300" w:line="280" w:lineRule="exact"/>
        <w:outlineLvl w:val="3"/>
        <w:rPr>
          <w:rFonts w:ascii="宋体" w:eastAsia="宋体" w:hAnsi="宋体" w:cs="宋体"/>
          <w:b/>
          <w:bCs/>
          <w:szCs w:val="21"/>
        </w:rPr>
      </w:pPr>
      <w:bookmarkStart w:id="416" w:name="_Toc989341"/>
      <w:r>
        <w:rPr>
          <w:rFonts w:ascii="宋体" w:eastAsia="宋体" w:hAnsi="宋体" w:cs="宋体"/>
          <w:b/>
          <w:bCs/>
          <w:szCs w:val="21"/>
        </w:rPr>
        <w:t>（3） 本期计提、收回或转回的坏账准备情况</w:t>
      </w:r>
      <w:bookmarkEnd w:id="416"/>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本期计提坏账准备情况：</w:t>
      </w:r>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1377"/>
        <w:gridCol w:w="2133"/>
        <w:gridCol w:w="1560"/>
        <w:gridCol w:w="1134"/>
        <w:gridCol w:w="992"/>
        <w:gridCol w:w="992"/>
        <w:gridCol w:w="1451"/>
      </w:tblGrid>
      <w:tr w:rsidR="00157EA0" w:rsidTr="00C75946">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213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467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本期变动金额</w:t>
            </w:r>
          </w:p>
        </w:tc>
        <w:tc>
          <w:tcPr>
            <w:tcW w:w="145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157EA0" w:rsidTr="00C75946">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213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收回或转回</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核销</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45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r w:rsidR="00157EA0" w:rsidTr="00C75946">
        <w:trPr>
          <w:trHeight w:val="240"/>
        </w:trPr>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lastRenderedPageBreak/>
              <w:t>坏账准备</w:t>
            </w:r>
          </w:p>
        </w:tc>
        <w:tc>
          <w:tcPr>
            <w:tcW w:w="213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70,999,453.66</w:t>
            </w: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-5,321,182.14</w:t>
            </w:r>
          </w:p>
        </w:tc>
        <w:tc>
          <w:tcPr>
            <w:tcW w:w="1134"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4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65,678,270.52</w:t>
            </w:r>
          </w:p>
        </w:tc>
      </w:tr>
      <w:tr w:rsidR="00157EA0" w:rsidTr="00C75946">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213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70,999,453.66</w:t>
            </w: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-5,321,182.14</w:t>
            </w:r>
          </w:p>
        </w:tc>
        <w:tc>
          <w:tcPr>
            <w:tcW w:w="1134"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w:t>
            </w:r>
          </w:p>
        </w:tc>
        <w:tc>
          <w:tcPr>
            <w:tcW w:w="99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45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65,678,270.52</w:t>
            </w:r>
          </w:p>
        </w:tc>
      </w:tr>
    </w:tbl>
    <w:p w:rsidR="00BA0365" w:rsidRDefault="008D4B2E">
      <w:pPr>
        <w:keepNext/>
        <w:keepLines/>
        <w:spacing w:before="300" w:after="300" w:line="280" w:lineRule="exact"/>
        <w:outlineLvl w:val="3"/>
        <w:rPr>
          <w:rFonts w:ascii="宋体" w:eastAsia="宋体" w:hAnsi="宋体" w:cs="宋体"/>
          <w:b/>
          <w:bCs/>
          <w:szCs w:val="21"/>
        </w:rPr>
      </w:pPr>
      <w:r>
        <w:rPr>
          <w:rFonts w:ascii="宋体" w:eastAsia="宋体" w:hAnsi="宋体" w:cs="宋体"/>
          <w:b/>
          <w:bCs/>
          <w:szCs w:val="21"/>
        </w:rPr>
        <w:t>（4） 本期实际核销的应收账款情况</w:t>
      </w:r>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4820"/>
        <w:gridCol w:w="4819"/>
      </w:tblGrid>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核销金额</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实际核销的应收账款</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1.00</w:t>
            </w:r>
          </w:p>
        </w:tc>
      </w:tr>
    </w:tbl>
    <w:p w:rsidR="00BA0365" w:rsidRDefault="008D4B2E">
      <w:pPr>
        <w:keepNext/>
        <w:keepLines/>
        <w:spacing w:before="300" w:after="300" w:line="280" w:lineRule="exact"/>
        <w:outlineLvl w:val="3"/>
        <w:rPr>
          <w:rFonts w:ascii="宋体" w:eastAsia="宋体" w:hAnsi="宋体" w:cs="宋体"/>
          <w:b/>
          <w:bCs/>
          <w:szCs w:val="21"/>
        </w:rPr>
      </w:pPr>
      <w:bookmarkStart w:id="417" w:name="_Toc989343"/>
      <w:r>
        <w:rPr>
          <w:rFonts w:ascii="宋体" w:eastAsia="宋体" w:hAnsi="宋体" w:cs="宋体"/>
          <w:b/>
          <w:bCs/>
          <w:szCs w:val="21"/>
        </w:rPr>
        <w:t>（5） 按欠款方归集的期末余额前五名的应收账款和合同资产情况</w:t>
      </w:r>
      <w:bookmarkEnd w:id="417"/>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1606"/>
        <w:gridCol w:w="1606"/>
        <w:gridCol w:w="1606"/>
        <w:gridCol w:w="1607"/>
        <w:gridCol w:w="1607"/>
        <w:gridCol w:w="1607"/>
      </w:tblGrid>
      <w:tr w:rsidR="00157EA0">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应收账款期末余额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合同资产期末余额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应收账款和合同资产期末余额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占应收账款和合同资产期末余额合计数的比例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应收账款坏账准备和合同资产减值准备期末余额</w:t>
            </w:r>
          </w:p>
        </w:tc>
      </w:tr>
      <w:tr w:rsidR="00157EA0">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A公司</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483,324,141.52</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483,324,141.52</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55.61%</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B公司</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233,000,000.00</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233,000,000.00</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26.81%</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C公司</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71,290,000.00</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71,290,000.00</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8.20%</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D公司</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15,577,970.23</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15,577,970.23</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1.79%</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15,577,970.23</w:t>
            </w:r>
          </w:p>
        </w:tc>
      </w:tr>
      <w:tr w:rsidR="00157EA0">
        <w:trPr>
          <w:trHeight w:val="240"/>
        </w:trPr>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E公司</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9,005,148.41</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9,005,148.41</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1.04%</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9,005,148.41</w:t>
            </w:r>
          </w:p>
        </w:tc>
      </w:tr>
      <w:tr w:rsidR="00157EA0">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812,197,260.16</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812,197,260.16</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93.45%</w:t>
            </w:r>
          </w:p>
        </w:tc>
        <w:tc>
          <w:tcPr>
            <w:tcW w:w="1606"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24,583,118.64</w:t>
            </w:r>
          </w:p>
        </w:tc>
      </w:tr>
    </w:tbl>
    <w:p w:rsidR="00BA0365" w:rsidRDefault="008D4B2E">
      <w:pPr>
        <w:pStyle w:val="3"/>
        <w:spacing w:line="280" w:lineRule="exact"/>
        <w:jc w:val="left"/>
        <w:rPr>
          <w:rFonts w:ascii="宋体" w:hAnsi="宋体" w:cs="宋体"/>
          <w:b/>
          <w:bCs/>
        </w:rPr>
      </w:pPr>
      <w:bookmarkStart w:id="418" w:name="_Toc989344"/>
      <w:r>
        <w:rPr>
          <w:rFonts w:ascii="宋体" w:hAnsi="宋体" w:cs="宋体"/>
          <w:b/>
          <w:bCs/>
        </w:rPr>
        <w:t>2、其他应收款</w:t>
      </w:r>
      <w:bookmarkEnd w:id="418"/>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3213"/>
        <w:gridCol w:w="3213"/>
        <w:gridCol w:w="3213"/>
      </w:tblGrid>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应收利息</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1,530,000.00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395,141,504.10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541,330,986.39</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395,141,504.10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542,860,986.39</w:t>
            </w:r>
          </w:p>
        </w:tc>
      </w:tr>
    </w:tbl>
    <w:p w:rsidR="00BA0365" w:rsidRDefault="008D4B2E">
      <w:pPr>
        <w:keepNext/>
        <w:keepLines/>
        <w:spacing w:before="300" w:after="300" w:line="280" w:lineRule="exact"/>
        <w:outlineLvl w:val="3"/>
        <w:rPr>
          <w:rFonts w:ascii="宋体" w:eastAsia="宋体" w:hAnsi="宋体" w:cs="宋体"/>
          <w:b/>
          <w:bCs/>
          <w:sz w:val="18"/>
          <w:szCs w:val="18"/>
        </w:rPr>
      </w:pPr>
      <w:bookmarkStart w:id="419" w:name="_Toc989345"/>
      <w:r>
        <w:rPr>
          <w:rFonts w:ascii="宋体" w:eastAsia="宋体" w:hAnsi="宋体" w:cs="宋体"/>
          <w:b/>
          <w:bCs/>
          <w:sz w:val="18"/>
          <w:szCs w:val="18"/>
        </w:rPr>
        <w:t>（1） 应收股利</w:t>
      </w:r>
      <w:bookmarkEnd w:id="419"/>
    </w:p>
    <w:p w:rsidR="00BA0365" w:rsidRDefault="008D4B2E">
      <w:pPr>
        <w:keepNext/>
        <w:keepLines/>
        <w:spacing w:before="300" w:after="300" w:line="280" w:lineRule="exact"/>
        <w:outlineLvl w:val="4"/>
        <w:rPr>
          <w:rFonts w:ascii="宋体" w:eastAsia="宋体" w:hAnsi="宋体" w:cs="宋体"/>
          <w:b/>
          <w:bCs/>
          <w:sz w:val="18"/>
          <w:szCs w:val="18"/>
        </w:rPr>
      </w:pPr>
      <w:bookmarkStart w:id="420" w:name="_Toc989346"/>
      <w:r>
        <w:rPr>
          <w:rFonts w:ascii="宋体" w:eastAsia="宋体" w:hAnsi="宋体" w:cs="宋体"/>
          <w:b/>
          <w:bCs/>
          <w:sz w:val="18"/>
          <w:szCs w:val="18"/>
        </w:rPr>
        <w:t>1） 应收股利分类</w:t>
      </w:r>
      <w:bookmarkEnd w:id="420"/>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3213"/>
        <w:gridCol w:w="3213"/>
        <w:gridCol w:w="3213"/>
      </w:tblGrid>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项目（或被投资单位）</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华控能源</w:t>
            </w:r>
            <w:proofErr w:type="gramEnd"/>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1,530,000.00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1,530,000.00</w:t>
            </w:r>
          </w:p>
        </w:tc>
      </w:tr>
    </w:tbl>
    <w:p w:rsidR="00BA0365" w:rsidRDefault="008D4B2E">
      <w:pPr>
        <w:keepNext/>
        <w:keepLines/>
        <w:spacing w:before="300" w:after="300" w:line="280" w:lineRule="exact"/>
        <w:outlineLvl w:val="3"/>
        <w:rPr>
          <w:rFonts w:ascii="宋体" w:eastAsia="宋体" w:hAnsi="宋体" w:cs="宋体"/>
          <w:b/>
          <w:bCs/>
          <w:sz w:val="18"/>
          <w:szCs w:val="18"/>
        </w:rPr>
      </w:pPr>
      <w:bookmarkStart w:id="421" w:name="_Toc989347"/>
      <w:r>
        <w:rPr>
          <w:rFonts w:ascii="宋体" w:eastAsia="宋体" w:hAnsi="宋体" w:cs="宋体"/>
          <w:b/>
          <w:bCs/>
          <w:sz w:val="18"/>
          <w:szCs w:val="18"/>
        </w:rPr>
        <w:t>（2） 其他应收款</w:t>
      </w:r>
      <w:bookmarkEnd w:id="421"/>
    </w:p>
    <w:p w:rsidR="00BA0365" w:rsidRDefault="008D4B2E">
      <w:pPr>
        <w:keepNext/>
        <w:keepLines/>
        <w:spacing w:before="300" w:after="300" w:line="280" w:lineRule="exact"/>
        <w:outlineLvl w:val="4"/>
        <w:rPr>
          <w:rFonts w:ascii="宋体" w:eastAsia="宋体" w:hAnsi="宋体" w:cs="宋体"/>
          <w:b/>
          <w:bCs/>
          <w:sz w:val="18"/>
          <w:szCs w:val="18"/>
        </w:rPr>
      </w:pPr>
      <w:bookmarkStart w:id="422" w:name="_Toc989348"/>
      <w:r>
        <w:rPr>
          <w:rFonts w:ascii="宋体" w:eastAsia="宋体" w:hAnsi="宋体" w:cs="宋体"/>
          <w:b/>
          <w:bCs/>
          <w:sz w:val="18"/>
          <w:szCs w:val="18"/>
        </w:rPr>
        <w:t>1） 其他应收款按款项性质分类情况</w:t>
      </w:r>
      <w:bookmarkEnd w:id="422"/>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3213"/>
        <w:gridCol w:w="3213"/>
        <w:gridCol w:w="3213"/>
      </w:tblGrid>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款项性质</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期初账面余额</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395,141,504.10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541,330,986.39</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lastRenderedPageBreak/>
              <w:t>合计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395,141,504.10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541,330,986.39</w:t>
            </w:r>
          </w:p>
        </w:tc>
      </w:tr>
    </w:tbl>
    <w:p w:rsidR="00BA0365" w:rsidRDefault="008D4B2E">
      <w:pPr>
        <w:keepNext/>
        <w:keepLines/>
        <w:spacing w:before="300" w:after="300" w:line="280" w:lineRule="exact"/>
        <w:outlineLvl w:val="4"/>
        <w:rPr>
          <w:rFonts w:ascii="宋体" w:eastAsia="宋体" w:hAnsi="宋体" w:cs="宋体"/>
          <w:b/>
          <w:bCs/>
          <w:sz w:val="18"/>
          <w:szCs w:val="18"/>
        </w:rPr>
      </w:pPr>
      <w:bookmarkStart w:id="423" w:name="_Toc989349"/>
      <w:r>
        <w:rPr>
          <w:rFonts w:ascii="宋体" w:eastAsia="宋体" w:hAnsi="宋体" w:cs="宋体"/>
          <w:b/>
          <w:bCs/>
          <w:sz w:val="18"/>
          <w:szCs w:val="18"/>
        </w:rPr>
        <w:t xml:space="preserve">2） </w:t>
      </w:r>
      <w:proofErr w:type="gramStart"/>
      <w:r>
        <w:rPr>
          <w:rFonts w:ascii="宋体" w:eastAsia="宋体" w:hAnsi="宋体" w:cs="宋体"/>
          <w:b/>
          <w:bCs/>
          <w:sz w:val="18"/>
          <w:szCs w:val="18"/>
        </w:rPr>
        <w:t>按账龄</w:t>
      </w:r>
      <w:proofErr w:type="gramEnd"/>
      <w:r>
        <w:rPr>
          <w:rFonts w:ascii="宋体" w:eastAsia="宋体" w:hAnsi="宋体" w:cs="宋体"/>
          <w:b/>
          <w:bCs/>
          <w:sz w:val="18"/>
          <w:szCs w:val="18"/>
        </w:rPr>
        <w:t>披露</w:t>
      </w:r>
      <w:bookmarkEnd w:id="423"/>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3213"/>
        <w:gridCol w:w="3213"/>
        <w:gridCol w:w="3213"/>
      </w:tblGrid>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期初账面余额</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1年以内（含1年）</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283,794,744.55</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401,261,713.16</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1至2年</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30,383,062.90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65,319,038.82</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2至3年</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41,101,348.77</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63,103,382.71</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3年以上</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279,880,438.43</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252,563,357.37</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3至4年</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32,630,854.38</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4,705,028.42</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4至5年</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25,238.27</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14,244,802.58</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5年以上</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247,224,345.78</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233,613,526.37</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635,159,594.65</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782,247,492.06</w:t>
            </w:r>
          </w:p>
        </w:tc>
      </w:tr>
    </w:tbl>
    <w:p w:rsidR="00BA0365" w:rsidRDefault="008D4B2E">
      <w:pPr>
        <w:keepNext/>
        <w:keepLines/>
        <w:spacing w:before="300" w:after="300" w:line="280" w:lineRule="exact"/>
        <w:outlineLvl w:val="4"/>
        <w:rPr>
          <w:rFonts w:ascii="宋体" w:eastAsia="宋体" w:hAnsi="宋体" w:cs="宋体"/>
          <w:b/>
          <w:bCs/>
          <w:sz w:val="18"/>
          <w:szCs w:val="18"/>
        </w:rPr>
      </w:pPr>
      <w:bookmarkStart w:id="424" w:name="_Toc989350"/>
      <w:r>
        <w:rPr>
          <w:rFonts w:ascii="宋体" w:eastAsia="宋体" w:hAnsi="宋体" w:cs="宋体"/>
          <w:b/>
          <w:bCs/>
          <w:sz w:val="18"/>
          <w:szCs w:val="18"/>
        </w:rPr>
        <w:t>3） 本期计提、收回或转回的坏账准备情况</w:t>
      </w:r>
      <w:bookmarkEnd w:id="424"/>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本期计提坏账准备情况：</w:t>
      </w:r>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1101"/>
        <w:gridCol w:w="1653"/>
        <w:gridCol w:w="1377"/>
        <w:gridCol w:w="1377"/>
        <w:gridCol w:w="1377"/>
        <w:gridCol w:w="1161"/>
        <w:gridCol w:w="1593"/>
      </w:tblGrid>
      <w:tr w:rsidR="00157EA0" w:rsidTr="00C75946">
        <w:trPr>
          <w:trHeight w:val="240"/>
        </w:trPr>
        <w:tc>
          <w:tcPr>
            <w:tcW w:w="110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类别</w:t>
            </w:r>
          </w:p>
        </w:tc>
        <w:tc>
          <w:tcPr>
            <w:tcW w:w="165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c>
          <w:tcPr>
            <w:tcW w:w="5292"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本期变动金额</w:t>
            </w:r>
          </w:p>
        </w:tc>
        <w:tc>
          <w:tcPr>
            <w:tcW w:w="159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r>
      <w:tr w:rsidR="00157EA0" w:rsidTr="00C75946">
        <w:trPr>
          <w:trHeight w:val="240"/>
        </w:trPr>
        <w:tc>
          <w:tcPr>
            <w:tcW w:w="110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65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转销或核销</w:t>
            </w:r>
          </w:p>
        </w:tc>
        <w:tc>
          <w:tcPr>
            <w:tcW w:w="116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593"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r w:rsidR="00157EA0" w:rsidTr="00C75946">
        <w:trPr>
          <w:trHeight w:val="240"/>
        </w:trPr>
        <w:tc>
          <w:tcPr>
            <w:tcW w:w="11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坏账准备</w:t>
            </w:r>
          </w:p>
        </w:tc>
        <w:tc>
          <w:tcPr>
            <w:tcW w:w="165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240,916,505.67</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-898,415.12</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16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240,018,090.55</w:t>
            </w:r>
          </w:p>
        </w:tc>
      </w:tr>
      <w:tr w:rsidR="00157EA0" w:rsidTr="00C75946">
        <w:trPr>
          <w:trHeight w:val="240"/>
        </w:trPr>
        <w:tc>
          <w:tcPr>
            <w:tcW w:w="110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65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240,916,505.67</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-898,415.12</w:t>
            </w: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16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9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240,018,090.55</w:t>
            </w:r>
          </w:p>
        </w:tc>
      </w:tr>
    </w:tbl>
    <w:p w:rsidR="008D4B2E" w:rsidRDefault="008D4B2E">
      <w:pPr>
        <w:pStyle w:val="a3"/>
        <w:spacing w:before="0" w:beforeAutospacing="0" w:after="0" w:afterAutospacing="0" w:line="400" w:lineRule="atLeast"/>
        <w:ind w:right="342" w:firstLine="400"/>
        <w:jc w:val="both"/>
        <w:divId w:val="1856572591"/>
        <w:rPr>
          <w:rFonts w:ascii="Arial" w:hAnsi="Arial" w:cs="Arial"/>
          <w:sz w:val="18"/>
          <w:szCs w:val="18"/>
        </w:rPr>
      </w:pPr>
      <w:r>
        <w:rPr>
          <w:rFonts w:cs="Arial" w:hint="eastAsia"/>
          <w:sz w:val="18"/>
          <w:szCs w:val="18"/>
        </w:rPr>
        <w:t>坏账准备计提情况</w:t>
      </w:r>
    </w:p>
    <w:tbl>
      <w:tblPr>
        <w:tblW w:w="9606" w:type="dxa"/>
        <w:tblCellMar>
          <w:top w:w="15" w:type="dxa"/>
          <w:left w:w="15" w:type="dxa"/>
          <w:bottom w:w="15" w:type="dxa"/>
          <w:right w:w="15" w:type="dxa"/>
        </w:tblCellMar>
        <w:tblLook w:val="04A0" w:firstRow="1" w:lastRow="0" w:firstColumn="1" w:lastColumn="0" w:noHBand="0" w:noVBand="1"/>
      </w:tblPr>
      <w:tblGrid>
        <w:gridCol w:w="2410"/>
        <w:gridCol w:w="1557"/>
        <w:gridCol w:w="1648"/>
        <w:gridCol w:w="1817"/>
        <w:gridCol w:w="2174"/>
      </w:tblGrid>
      <w:tr w:rsidR="008D4B2E" w:rsidTr="00C75946">
        <w:trPr>
          <w:divId w:val="1856572591"/>
        </w:trPr>
        <w:tc>
          <w:tcPr>
            <w:tcW w:w="2410" w:type="dxa"/>
            <w:vMerge w:val="restart"/>
            <w:tcBorders>
              <w:top w:val="single" w:sz="8" w:space="0" w:color="auto"/>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8D4B2E" w:rsidRPr="00D94CE8" w:rsidRDefault="008D4B2E" w:rsidP="00D94CE8">
            <w:pPr>
              <w:spacing w:line="240" w:lineRule="exact"/>
              <w:rPr>
                <w:rFonts w:ascii="宋体" w:eastAsia="宋体" w:hAnsi="宋体" w:cs="宋体"/>
                <w:sz w:val="18"/>
                <w:szCs w:val="18"/>
              </w:rPr>
            </w:pPr>
            <w:r w:rsidRPr="00D94CE8">
              <w:rPr>
                <w:rFonts w:ascii="宋体" w:eastAsia="宋体" w:hAnsi="宋体" w:cs="宋体" w:hint="eastAsia"/>
                <w:sz w:val="18"/>
                <w:szCs w:val="18"/>
              </w:rPr>
              <w:t>坏账准备</w:t>
            </w:r>
          </w:p>
        </w:tc>
        <w:tc>
          <w:tcPr>
            <w:tcW w:w="1557" w:type="dxa"/>
            <w:tcBorders>
              <w:top w:val="single" w:sz="8" w:space="0" w:color="auto"/>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rsidR="008D4B2E" w:rsidRPr="00D94CE8" w:rsidRDefault="008D4B2E" w:rsidP="00D94CE8">
            <w:pPr>
              <w:spacing w:line="240" w:lineRule="exact"/>
              <w:rPr>
                <w:rFonts w:ascii="宋体" w:eastAsia="宋体" w:hAnsi="宋体" w:cs="宋体"/>
                <w:sz w:val="18"/>
                <w:szCs w:val="18"/>
              </w:rPr>
            </w:pPr>
            <w:r w:rsidRPr="00D94CE8">
              <w:rPr>
                <w:rFonts w:ascii="宋体" w:eastAsia="宋体" w:hAnsi="宋体" w:cs="宋体" w:hint="eastAsia"/>
                <w:sz w:val="18"/>
                <w:szCs w:val="18"/>
              </w:rPr>
              <w:t>第一阶段</w:t>
            </w:r>
          </w:p>
        </w:tc>
        <w:tc>
          <w:tcPr>
            <w:tcW w:w="1648" w:type="dxa"/>
            <w:tcBorders>
              <w:top w:val="single" w:sz="8" w:space="0" w:color="auto"/>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rsidR="008D4B2E" w:rsidRPr="00D94CE8" w:rsidRDefault="008D4B2E" w:rsidP="00D94CE8">
            <w:pPr>
              <w:spacing w:line="240" w:lineRule="exact"/>
              <w:rPr>
                <w:rFonts w:ascii="宋体" w:eastAsia="宋体" w:hAnsi="宋体" w:cs="宋体"/>
                <w:sz w:val="18"/>
                <w:szCs w:val="18"/>
              </w:rPr>
            </w:pPr>
            <w:r w:rsidRPr="00D94CE8">
              <w:rPr>
                <w:rFonts w:ascii="宋体" w:eastAsia="宋体" w:hAnsi="宋体" w:cs="宋体" w:hint="eastAsia"/>
                <w:sz w:val="18"/>
                <w:szCs w:val="18"/>
              </w:rPr>
              <w:t>第二阶段</w:t>
            </w:r>
          </w:p>
        </w:tc>
        <w:tc>
          <w:tcPr>
            <w:tcW w:w="1817" w:type="dxa"/>
            <w:tcBorders>
              <w:top w:val="single" w:sz="8" w:space="0" w:color="auto"/>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rsidR="008D4B2E" w:rsidRPr="00D94CE8" w:rsidRDefault="008D4B2E" w:rsidP="00D94CE8">
            <w:pPr>
              <w:spacing w:line="240" w:lineRule="exact"/>
              <w:rPr>
                <w:rFonts w:ascii="宋体" w:eastAsia="宋体" w:hAnsi="宋体" w:cs="宋体"/>
                <w:sz w:val="18"/>
                <w:szCs w:val="18"/>
              </w:rPr>
            </w:pPr>
            <w:r w:rsidRPr="00D94CE8">
              <w:rPr>
                <w:rFonts w:ascii="宋体" w:eastAsia="宋体" w:hAnsi="宋体" w:cs="宋体" w:hint="eastAsia"/>
                <w:sz w:val="18"/>
                <w:szCs w:val="18"/>
              </w:rPr>
              <w:t>第三阶段</w:t>
            </w:r>
          </w:p>
        </w:tc>
        <w:tc>
          <w:tcPr>
            <w:tcW w:w="2174" w:type="dxa"/>
            <w:vMerge w:val="restart"/>
            <w:tcBorders>
              <w:top w:val="single" w:sz="8" w:space="0" w:color="auto"/>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rsidR="008D4B2E" w:rsidRPr="00D94CE8" w:rsidRDefault="008D4B2E" w:rsidP="00D94CE8">
            <w:pPr>
              <w:spacing w:line="240" w:lineRule="exact"/>
              <w:rPr>
                <w:rFonts w:ascii="宋体" w:eastAsia="宋体" w:hAnsi="宋体" w:cs="宋体"/>
                <w:sz w:val="18"/>
                <w:szCs w:val="18"/>
              </w:rPr>
            </w:pPr>
            <w:r w:rsidRPr="00D94CE8">
              <w:rPr>
                <w:rFonts w:ascii="宋体" w:eastAsia="宋体" w:hAnsi="宋体" w:cs="宋体" w:hint="eastAsia"/>
                <w:sz w:val="18"/>
                <w:szCs w:val="18"/>
              </w:rPr>
              <w:t>合计</w:t>
            </w:r>
          </w:p>
        </w:tc>
      </w:tr>
      <w:tr w:rsidR="008D4B2E" w:rsidTr="00C75946">
        <w:trPr>
          <w:divId w:val="1856572591"/>
        </w:trPr>
        <w:tc>
          <w:tcPr>
            <w:tcW w:w="0" w:type="auto"/>
            <w:vMerge/>
            <w:tcBorders>
              <w:top w:val="single" w:sz="8" w:space="0" w:color="auto"/>
              <w:left w:val="single" w:sz="8" w:space="0" w:color="auto"/>
              <w:bottom w:val="single" w:sz="8" w:space="0" w:color="auto"/>
              <w:right w:val="single" w:sz="8" w:space="0" w:color="auto"/>
            </w:tcBorders>
            <w:vAlign w:val="center"/>
            <w:hideMark/>
          </w:tcPr>
          <w:p w:rsidR="008D4B2E" w:rsidRPr="00D94CE8" w:rsidRDefault="008D4B2E" w:rsidP="00D94CE8">
            <w:pPr>
              <w:spacing w:line="240" w:lineRule="exact"/>
              <w:rPr>
                <w:rFonts w:ascii="宋体" w:eastAsia="宋体" w:hAnsi="宋体" w:cs="宋体"/>
                <w:sz w:val="18"/>
                <w:szCs w:val="18"/>
              </w:rPr>
            </w:pPr>
          </w:p>
        </w:tc>
        <w:tc>
          <w:tcPr>
            <w:tcW w:w="1557" w:type="dxa"/>
            <w:tcBorders>
              <w:top w:val="nil"/>
              <w:left w:val="single" w:sz="8" w:space="0" w:color="auto"/>
              <w:bottom w:val="single" w:sz="8" w:space="0" w:color="auto"/>
              <w:right w:val="single" w:sz="8" w:space="0" w:color="auto"/>
            </w:tcBorders>
            <w:shd w:val="clear" w:color="auto" w:fill="D3D3D3"/>
            <w:tcMar>
              <w:top w:w="0" w:type="dxa"/>
              <w:left w:w="108" w:type="dxa"/>
              <w:bottom w:w="0" w:type="dxa"/>
              <w:right w:w="108" w:type="dxa"/>
            </w:tcMar>
            <w:vAlign w:val="center"/>
            <w:hideMark/>
          </w:tcPr>
          <w:p w:rsidR="008D4B2E" w:rsidRPr="00D94CE8" w:rsidRDefault="008D4B2E" w:rsidP="00D94CE8">
            <w:pPr>
              <w:pStyle w:val="a3"/>
              <w:spacing w:before="0" w:beforeAutospacing="0" w:after="0" w:afterAutospacing="0" w:line="240" w:lineRule="exact"/>
              <w:jc w:val="center"/>
              <w:rPr>
                <w:kern w:val="2"/>
                <w:sz w:val="18"/>
                <w:szCs w:val="18"/>
              </w:rPr>
            </w:pPr>
            <w:r w:rsidRPr="00D94CE8">
              <w:rPr>
                <w:rFonts w:hint="eastAsia"/>
                <w:kern w:val="2"/>
                <w:sz w:val="18"/>
                <w:szCs w:val="18"/>
              </w:rPr>
              <w:t>未来</w:t>
            </w:r>
            <w:r w:rsidRPr="00D94CE8">
              <w:rPr>
                <w:kern w:val="2"/>
                <w:sz w:val="18"/>
                <w:szCs w:val="18"/>
              </w:rPr>
              <w:t>12</w:t>
            </w:r>
            <w:r w:rsidRPr="00D94CE8">
              <w:rPr>
                <w:rFonts w:hint="eastAsia"/>
                <w:kern w:val="2"/>
                <w:sz w:val="18"/>
                <w:szCs w:val="18"/>
              </w:rPr>
              <w:t>个月预期信用损失</w:t>
            </w:r>
          </w:p>
        </w:tc>
        <w:tc>
          <w:tcPr>
            <w:tcW w:w="1648" w:type="dxa"/>
            <w:tcBorders>
              <w:top w:val="nil"/>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rsidR="008D4B2E" w:rsidRPr="00D94CE8" w:rsidRDefault="008D4B2E" w:rsidP="00D94CE8">
            <w:pPr>
              <w:pStyle w:val="a3"/>
              <w:spacing w:before="0" w:beforeAutospacing="0" w:after="0" w:afterAutospacing="0" w:line="240" w:lineRule="exact"/>
              <w:jc w:val="center"/>
              <w:rPr>
                <w:kern w:val="2"/>
                <w:sz w:val="18"/>
                <w:szCs w:val="18"/>
              </w:rPr>
            </w:pPr>
            <w:r w:rsidRPr="00D94CE8">
              <w:rPr>
                <w:rFonts w:hint="eastAsia"/>
                <w:kern w:val="2"/>
                <w:sz w:val="18"/>
                <w:szCs w:val="18"/>
              </w:rPr>
              <w:t>整个存续期预期信用损失（未发生信用减值）</w:t>
            </w:r>
          </w:p>
        </w:tc>
        <w:tc>
          <w:tcPr>
            <w:tcW w:w="1817" w:type="dxa"/>
            <w:tcBorders>
              <w:top w:val="nil"/>
              <w:left w:val="nil"/>
              <w:bottom w:val="single" w:sz="8" w:space="0" w:color="auto"/>
              <w:right w:val="single" w:sz="8" w:space="0" w:color="auto"/>
            </w:tcBorders>
            <w:shd w:val="clear" w:color="auto" w:fill="D3D3D3"/>
            <w:tcMar>
              <w:top w:w="0" w:type="dxa"/>
              <w:left w:w="108" w:type="dxa"/>
              <w:bottom w:w="0" w:type="dxa"/>
              <w:right w:w="108" w:type="dxa"/>
            </w:tcMar>
            <w:vAlign w:val="center"/>
            <w:hideMark/>
          </w:tcPr>
          <w:p w:rsidR="008D4B2E" w:rsidRPr="00D94CE8" w:rsidRDefault="008D4B2E" w:rsidP="00D94CE8">
            <w:pPr>
              <w:pStyle w:val="a3"/>
              <w:spacing w:before="0" w:beforeAutospacing="0" w:after="0" w:afterAutospacing="0" w:line="240" w:lineRule="exact"/>
              <w:jc w:val="center"/>
              <w:rPr>
                <w:kern w:val="2"/>
                <w:sz w:val="18"/>
                <w:szCs w:val="18"/>
              </w:rPr>
            </w:pPr>
            <w:r w:rsidRPr="00D94CE8">
              <w:rPr>
                <w:rFonts w:hint="eastAsia"/>
                <w:kern w:val="2"/>
                <w:sz w:val="18"/>
                <w:szCs w:val="18"/>
              </w:rPr>
              <w:t>整个存续期预期信用损失（已发生信用减值）</w:t>
            </w:r>
          </w:p>
        </w:tc>
        <w:tc>
          <w:tcPr>
            <w:tcW w:w="2174" w:type="dxa"/>
            <w:vMerge/>
            <w:tcBorders>
              <w:top w:val="single" w:sz="8" w:space="0" w:color="auto"/>
              <w:left w:val="nil"/>
              <w:bottom w:val="single" w:sz="8" w:space="0" w:color="auto"/>
              <w:right w:val="single" w:sz="8" w:space="0" w:color="auto"/>
            </w:tcBorders>
            <w:vAlign w:val="center"/>
            <w:hideMark/>
          </w:tcPr>
          <w:p w:rsidR="008D4B2E" w:rsidRPr="00D94CE8" w:rsidRDefault="008D4B2E" w:rsidP="00D94CE8">
            <w:pPr>
              <w:spacing w:line="240" w:lineRule="exact"/>
              <w:rPr>
                <w:rFonts w:ascii="宋体" w:eastAsia="宋体" w:hAnsi="宋体" w:cs="宋体"/>
                <w:sz w:val="18"/>
                <w:szCs w:val="18"/>
              </w:rPr>
            </w:pPr>
          </w:p>
        </w:tc>
      </w:tr>
      <w:tr w:rsidR="008D4B2E" w:rsidTr="00D94CE8">
        <w:trPr>
          <w:divId w:val="1856572591"/>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4B2E" w:rsidRPr="00D94CE8" w:rsidRDefault="008D4B2E" w:rsidP="00D94CE8">
            <w:pPr>
              <w:spacing w:line="240" w:lineRule="exact"/>
              <w:rPr>
                <w:rFonts w:ascii="宋体" w:eastAsia="宋体" w:hAnsi="宋体" w:cs="宋体"/>
                <w:sz w:val="18"/>
                <w:szCs w:val="18"/>
              </w:rPr>
            </w:pPr>
            <w:r w:rsidRPr="00D94CE8">
              <w:rPr>
                <w:rFonts w:ascii="宋体" w:eastAsia="宋体" w:hAnsi="宋体" w:cs="宋体" w:hint="eastAsia"/>
                <w:sz w:val="18"/>
                <w:szCs w:val="18"/>
              </w:rPr>
              <w:t>年初余额</w:t>
            </w:r>
          </w:p>
        </w:tc>
        <w:tc>
          <w:tcPr>
            <w:tcW w:w="15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D94CE8" w:rsidRDefault="008D4B2E" w:rsidP="00D94CE8">
            <w:pPr>
              <w:spacing w:line="240" w:lineRule="exact"/>
              <w:jc w:val="right"/>
              <w:rPr>
                <w:rFonts w:ascii="宋体" w:eastAsia="宋体" w:hAnsi="宋体" w:cs="宋体"/>
                <w:sz w:val="18"/>
                <w:szCs w:val="18"/>
              </w:rPr>
            </w:pPr>
            <w:r w:rsidRPr="00D94CE8">
              <w:rPr>
                <w:rFonts w:ascii="宋体" w:eastAsia="宋体" w:hAnsi="宋体" w:cs="宋体"/>
                <w:sz w:val="18"/>
                <w:szCs w:val="18"/>
              </w:rPr>
              <w:t>5,102,637.18</w:t>
            </w:r>
          </w:p>
        </w:tc>
        <w:tc>
          <w:tcPr>
            <w:tcW w:w="16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D94CE8" w:rsidRDefault="008D4B2E" w:rsidP="00D94CE8">
            <w:pPr>
              <w:spacing w:line="240" w:lineRule="exact"/>
              <w:jc w:val="right"/>
              <w:rPr>
                <w:rFonts w:ascii="宋体" w:eastAsia="宋体" w:hAnsi="宋体" w:cs="宋体"/>
                <w:sz w:val="18"/>
                <w:szCs w:val="18"/>
              </w:rPr>
            </w:pPr>
            <w:r w:rsidRPr="00D94CE8">
              <w:rPr>
                <w:rFonts w:ascii="宋体" w:eastAsia="宋体" w:hAnsi="宋体" w:cs="宋体"/>
                <w:sz w:val="18"/>
                <w:szCs w:val="18"/>
              </w:rPr>
              <w:t> </w:t>
            </w:r>
          </w:p>
        </w:tc>
        <w:tc>
          <w:tcPr>
            <w:tcW w:w="18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D94CE8" w:rsidRDefault="008D4B2E" w:rsidP="00D94CE8">
            <w:pPr>
              <w:spacing w:line="240" w:lineRule="exact"/>
              <w:jc w:val="right"/>
              <w:rPr>
                <w:rFonts w:ascii="宋体" w:eastAsia="宋体" w:hAnsi="宋体" w:cs="宋体"/>
                <w:sz w:val="18"/>
                <w:szCs w:val="18"/>
              </w:rPr>
            </w:pPr>
            <w:r w:rsidRPr="00D94CE8">
              <w:rPr>
                <w:rFonts w:ascii="宋体" w:eastAsia="宋体" w:hAnsi="宋体" w:cs="宋体"/>
                <w:sz w:val="18"/>
                <w:szCs w:val="18"/>
              </w:rPr>
              <w:t>235,813,868.49</w:t>
            </w:r>
          </w:p>
        </w:tc>
        <w:tc>
          <w:tcPr>
            <w:tcW w:w="21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D94CE8" w:rsidRDefault="008D4B2E" w:rsidP="00D94CE8">
            <w:pPr>
              <w:spacing w:line="240" w:lineRule="exact"/>
              <w:jc w:val="right"/>
              <w:rPr>
                <w:rFonts w:ascii="宋体" w:eastAsia="宋体" w:hAnsi="宋体" w:cs="宋体"/>
                <w:sz w:val="18"/>
                <w:szCs w:val="18"/>
              </w:rPr>
            </w:pPr>
            <w:r w:rsidRPr="00D94CE8">
              <w:rPr>
                <w:rFonts w:ascii="宋体" w:eastAsia="宋体" w:hAnsi="宋体" w:cs="宋体"/>
                <w:sz w:val="18"/>
                <w:szCs w:val="18"/>
              </w:rPr>
              <w:t>240,916,505.67</w:t>
            </w:r>
          </w:p>
        </w:tc>
      </w:tr>
      <w:tr w:rsidR="008D4B2E" w:rsidTr="00D94CE8">
        <w:trPr>
          <w:divId w:val="1856572591"/>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4B2E" w:rsidRPr="00D94CE8" w:rsidRDefault="008D4B2E" w:rsidP="00D94CE8">
            <w:pPr>
              <w:spacing w:line="240" w:lineRule="exact"/>
              <w:rPr>
                <w:rFonts w:ascii="宋体" w:eastAsia="宋体" w:hAnsi="宋体" w:cs="宋体"/>
                <w:sz w:val="18"/>
                <w:szCs w:val="18"/>
              </w:rPr>
            </w:pPr>
            <w:r w:rsidRPr="00D94CE8">
              <w:rPr>
                <w:rFonts w:ascii="宋体" w:eastAsia="宋体" w:hAnsi="宋体" w:cs="宋体" w:hint="eastAsia"/>
                <w:sz w:val="18"/>
                <w:szCs w:val="18"/>
              </w:rPr>
              <w:t>年初其他应收款账面余额在本期：</w:t>
            </w:r>
          </w:p>
        </w:tc>
        <w:tc>
          <w:tcPr>
            <w:tcW w:w="155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4B2E" w:rsidRPr="00D94CE8" w:rsidRDefault="008D4B2E" w:rsidP="00D94CE8">
            <w:pPr>
              <w:spacing w:line="240" w:lineRule="exact"/>
              <w:jc w:val="right"/>
              <w:rPr>
                <w:rFonts w:ascii="宋体" w:eastAsia="宋体" w:hAnsi="宋体" w:cs="宋体"/>
                <w:sz w:val="18"/>
                <w:szCs w:val="18"/>
              </w:rPr>
            </w:pPr>
            <w:r w:rsidRPr="00D94CE8">
              <w:rPr>
                <w:rFonts w:ascii="宋体" w:eastAsia="宋体" w:hAnsi="宋体" w:cs="宋体"/>
                <w:sz w:val="18"/>
                <w:szCs w:val="18"/>
              </w:rPr>
              <w:t> </w:t>
            </w:r>
          </w:p>
        </w:tc>
        <w:tc>
          <w:tcPr>
            <w:tcW w:w="164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4B2E" w:rsidRPr="00D94CE8" w:rsidRDefault="008D4B2E" w:rsidP="00D94CE8">
            <w:pPr>
              <w:spacing w:line="240" w:lineRule="exact"/>
              <w:jc w:val="right"/>
              <w:rPr>
                <w:rFonts w:ascii="宋体" w:eastAsia="宋体" w:hAnsi="宋体" w:cs="宋体"/>
                <w:sz w:val="18"/>
                <w:szCs w:val="18"/>
              </w:rPr>
            </w:pPr>
            <w:r w:rsidRPr="00D94CE8">
              <w:rPr>
                <w:rFonts w:ascii="宋体" w:eastAsia="宋体" w:hAnsi="宋体" w:cs="宋体"/>
                <w:sz w:val="18"/>
                <w:szCs w:val="18"/>
              </w:rPr>
              <w:t> </w:t>
            </w:r>
          </w:p>
        </w:tc>
        <w:tc>
          <w:tcPr>
            <w:tcW w:w="18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4B2E" w:rsidRPr="00D94CE8" w:rsidRDefault="008D4B2E" w:rsidP="00D94CE8">
            <w:pPr>
              <w:spacing w:line="240" w:lineRule="exact"/>
              <w:jc w:val="right"/>
              <w:rPr>
                <w:rFonts w:ascii="宋体" w:eastAsia="宋体" w:hAnsi="宋体" w:cs="宋体"/>
                <w:sz w:val="18"/>
                <w:szCs w:val="18"/>
              </w:rPr>
            </w:pPr>
            <w:r w:rsidRPr="00D94CE8">
              <w:rPr>
                <w:rFonts w:ascii="宋体" w:eastAsia="宋体" w:hAnsi="宋体" w:cs="宋体"/>
                <w:sz w:val="18"/>
                <w:szCs w:val="18"/>
              </w:rPr>
              <w:t> </w:t>
            </w:r>
          </w:p>
        </w:tc>
        <w:tc>
          <w:tcPr>
            <w:tcW w:w="217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4B2E" w:rsidRPr="00D94CE8" w:rsidRDefault="008D4B2E" w:rsidP="00D94CE8">
            <w:pPr>
              <w:spacing w:line="240" w:lineRule="exact"/>
              <w:jc w:val="right"/>
              <w:rPr>
                <w:rFonts w:ascii="宋体" w:eastAsia="宋体" w:hAnsi="宋体" w:cs="宋体"/>
                <w:sz w:val="18"/>
                <w:szCs w:val="18"/>
              </w:rPr>
            </w:pPr>
            <w:r w:rsidRPr="00D94CE8">
              <w:rPr>
                <w:rFonts w:ascii="宋体" w:eastAsia="宋体" w:hAnsi="宋体" w:cs="宋体"/>
                <w:sz w:val="18"/>
                <w:szCs w:val="18"/>
              </w:rPr>
              <w:t> </w:t>
            </w:r>
          </w:p>
        </w:tc>
      </w:tr>
      <w:tr w:rsidR="008D4B2E" w:rsidTr="00D94CE8">
        <w:trPr>
          <w:divId w:val="1856572591"/>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4B2E" w:rsidRPr="00D94CE8" w:rsidRDefault="008D4B2E" w:rsidP="00D94CE8">
            <w:pPr>
              <w:spacing w:line="240" w:lineRule="exact"/>
              <w:rPr>
                <w:rFonts w:ascii="宋体" w:eastAsia="宋体" w:hAnsi="宋体" w:cs="宋体"/>
                <w:sz w:val="18"/>
                <w:szCs w:val="18"/>
              </w:rPr>
            </w:pPr>
            <w:r w:rsidRPr="00D94CE8">
              <w:rPr>
                <w:rFonts w:ascii="宋体" w:eastAsia="宋体" w:hAnsi="宋体" w:cs="宋体"/>
                <w:sz w:val="18"/>
                <w:szCs w:val="18"/>
              </w:rPr>
              <w:t>——</w:t>
            </w:r>
            <w:r w:rsidRPr="00D94CE8">
              <w:rPr>
                <w:rFonts w:ascii="宋体" w:eastAsia="宋体" w:hAnsi="宋体" w:cs="宋体" w:hint="eastAsia"/>
                <w:sz w:val="18"/>
                <w:szCs w:val="18"/>
              </w:rPr>
              <w:t>转入第二阶段</w:t>
            </w:r>
          </w:p>
        </w:tc>
        <w:tc>
          <w:tcPr>
            <w:tcW w:w="155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4B2E" w:rsidRPr="00D94CE8" w:rsidRDefault="008D4B2E" w:rsidP="00D94CE8">
            <w:pPr>
              <w:spacing w:line="240" w:lineRule="exact"/>
              <w:jc w:val="right"/>
              <w:rPr>
                <w:rFonts w:ascii="宋体" w:eastAsia="宋体" w:hAnsi="宋体" w:cs="宋体"/>
                <w:sz w:val="18"/>
                <w:szCs w:val="18"/>
              </w:rPr>
            </w:pPr>
            <w:r w:rsidRPr="00D94CE8">
              <w:rPr>
                <w:rFonts w:ascii="宋体" w:eastAsia="宋体" w:hAnsi="宋体" w:cs="宋体"/>
                <w:sz w:val="18"/>
                <w:szCs w:val="18"/>
              </w:rPr>
              <w:t> </w:t>
            </w:r>
          </w:p>
        </w:tc>
        <w:tc>
          <w:tcPr>
            <w:tcW w:w="164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4B2E" w:rsidRPr="00D94CE8" w:rsidRDefault="008D4B2E" w:rsidP="00D94CE8">
            <w:pPr>
              <w:spacing w:line="240" w:lineRule="exact"/>
              <w:jc w:val="right"/>
              <w:rPr>
                <w:rFonts w:ascii="宋体" w:eastAsia="宋体" w:hAnsi="宋体" w:cs="宋体"/>
                <w:sz w:val="18"/>
                <w:szCs w:val="18"/>
              </w:rPr>
            </w:pPr>
            <w:r w:rsidRPr="00D94CE8">
              <w:rPr>
                <w:rFonts w:ascii="宋体" w:eastAsia="宋体" w:hAnsi="宋体" w:cs="宋体"/>
                <w:sz w:val="18"/>
                <w:szCs w:val="18"/>
              </w:rPr>
              <w:t> </w:t>
            </w:r>
          </w:p>
        </w:tc>
        <w:tc>
          <w:tcPr>
            <w:tcW w:w="18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4B2E" w:rsidRPr="00D94CE8" w:rsidRDefault="008D4B2E" w:rsidP="00D94CE8">
            <w:pPr>
              <w:spacing w:line="240" w:lineRule="exact"/>
              <w:jc w:val="right"/>
              <w:rPr>
                <w:rFonts w:ascii="宋体" w:eastAsia="宋体" w:hAnsi="宋体" w:cs="宋体"/>
                <w:sz w:val="18"/>
                <w:szCs w:val="18"/>
              </w:rPr>
            </w:pPr>
            <w:r w:rsidRPr="00D94CE8">
              <w:rPr>
                <w:rFonts w:ascii="宋体" w:eastAsia="宋体" w:hAnsi="宋体" w:cs="宋体"/>
                <w:sz w:val="18"/>
                <w:szCs w:val="18"/>
              </w:rPr>
              <w:t> </w:t>
            </w:r>
          </w:p>
        </w:tc>
        <w:tc>
          <w:tcPr>
            <w:tcW w:w="217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4B2E" w:rsidRPr="00D94CE8" w:rsidRDefault="008D4B2E" w:rsidP="00D94CE8">
            <w:pPr>
              <w:spacing w:line="240" w:lineRule="exact"/>
              <w:jc w:val="right"/>
              <w:rPr>
                <w:rFonts w:ascii="宋体" w:eastAsia="宋体" w:hAnsi="宋体" w:cs="宋体"/>
                <w:sz w:val="18"/>
                <w:szCs w:val="18"/>
              </w:rPr>
            </w:pPr>
            <w:r w:rsidRPr="00D94CE8">
              <w:rPr>
                <w:rFonts w:ascii="宋体" w:eastAsia="宋体" w:hAnsi="宋体" w:cs="宋体"/>
                <w:sz w:val="18"/>
                <w:szCs w:val="18"/>
              </w:rPr>
              <w:t> </w:t>
            </w:r>
          </w:p>
        </w:tc>
      </w:tr>
      <w:tr w:rsidR="008D4B2E" w:rsidTr="00D94CE8">
        <w:trPr>
          <w:divId w:val="1856572591"/>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4B2E" w:rsidRPr="00D94CE8" w:rsidRDefault="008D4B2E" w:rsidP="00D94CE8">
            <w:pPr>
              <w:spacing w:line="240" w:lineRule="exact"/>
              <w:rPr>
                <w:rFonts w:ascii="宋体" w:eastAsia="宋体" w:hAnsi="宋体" w:cs="宋体"/>
                <w:sz w:val="18"/>
                <w:szCs w:val="18"/>
              </w:rPr>
            </w:pPr>
            <w:r w:rsidRPr="00D94CE8">
              <w:rPr>
                <w:rFonts w:ascii="宋体" w:eastAsia="宋体" w:hAnsi="宋体" w:cs="宋体"/>
                <w:sz w:val="18"/>
                <w:szCs w:val="18"/>
              </w:rPr>
              <w:t>——</w:t>
            </w:r>
            <w:r w:rsidRPr="00D94CE8">
              <w:rPr>
                <w:rFonts w:ascii="宋体" w:eastAsia="宋体" w:hAnsi="宋体" w:cs="宋体" w:hint="eastAsia"/>
                <w:sz w:val="18"/>
                <w:szCs w:val="18"/>
              </w:rPr>
              <w:t>转入第三阶段</w:t>
            </w:r>
          </w:p>
        </w:tc>
        <w:tc>
          <w:tcPr>
            <w:tcW w:w="155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4B2E" w:rsidRPr="00D94CE8" w:rsidRDefault="008D4B2E" w:rsidP="00D94CE8">
            <w:pPr>
              <w:spacing w:line="240" w:lineRule="exact"/>
              <w:jc w:val="right"/>
              <w:rPr>
                <w:rFonts w:ascii="宋体" w:eastAsia="宋体" w:hAnsi="宋体" w:cs="宋体"/>
                <w:sz w:val="18"/>
                <w:szCs w:val="18"/>
              </w:rPr>
            </w:pPr>
            <w:r w:rsidRPr="00D94CE8">
              <w:rPr>
                <w:rFonts w:ascii="宋体" w:eastAsia="宋体" w:hAnsi="宋体" w:cs="宋体"/>
                <w:sz w:val="18"/>
                <w:szCs w:val="18"/>
              </w:rPr>
              <w:t> </w:t>
            </w:r>
          </w:p>
        </w:tc>
        <w:tc>
          <w:tcPr>
            <w:tcW w:w="164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4B2E" w:rsidRPr="00D94CE8" w:rsidRDefault="008D4B2E" w:rsidP="00D94CE8">
            <w:pPr>
              <w:spacing w:line="240" w:lineRule="exact"/>
              <w:jc w:val="right"/>
              <w:rPr>
                <w:rFonts w:ascii="宋体" w:eastAsia="宋体" w:hAnsi="宋体" w:cs="宋体"/>
                <w:sz w:val="18"/>
                <w:szCs w:val="18"/>
              </w:rPr>
            </w:pPr>
            <w:r w:rsidRPr="00D94CE8">
              <w:rPr>
                <w:rFonts w:ascii="宋体" w:eastAsia="宋体" w:hAnsi="宋体" w:cs="宋体"/>
                <w:sz w:val="18"/>
                <w:szCs w:val="18"/>
              </w:rPr>
              <w:t> </w:t>
            </w:r>
          </w:p>
        </w:tc>
        <w:tc>
          <w:tcPr>
            <w:tcW w:w="18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4B2E" w:rsidRPr="00D94CE8" w:rsidRDefault="008D4B2E" w:rsidP="00D94CE8">
            <w:pPr>
              <w:spacing w:line="240" w:lineRule="exact"/>
              <w:jc w:val="right"/>
              <w:rPr>
                <w:rFonts w:ascii="宋体" w:eastAsia="宋体" w:hAnsi="宋体" w:cs="宋体"/>
                <w:sz w:val="18"/>
                <w:szCs w:val="18"/>
              </w:rPr>
            </w:pPr>
            <w:r w:rsidRPr="00D94CE8">
              <w:rPr>
                <w:rFonts w:ascii="宋体" w:eastAsia="宋体" w:hAnsi="宋体" w:cs="宋体"/>
                <w:sz w:val="18"/>
                <w:szCs w:val="18"/>
              </w:rPr>
              <w:t> </w:t>
            </w:r>
          </w:p>
        </w:tc>
        <w:tc>
          <w:tcPr>
            <w:tcW w:w="217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4B2E" w:rsidRPr="00D94CE8" w:rsidRDefault="008D4B2E" w:rsidP="00D94CE8">
            <w:pPr>
              <w:spacing w:line="240" w:lineRule="exact"/>
              <w:jc w:val="right"/>
              <w:rPr>
                <w:rFonts w:ascii="宋体" w:eastAsia="宋体" w:hAnsi="宋体" w:cs="宋体"/>
                <w:sz w:val="18"/>
                <w:szCs w:val="18"/>
              </w:rPr>
            </w:pPr>
            <w:r w:rsidRPr="00D94CE8">
              <w:rPr>
                <w:rFonts w:ascii="宋体" w:eastAsia="宋体" w:hAnsi="宋体" w:cs="宋体"/>
                <w:sz w:val="18"/>
                <w:szCs w:val="18"/>
              </w:rPr>
              <w:t> </w:t>
            </w:r>
          </w:p>
        </w:tc>
      </w:tr>
      <w:tr w:rsidR="008D4B2E" w:rsidTr="00D94CE8">
        <w:trPr>
          <w:divId w:val="1856572591"/>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4B2E" w:rsidRPr="00D94CE8" w:rsidRDefault="008D4B2E" w:rsidP="00D94CE8">
            <w:pPr>
              <w:spacing w:line="240" w:lineRule="exact"/>
              <w:rPr>
                <w:rFonts w:ascii="宋体" w:eastAsia="宋体" w:hAnsi="宋体" w:cs="宋体"/>
                <w:sz w:val="18"/>
                <w:szCs w:val="18"/>
              </w:rPr>
            </w:pPr>
            <w:r w:rsidRPr="00D94CE8">
              <w:rPr>
                <w:rFonts w:ascii="宋体" w:eastAsia="宋体" w:hAnsi="宋体" w:cs="宋体"/>
                <w:sz w:val="18"/>
                <w:szCs w:val="18"/>
              </w:rPr>
              <w:t>——</w:t>
            </w:r>
            <w:r w:rsidRPr="00D94CE8">
              <w:rPr>
                <w:rFonts w:ascii="宋体" w:eastAsia="宋体" w:hAnsi="宋体" w:cs="宋体" w:hint="eastAsia"/>
                <w:sz w:val="18"/>
                <w:szCs w:val="18"/>
              </w:rPr>
              <w:t>转回第二阶段</w:t>
            </w:r>
          </w:p>
        </w:tc>
        <w:tc>
          <w:tcPr>
            <w:tcW w:w="155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4B2E" w:rsidRPr="00D94CE8" w:rsidRDefault="008D4B2E" w:rsidP="00D94CE8">
            <w:pPr>
              <w:spacing w:line="240" w:lineRule="exact"/>
              <w:jc w:val="right"/>
              <w:rPr>
                <w:rFonts w:ascii="宋体" w:eastAsia="宋体" w:hAnsi="宋体" w:cs="宋体"/>
                <w:sz w:val="18"/>
                <w:szCs w:val="18"/>
              </w:rPr>
            </w:pPr>
            <w:r w:rsidRPr="00D94CE8">
              <w:rPr>
                <w:rFonts w:ascii="宋体" w:eastAsia="宋体" w:hAnsi="宋体" w:cs="宋体"/>
                <w:sz w:val="18"/>
                <w:szCs w:val="18"/>
              </w:rPr>
              <w:t> </w:t>
            </w:r>
          </w:p>
        </w:tc>
        <w:tc>
          <w:tcPr>
            <w:tcW w:w="164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4B2E" w:rsidRPr="00D94CE8" w:rsidRDefault="008D4B2E" w:rsidP="00D94CE8">
            <w:pPr>
              <w:spacing w:line="240" w:lineRule="exact"/>
              <w:jc w:val="right"/>
              <w:rPr>
                <w:rFonts w:ascii="宋体" w:eastAsia="宋体" w:hAnsi="宋体" w:cs="宋体"/>
                <w:sz w:val="18"/>
                <w:szCs w:val="18"/>
              </w:rPr>
            </w:pPr>
            <w:r w:rsidRPr="00D94CE8">
              <w:rPr>
                <w:rFonts w:ascii="宋体" w:eastAsia="宋体" w:hAnsi="宋体" w:cs="宋体"/>
                <w:sz w:val="18"/>
                <w:szCs w:val="18"/>
              </w:rPr>
              <w:t> </w:t>
            </w:r>
          </w:p>
        </w:tc>
        <w:tc>
          <w:tcPr>
            <w:tcW w:w="18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4B2E" w:rsidRPr="00D94CE8" w:rsidRDefault="008D4B2E" w:rsidP="00D94CE8">
            <w:pPr>
              <w:spacing w:line="240" w:lineRule="exact"/>
              <w:jc w:val="right"/>
              <w:rPr>
                <w:rFonts w:ascii="宋体" w:eastAsia="宋体" w:hAnsi="宋体" w:cs="宋体"/>
                <w:sz w:val="18"/>
                <w:szCs w:val="18"/>
              </w:rPr>
            </w:pPr>
            <w:r w:rsidRPr="00D94CE8">
              <w:rPr>
                <w:rFonts w:ascii="宋体" w:eastAsia="宋体" w:hAnsi="宋体" w:cs="宋体"/>
                <w:sz w:val="18"/>
                <w:szCs w:val="18"/>
              </w:rPr>
              <w:t> </w:t>
            </w:r>
          </w:p>
        </w:tc>
        <w:tc>
          <w:tcPr>
            <w:tcW w:w="217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4B2E" w:rsidRPr="00D94CE8" w:rsidRDefault="008D4B2E" w:rsidP="00D94CE8">
            <w:pPr>
              <w:spacing w:line="240" w:lineRule="exact"/>
              <w:jc w:val="right"/>
              <w:rPr>
                <w:rFonts w:ascii="宋体" w:eastAsia="宋体" w:hAnsi="宋体" w:cs="宋体"/>
                <w:sz w:val="18"/>
                <w:szCs w:val="18"/>
              </w:rPr>
            </w:pPr>
            <w:r w:rsidRPr="00D94CE8">
              <w:rPr>
                <w:rFonts w:ascii="宋体" w:eastAsia="宋体" w:hAnsi="宋体" w:cs="宋体"/>
                <w:sz w:val="18"/>
                <w:szCs w:val="18"/>
              </w:rPr>
              <w:t> </w:t>
            </w:r>
          </w:p>
        </w:tc>
      </w:tr>
      <w:tr w:rsidR="008D4B2E" w:rsidTr="00D94CE8">
        <w:trPr>
          <w:divId w:val="1856572591"/>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4B2E" w:rsidRPr="00D94CE8" w:rsidRDefault="008D4B2E" w:rsidP="00D94CE8">
            <w:pPr>
              <w:spacing w:line="240" w:lineRule="exact"/>
              <w:rPr>
                <w:rFonts w:ascii="宋体" w:eastAsia="宋体" w:hAnsi="宋体" w:cs="宋体"/>
                <w:sz w:val="18"/>
                <w:szCs w:val="18"/>
              </w:rPr>
            </w:pPr>
            <w:r w:rsidRPr="00D94CE8">
              <w:rPr>
                <w:rFonts w:ascii="宋体" w:eastAsia="宋体" w:hAnsi="宋体" w:cs="宋体"/>
                <w:sz w:val="18"/>
                <w:szCs w:val="18"/>
              </w:rPr>
              <w:t>——</w:t>
            </w:r>
            <w:r w:rsidRPr="00D94CE8">
              <w:rPr>
                <w:rFonts w:ascii="宋体" w:eastAsia="宋体" w:hAnsi="宋体" w:cs="宋体" w:hint="eastAsia"/>
                <w:sz w:val="18"/>
                <w:szCs w:val="18"/>
              </w:rPr>
              <w:t>转回第一阶段</w:t>
            </w:r>
          </w:p>
        </w:tc>
        <w:tc>
          <w:tcPr>
            <w:tcW w:w="155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4B2E" w:rsidRPr="00D94CE8" w:rsidRDefault="008D4B2E" w:rsidP="00D94CE8">
            <w:pPr>
              <w:spacing w:line="240" w:lineRule="exact"/>
              <w:jc w:val="right"/>
              <w:rPr>
                <w:rFonts w:ascii="宋体" w:eastAsia="宋体" w:hAnsi="宋体" w:cs="宋体"/>
                <w:sz w:val="18"/>
                <w:szCs w:val="18"/>
              </w:rPr>
            </w:pPr>
            <w:r w:rsidRPr="00D94CE8">
              <w:rPr>
                <w:rFonts w:ascii="宋体" w:eastAsia="宋体" w:hAnsi="宋体" w:cs="宋体"/>
                <w:sz w:val="18"/>
                <w:szCs w:val="18"/>
              </w:rPr>
              <w:t> </w:t>
            </w:r>
          </w:p>
        </w:tc>
        <w:tc>
          <w:tcPr>
            <w:tcW w:w="164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4B2E" w:rsidRPr="00D94CE8" w:rsidRDefault="008D4B2E" w:rsidP="00D94CE8">
            <w:pPr>
              <w:spacing w:line="240" w:lineRule="exact"/>
              <w:jc w:val="right"/>
              <w:rPr>
                <w:rFonts w:ascii="宋体" w:eastAsia="宋体" w:hAnsi="宋体" w:cs="宋体"/>
                <w:sz w:val="18"/>
                <w:szCs w:val="18"/>
              </w:rPr>
            </w:pPr>
            <w:r w:rsidRPr="00D94CE8">
              <w:rPr>
                <w:rFonts w:ascii="宋体" w:eastAsia="宋体" w:hAnsi="宋体" w:cs="宋体"/>
                <w:sz w:val="18"/>
                <w:szCs w:val="18"/>
              </w:rPr>
              <w:t> </w:t>
            </w:r>
          </w:p>
        </w:tc>
        <w:tc>
          <w:tcPr>
            <w:tcW w:w="18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4B2E" w:rsidRPr="00D94CE8" w:rsidRDefault="008D4B2E" w:rsidP="00D94CE8">
            <w:pPr>
              <w:spacing w:line="240" w:lineRule="exact"/>
              <w:jc w:val="right"/>
              <w:rPr>
                <w:rFonts w:ascii="宋体" w:eastAsia="宋体" w:hAnsi="宋体" w:cs="宋体"/>
                <w:sz w:val="18"/>
                <w:szCs w:val="18"/>
              </w:rPr>
            </w:pPr>
            <w:r w:rsidRPr="00D94CE8">
              <w:rPr>
                <w:rFonts w:ascii="宋体" w:eastAsia="宋体" w:hAnsi="宋体" w:cs="宋体"/>
                <w:sz w:val="18"/>
                <w:szCs w:val="18"/>
              </w:rPr>
              <w:t> </w:t>
            </w:r>
          </w:p>
        </w:tc>
        <w:tc>
          <w:tcPr>
            <w:tcW w:w="217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4B2E" w:rsidRPr="00D94CE8" w:rsidRDefault="008D4B2E" w:rsidP="00D94CE8">
            <w:pPr>
              <w:spacing w:line="240" w:lineRule="exact"/>
              <w:jc w:val="right"/>
              <w:rPr>
                <w:rFonts w:ascii="宋体" w:eastAsia="宋体" w:hAnsi="宋体" w:cs="宋体"/>
                <w:sz w:val="18"/>
                <w:szCs w:val="18"/>
              </w:rPr>
            </w:pPr>
            <w:r w:rsidRPr="00D94CE8">
              <w:rPr>
                <w:rFonts w:ascii="宋体" w:eastAsia="宋体" w:hAnsi="宋体" w:cs="宋体"/>
                <w:sz w:val="18"/>
                <w:szCs w:val="18"/>
              </w:rPr>
              <w:t> </w:t>
            </w:r>
          </w:p>
        </w:tc>
      </w:tr>
      <w:tr w:rsidR="008D4B2E" w:rsidTr="00D94CE8">
        <w:trPr>
          <w:divId w:val="1856572591"/>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4B2E" w:rsidRPr="00D94CE8" w:rsidRDefault="008D4B2E" w:rsidP="00D94CE8">
            <w:pPr>
              <w:spacing w:line="240" w:lineRule="exact"/>
              <w:rPr>
                <w:rFonts w:ascii="宋体" w:eastAsia="宋体" w:hAnsi="宋体" w:cs="宋体"/>
                <w:sz w:val="18"/>
                <w:szCs w:val="18"/>
              </w:rPr>
            </w:pPr>
            <w:r w:rsidRPr="00D94CE8">
              <w:rPr>
                <w:rFonts w:ascii="宋体" w:eastAsia="宋体" w:hAnsi="宋体" w:cs="宋体" w:hint="eastAsia"/>
                <w:sz w:val="18"/>
                <w:szCs w:val="18"/>
              </w:rPr>
              <w:t>本期计提</w:t>
            </w:r>
          </w:p>
        </w:tc>
        <w:tc>
          <w:tcPr>
            <w:tcW w:w="15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D94CE8" w:rsidRDefault="008D4B2E" w:rsidP="00D94CE8">
            <w:pPr>
              <w:spacing w:line="240" w:lineRule="exact"/>
              <w:jc w:val="right"/>
              <w:rPr>
                <w:rFonts w:ascii="宋体" w:eastAsia="宋体" w:hAnsi="宋体" w:cs="宋体"/>
                <w:sz w:val="18"/>
                <w:szCs w:val="18"/>
              </w:rPr>
            </w:pPr>
            <w:r w:rsidRPr="00D94CE8">
              <w:rPr>
                <w:rFonts w:ascii="宋体" w:eastAsia="宋体" w:hAnsi="宋体" w:cs="宋体"/>
                <w:sz w:val="18"/>
                <w:szCs w:val="18"/>
              </w:rPr>
              <w:t>-898,415.12</w:t>
            </w:r>
          </w:p>
        </w:tc>
        <w:tc>
          <w:tcPr>
            <w:tcW w:w="16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D94CE8" w:rsidRDefault="008D4B2E" w:rsidP="00D94CE8">
            <w:pPr>
              <w:spacing w:line="240" w:lineRule="exact"/>
              <w:jc w:val="right"/>
              <w:rPr>
                <w:rFonts w:ascii="宋体" w:eastAsia="宋体" w:hAnsi="宋体" w:cs="宋体"/>
                <w:sz w:val="18"/>
                <w:szCs w:val="18"/>
              </w:rPr>
            </w:pPr>
            <w:r w:rsidRPr="00D94CE8">
              <w:rPr>
                <w:rFonts w:ascii="宋体" w:eastAsia="宋体" w:hAnsi="宋体" w:cs="宋体"/>
                <w:sz w:val="18"/>
                <w:szCs w:val="18"/>
              </w:rPr>
              <w:t> </w:t>
            </w:r>
          </w:p>
        </w:tc>
        <w:tc>
          <w:tcPr>
            <w:tcW w:w="18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D94CE8" w:rsidRDefault="008D4B2E" w:rsidP="00D94CE8">
            <w:pPr>
              <w:spacing w:line="240" w:lineRule="exact"/>
              <w:jc w:val="right"/>
              <w:rPr>
                <w:rFonts w:ascii="宋体" w:eastAsia="宋体" w:hAnsi="宋体" w:cs="宋体"/>
                <w:sz w:val="18"/>
                <w:szCs w:val="18"/>
              </w:rPr>
            </w:pPr>
            <w:r w:rsidRPr="00D94CE8">
              <w:rPr>
                <w:rFonts w:ascii="宋体" w:eastAsia="宋体" w:hAnsi="宋体" w:cs="宋体"/>
                <w:sz w:val="18"/>
                <w:szCs w:val="18"/>
              </w:rPr>
              <w:t> </w:t>
            </w:r>
          </w:p>
        </w:tc>
        <w:tc>
          <w:tcPr>
            <w:tcW w:w="21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D94CE8" w:rsidRDefault="008D4B2E" w:rsidP="00D94CE8">
            <w:pPr>
              <w:spacing w:line="240" w:lineRule="exact"/>
              <w:jc w:val="right"/>
              <w:rPr>
                <w:rFonts w:ascii="宋体" w:eastAsia="宋体" w:hAnsi="宋体" w:cs="宋体"/>
                <w:sz w:val="18"/>
                <w:szCs w:val="18"/>
              </w:rPr>
            </w:pPr>
            <w:r w:rsidRPr="00D94CE8">
              <w:rPr>
                <w:rFonts w:ascii="宋体" w:eastAsia="宋体" w:hAnsi="宋体" w:cs="宋体"/>
                <w:sz w:val="18"/>
                <w:szCs w:val="18"/>
              </w:rPr>
              <w:t>-898,415.12</w:t>
            </w:r>
          </w:p>
        </w:tc>
      </w:tr>
      <w:tr w:rsidR="008D4B2E" w:rsidTr="00D94CE8">
        <w:trPr>
          <w:divId w:val="1856572591"/>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4B2E" w:rsidRPr="00D94CE8" w:rsidRDefault="008D4B2E" w:rsidP="00D94CE8">
            <w:pPr>
              <w:spacing w:line="240" w:lineRule="exact"/>
              <w:rPr>
                <w:rFonts w:ascii="宋体" w:eastAsia="宋体" w:hAnsi="宋体" w:cs="宋体"/>
                <w:sz w:val="18"/>
                <w:szCs w:val="18"/>
              </w:rPr>
            </w:pPr>
            <w:r w:rsidRPr="00D94CE8">
              <w:rPr>
                <w:rFonts w:ascii="宋体" w:eastAsia="宋体" w:hAnsi="宋体" w:cs="宋体" w:hint="eastAsia"/>
                <w:sz w:val="18"/>
                <w:szCs w:val="18"/>
              </w:rPr>
              <w:t>本期转回</w:t>
            </w:r>
          </w:p>
        </w:tc>
        <w:tc>
          <w:tcPr>
            <w:tcW w:w="155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4B2E" w:rsidRPr="00D94CE8" w:rsidRDefault="008D4B2E" w:rsidP="00D94CE8">
            <w:pPr>
              <w:spacing w:line="240" w:lineRule="exact"/>
              <w:jc w:val="right"/>
              <w:rPr>
                <w:rFonts w:ascii="宋体" w:eastAsia="宋体" w:hAnsi="宋体" w:cs="宋体"/>
                <w:sz w:val="18"/>
                <w:szCs w:val="18"/>
              </w:rPr>
            </w:pPr>
            <w:r w:rsidRPr="00D94CE8">
              <w:rPr>
                <w:rFonts w:ascii="宋体" w:eastAsia="宋体" w:hAnsi="宋体" w:cs="宋体"/>
                <w:sz w:val="18"/>
                <w:szCs w:val="18"/>
              </w:rPr>
              <w:t> </w:t>
            </w:r>
          </w:p>
        </w:tc>
        <w:tc>
          <w:tcPr>
            <w:tcW w:w="164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4B2E" w:rsidRPr="00D94CE8" w:rsidRDefault="008D4B2E" w:rsidP="00D94CE8">
            <w:pPr>
              <w:spacing w:line="240" w:lineRule="exact"/>
              <w:jc w:val="right"/>
              <w:rPr>
                <w:rFonts w:ascii="宋体" w:eastAsia="宋体" w:hAnsi="宋体" w:cs="宋体"/>
                <w:sz w:val="18"/>
                <w:szCs w:val="18"/>
              </w:rPr>
            </w:pPr>
            <w:r w:rsidRPr="00D94CE8">
              <w:rPr>
                <w:rFonts w:ascii="宋体" w:eastAsia="宋体" w:hAnsi="宋体" w:cs="宋体"/>
                <w:sz w:val="18"/>
                <w:szCs w:val="18"/>
              </w:rPr>
              <w:t> </w:t>
            </w:r>
          </w:p>
        </w:tc>
        <w:tc>
          <w:tcPr>
            <w:tcW w:w="18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4B2E" w:rsidRPr="00D94CE8" w:rsidRDefault="008D4B2E" w:rsidP="00D94CE8">
            <w:pPr>
              <w:spacing w:line="240" w:lineRule="exact"/>
              <w:jc w:val="right"/>
              <w:rPr>
                <w:rFonts w:ascii="宋体" w:eastAsia="宋体" w:hAnsi="宋体" w:cs="宋体"/>
                <w:sz w:val="18"/>
                <w:szCs w:val="18"/>
              </w:rPr>
            </w:pPr>
            <w:r w:rsidRPr="00D94CE8">
              <w:rPr>
                <w:rFonts w:ascii="宋体" w:eastAsia="宋体" w:hAnsi="宋体" w:cs="宋体"/>
                <w:sz w:val="18"/>
                <w:szCs w:val="18"/>
              </w:rPr>
              <w:t> </w:t>
            </w:r>
          </w:p>
        </w:tc>
        <w:tc>
          <w:tcPr>
            <w:tcW w:w="217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4B2E" w:rsidRPr="00D94CE8" w:rsidRDefault="008D4B2E" w:rsidP="00D94CE8">
            <w:pPr>
              <w:spacing w:line="240" w:lineRule="exact"/>
              <w:jc w:val="right"/>
              <w:rPr>
                <w:rFonts w:ascii="宋体" w:eastAsia="宋体" w:hAnsi="宋体" w:cs="宋体"/>
                <w:sz w:val="18"/>
                <w:szCs w:val="18"/>
              </w:rPr>
            </w:pPr>
            <w:r w:rsidRPr="00D94CE8">
              <w:rPr>
                <w:rFonts w:ascii="宋体" w:eastAsia="宋体" w:hAnsi="宋体" w:cs="宋体"/>
                <w:sz w:val="18"/>
                <w:szCs w:val="18"/>
              </w:rPr>
              <w:t> </w:t>
            </w:r>
          </w:p>
        </w:tc>
      </w:tr>
      <w:tr w:rsidR="008D4B2E" w:rsidTr="00D94CE8">
        <w:trPr>
          <w:divId w:val="1856572591"/>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4B2E" w:rsidRPr="00D94CE8" w:rsidRDefault="008D4B2E" w:rsidP="00D94CE8">
            <w:pPr>
              <w:spacing w:line="240" w:lineRule="exact"/>
              <w:rPr>
                <w:rFonts w:ascii="宋体" w:eastAsia="宋体" w:hAnsi="宋体" w:cs="宋体"/>
                <w:sz w:val="18"/>
                <w:szCs w:val="18"/>
              </w:rPr>
            </w:pPr>
            <w:r w:rsidRPr="00D94CE8">
              <w:rPr>
                <w:rFonts w:ascii="宋体" w:eastAsia="宋体" w:hAnsi="宋体" w:cs="宋体" w:hint="eastAsia"/>
                <w:sz w:val="18"/>
                <w:szCs w:val="18"/>
              </w:rPr>
              <w:t>本期转销</w:t>
            </w:r>
          </w:p>
        </w:tc>
        <w:tc>
          <w:tcPr>
            <w:tcW w:w="155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4B2E" w:rsidRPr="00D94CE8" w:rsidRDefault="008D4B2E" w:rsidP="00D94CE8">
            <w:pPr>
              <w:spacing w:line="240" w:lineRule="exact"/>
              <w:jc w:val="right"/>
              <w:rPr>
                <w:rFonts w:ascii="宋体" w:eastAsia="宋体" w:hAnsi="宋体" w:cs="宋体"/>
                <w:sz w:val="18"/>
                <w:szCs w:val="18"/>
              </w:rPr>
            </w:pPr>
            <w:r w:rsidRPr="00D94CE8">
              <w:rPr>
                <w:rFonts w:ascii="宋体" w:eastAsia="宋体" w:hAnsi="宋体" w:cs="宋体"/>
                <w:sz w:val="18"/>
                <w:szCs w:val="18"/>
              </w:rPr>
              <w:t> </w:t>
            </w:r>
          </w:p>
        </w:tc>
        <w:tc>
          <w:tcPr>
            <w:tcW w:w="164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4B2E" w:rsidRPr="00D94CE8" w:rsidRDefault="008D4B2E" w:rsidP="00D94CE8">
            <w:pPr>
              <w:spacing w:line="240" w:lineRule="exact"/>
              <w:jc w:val="right"/>
              <w:rPr>
                <w:rFonts w:ascii="宋体" w:eastAsia="宋体" w:hAnsi="宋体" w:cs="宋体"/>
                <w:sz w:val="18"/>
                <w:szCs w:val="18"/>
              </w:rPr>
            </w:pPr>
            <w:r w:rsidRPr="00D94CE8">
              <w:rPr>
                <w:rFonts w:ascii="宋体" w:eastAsia="宋体" w:hAnsi="宋体" w:cs="宋体"/>
                <w:sz w:val="18"/>
                <w:szCs w:val="18"/>
              </w:rPr>
              <w:t> </w:t>
            </w:r>
          </w:p>
        </w:tc>
        <w:tc>
          <w:tcPr>
            <w:tcW w:w="18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4B2E" w:rsidRPr="00D94CE8" w:rsidRDefault="008D4B2E" w:rsidP="00D94CE8">
            <w:pPr>
              <w:spacing w:line="240" w:lineRule="exact"/>
              <w:jc w:val="right"/>
              <w:rPr>
                <w:rFonts w:ascii="宋体" w:eastAsia="宋体" w:hAnsi="宋体" w:cs="宋体"/>
                <w:sz w:val="18"/>
                <w:szCs w:val="18"/>
              </w:rPr>
            </w:pPr>
            <w:r w:rsidRPr="00D94CE8">
              <w:rPr>
                <w:rFonts w:ascii="宋体" w:eastAsia="宋体" w:hAnsi="宋体" w:cs="宋体"/>
                <w:sz w:val="18"/>
                <w:szCs w:val="18"/>
              </w:rPr>
              <w:t> </w:t>
            </w:r>
          </w:p>
        </w:tc>
        <w:tc>
          <w:tcPr>
            <w:tcW w:w="217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4B2E" w:rsidRPr="00D94CE8" w:rsidRDefault="008D4B2E" w:rsidP="00D94CE8">
            <w:pPr>
              <w:spacing w:line="240" w:lineRule="exact"/>
              <w:jc w:val="right"/>
              <w:rPr>
                <w:rFonts w:ascii="宋体" w:eastAsia="宋体" w:hAnsi="宋体" w:cs="宋体"/>
                <w:sz w:val="18"/>
                <w:szCs w:val="18"/>
              </w:rPr>
            </w:pPr>
            <w:r w:rsidRPr="00D94CE8">
              <w:rPr>
                <w:rFonts w:ascii="宋体" w:eastAsia="宋体" w:hAnsi="宋体" w:cs="宋体"/>
                <w:sz w:val="18"/>
                <w:szCs w:val="18"/>
              </w:rPr>
              <w:t> </w:t>
            </w:r>
          </w:p>
        </w:tc>
      </w:tr>
      <w:tr w:rsidR="008D4B2E" w:rsidTr="00D94CE8">
        <w:trPr>
          <w:divId w:val="1856572591"/>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4B2E" w:rsidRPr="00D94CE8" w:rsidRDefault="008D4B2E" w:rsidP="00D94CE8">
            <w:pPr>
              <w:spacing w:line="240" w:lineRule="exact"/>
              <w:rPr>
                <w:rFonts w:ascii="宋体" w:eastAsia="宋体" w:hAnsi="宋体" w:cs="宋体"/>
                <w:sz w:val="18"/>
                <w:szCs w:val="18"/>
              </w:rPr>
            </w:pPr>
            <w:r w:rsidRPr="00D94CE8">
              <w:rPr>
                <w:rFonts w:ascii="宋体" w:eastAsia="宋体" w:hAnsi="宋体" w:cs="宋体" w:hint="eastAsia"/>
                <w:sz w:val="18"/>
                <w:szCs w:val="18"/>
              </w:rPr>
              <w:t>本期核销</w:t>
            </w:r>
          </w:p>
        </w:tc>
        <w:tc>
          <w:tcPr>
            <w:tcW w:w="155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4B2E" w:rsidRPr="00D94CE8" w:rsidRDefault="008D4B2E" w:rsidP="00D94CE8">
            <w:pPr>
              <w:spacing w:line="240" w:lineRule="exact"/>
              <w:jc w:val="right"/>
              <w:rPr>
                <w:rFonts w:ascii="宋体" w:eastAsia="宋体" w:hAnsi="宋体" w:cs="宋体"/>
                <w:sz w:val="18"/>
                <w:szCs w:val="18"/>
              </w:rPr>
            </w:pPr>
            <w:r w:rsidRPr="00D94CE8">
              <w:rPr>
                <w:rFonts w:ascii="宋体" w:eastAsia="宋体" w:hAnsi="宋体" w:cs="宋体"/>
                <w:sz w:val="18"/>
                <w:szCs w:val="18"/>
              </w:rPr>
              <w:t> </w:t>
            </w:r>
          </w:p>
        </w:tc>
        <w:tc>
          <w:tcPr>
            <w:tcW w:w="164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4B2E" w:rsidRPr="00D94CE8" w:rsidRDefault="008D4B2E" w:rsidP="00D94CE8">
            <w:pPr>
              <w:spacing w:line="240" w:lineRule="exact"/>
              <w:jc w:val="right"/>
              <w:rPr>
                <w:rFonts w:ascii="宋体" w:eastAsia="宋体" w:hAnsi="宋体" w:cs="宋体"/>
                <w:sz w:val="18"/>
                <w:szCs w:val="18"/>
              </w:rPr>
            </w:pPr>
            <w:r w:rsidRPr="00D94CE8">
              <w:rPr>
                <w:rFonts w:ascii="宋体" w:eastAsia="宋体" w:hAnsi="宋体" w:cs="宋体"/>
                <w:sz w:val="18"/>
                <w:szCs w:val="18"/>
              </w:rPr>
              <w:t> </w:t>
            </w:r>
          </w:p>
        </w:tc>
        <w:tc>
          <w:tcPr>
            <w:tcW w:w="18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4B2E" w:rsidRPr="00D94CE8" w:rsidRDefault="008D4B2E" w:rsidP="00D94CE8">
            <w:pPr>
              <w:spacing w:line="240" w:lineRule="exact"/>
              <w:jc w:val="right"/>
              <w:rPr>
                <w:rFonts w:ascii="宋体" w:eastAsia="宋体" w:hAnsi="宋体" w:cs="宋体"/>
                <w:sz w:val="18"/>
                <w:szCs w:val="18"/>
              </w:rPr>
            </w:pPr>
            <w:r w:rsidRPr="00D94CE8">
              <w:rPr>
                <w:rFonts w:ascii="宋体" w:eastAsia="宋体" w:hAnsi="宋体" w:cs="宋体"/>
                <w:sz w:val="18"/>
                <w:szCs w:val="18"/>
              </w:rPr>
              <w:t> </w:t>
            </w:r>
          </w:p>
        </w:tc>
        <w:tc>
          <w:tcPr>
            <w:tcW w:w="217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4B2E" w:rsidRPr="00D94CE8" w:rsidRDefault="008D4B2E" w:rsidP="00D94CE8">
            <w:pPr>
              <w:spacing w:line="240" w:lineRule="exact"/>
              <w:jc w:val="right"/>
              <w:rPr>
                <w:rFonts w:ascii="宋体" w:eastAsia="宋体" w:hAnsi="宋体" w:cs="宋体"/>
                <w:sz w:val="18"/>
                <w:szCs w:val="18"/>
              </w:rPr>
            </w:pPr>
            <w:r w:rsidRPr="00D94CE8">
              <w:rPr>
                <w:rFonts w:ascii="宋体" w:eastAsia="宋体" w:hAnsi="宋体" w:cs="宋体"/>
                <w:sz w:val="18"/>
                <w:szCs w:val="18"/>
              </w:rPr>
              <w:t> </w:t>
            </w:r>
          </w:p>
        </w:tc>
      </w:tr>
      <w:tr w:rsidR="008D4B2E" w:rsidTr="00D94CE8">
        <w:trPr>
          <w:divId w:val="1856572591"/>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4B2E" w:rsidRPr="00D94CE8" w:rsidRDefault="008D4B2E" w:rsidP="00D94CE8">
            <w:pPr>
              <w:spacing w:line="240" w:lineRule="exact"/>
              <w:rPr>
                <w:rFonts w:ascii="宋体" w:eastAsia="宋体" w:hAnsi="宋体" w:cs="宋体"/>
                <w:sz w:val="18"/>
                <w:szCs w:val="18"/>
              </w:rPr>
            </w:pPr>
            <w:r w:rsidRPr="00D94CE8">
              <w:rPr>
                <w:rFonts w:ascii="宋体" w:eastAsia="宋体" w:hAnsi="宋体" w:cs="宋体" w:hint="eastAsia"/>
                <w:sz w:val="18"/>
                <w:szCs w:val="18"/>
              </w:rPr>
              <w:t>其他变动</w:t>
            </w:r>
          </w:p>
        </w:tc>
        <w:tc>
          <w:tcPr>
            <w:tcW w:w="155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4B2E" w:rsidRPr="00D94CE8" w:rsidRDefault="008D4B2E" w:rsidP="00D94CE8">
            <w:pPr>
              <w:spacing w:line="240" w:lineRule="exact"/>
              <w:jc w:val="right"/>
              <w:rPr>
                <w:rFonts w:ascii="宋体" w:eastAsia="宋体" w:hAnsi="宋体" w:cs="宋体"/>
                <w:sz w:val="18"/>
                <w:szCs w:val="18"/>
              </w:rPr>
            </w:pPr>
            <w:r w:rsidRPr="00D94CE8">
              <w:rPr>
                <w:rFonts w:ascii="宋体" w:eastAsia="宋体" w:hAnsi="宋体" w:cs="宋体"/>
                <w:sz w:val="18"/>
                <w:szCs w:val="18"/>
              </w:rPr>
              <w:t> </w:t>
            </w:r>
          </w:p>
        </w:tc>
        <w:tc>
          <w:tcPr>
            <w:tcW w:w="164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4B2E" w:rsidRPr="00D94CE8" w:rsidRDefault="008D4B2E" w:rsidP="00D94CE8">
            <w:pPr>
              <w:spacing w:line="240" w:lineRule="exact"/>
              <w:jc w:val="right"/>
              <w:rPr>
                <w:rFonts w:ascii="宋体" w:eastAsia="宋体" w:hAnsi="宋体" w:cs="宋体"/>
                <w:sz w:val="18"/>
                <w:szCs w:val="18"/>
              </w:rPr>
            </w:pPr>
            <w:r w:rsidRPr="00D94CE8">
              <w:rPr>
                <w:rFonts w:ascii="宋体" w:eastAsia="宋体" w:hAnsi="宋体" w:cs="宋体"/>
                <w:sz w:val="18"/>
                <w:szCs w:val="18"/>
              </w:rPr>
              <w:t> </w:t>
            </w:r>
          </w:p>
        </w:tc>
        <w:tc>
          <w:tcPr>
            <w:tcW w:w="18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4B2E" w:rsidRPr="00D94CE8" w:rsidRDefault="008D4B2E" w:rsidP="00D94CE8">
            <w:pPr>
              <w:spacing w:line="240" w:lineRule="exact"/>
              <w:jc w:val="right"/>
              <w:rPr>
                <w:rFonts w:ascii="宋体" w:eastAsia="宋体" w:hAnsi="宋体" w:cs="宋体"/>
                <w:sz w:val="18"/>
                <w:szCs w:val="18"/>
              </w:rPr>
            </w:pPr>
            <w:r w:rsidRPr="00D94CE8">
              <w:rPr>
                <w:rFonts w:ascii="宋体" w:eastAsia="宋体" w:hAnsi="宋体" w:cs="宋体"/>
                <w:sz w:val="18"/>
                <w:szCs w:val="18"/>
              </w:rPr>
              <w:t> </w:t>
            </w:r>
          </w:p>
        </w:tc>
        <w:tc>
          <w:tcPr>
            <w:tcW w:w="217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8D4B2E" w:rsidRPr="00D94CE8" w:rsidRDefault="008D4B2E" w:rsidP="00D94CE8">
            <w:pPr>
              <w:spacing w:line="240" w:lineRule="exact"/>
              <w:jc w:val="right"/>
              <w:rPr>
                <w:rFonts w:ascii="宋体" w:eastAsia="宋体" w:hAnsi="宋体" w:cs="宋体"/>
                <w:sz w:val="18"/>
                <w:szCs w:val="18"/>
              </w:rPr>
            </w:pPr>
            <w:r w:rsidRPr="00D94CE8">
              <w:rPr>
                <w:rFonts w:ascii="宋体" w:eastAsia="宋体" w:hAnsi="宋体" w:cs="宋体"/>
                <w:sz w:val="18"/>
                <w:szCs w:val="18"/>
              </w:rPr>
              <w:t> </w:t>
            </w:r>
          </w:p>
        </w:tc>
      </w:tr>
      <w:tr w:rsidR="008D4B2E" w:rsidTr="00D94CE8">
        <w:trPr>
          <w:divId w:val="1856572591"/>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4B2E" w:rsidRPr="00D94CE8" w:rsidRDefault="008D4B2E" w:rsidP="00D94CE8">
            <w:pPr>
              <w:spacing w:line="240" w:lineRule="exact"/>
              <w:rPr>
                <w:rFonts w:ascii="宋体" w:eastAsia="宋体" w:hAnsi="宋体" w:cs="宋体"/>
                <w:sz w:val="18"/>
                <w:szCs w:val="18"/>
              </w:rPr>
            </w:pPr>
            <w:r w:rsidRPr="00D94CE8">
              <w:rPr>
                <w:rFonts w:ascii="宋体" w:eastAsia="宋体" w:hAnsi="宋体" w:cs="宋体"/>
                <w:sz w:val="18"/>
                <w:szCs w:val="18"/>
              </w:rPr>
              <w:t>2023</w:t>
            </w:r>
            <w:r w:rsidRPr="00D94CE8">
              <w:rPr>
                <w:rFonts w:ascii="宋体" w:eastAsia="宋体" w:hAnsi="宋体" w:cs="宋体" w:hint="eastAsia"/>
                <w:sz w:val="18"/>
                <w:szCs w:val="18"/>
              </w:rPr>
              <w:t>年</w:t>
            </w:r>
            <w:r w:rsidRPr="00D94CE8">
              <w:rPr>
                <w:rFonts w:ascii="宋体" w:eastAsia="宋体" w:hAnsi="宋体" w:cs="宋体"/>
                <w:sz w:val="18"/>
                <w:szCs w:val="18"/>
              </w:rPr>
              <w:t>12</w:t>
            </w:r>
            <w:r w:rsidRPr="00D94CE8">
              <w:rPr>
                <w:rFonts w:ascii="宋体" w:eastAsia="宋体" w:hAnsi="宋体" w:cs="宋体" w:hint="eastAsia"/>
                <w:sz w:val="18"/>
                <w:szCs w:val="18"/>
              </w:rPr>
              <w:t>月</w:t>
            </w:r>
            <w:r w:rsidRPr="00D94CE8">
              <w:rPr>
                <w:rFonts w:ascii="宋体" w:eastAsia="宋体" w:hAnsi="宋体" w:cs="宋体"/>
                <w:sz w:val="18"/>
                <w:szCs w:val="18"/>
              </w:rPr>
              <w:t>31</w:t>
            </w:r>
            <w:r w:rsidRPr="00D94CE8">
              <w:rPr>
                <w:rFonts w:ascii="宋体" w:eastAsia="宋体" w:hAnsi="宋体" w:cs="宋体" w:hint="eastAsia"/>
                <w:sz w:val="18"/>
                <w:szCs w:val="18"/>
              </w:rPr>
              <w:t>日余额</w:t>
            </w:r>
          </w:p>
        </w:tc>
        <w:tc>
          <w:tcPr>
            <w:tcW w:w="15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D94CE8" w:rsidRDefault="008D4B2E" w:rsidP="00D94CE8">
            <w:pPr>
              <w:spacing w:line="240" w:lineRule="exact"/>
              <w:jc w:val="right"/>
              <w:rPr>
                <w:rFonts w:ascii="宋体" w:eastAsia="宋体" w:hAnsi="宋体" w:cs="宋体"/>
                <w:sz w:val="18"/>
                <w:szCs w:val="18"/>
              </w:rPr>
            </w:pPr>
            <w:r w:rsidRPr="00D94CE8">
              <w:rPr>
                <w:rFonts w:ascii="宋体" w:eastAsia="宋体" w:hAnsi="宋体" w:cs="宋体"/>
                <w:sz w:val="18"/>
                <w:szCs w:val="18"/>
              </w:rPr>
              <w:t>4,204,222.06</w:t>
            </w:r>
          </w:p>
        </w:tc>
        <w:tc>
          <w:tcPr>
            <w:tcW w:w="16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D94CE8" w:rsidRDefault="008D4B2E" w:rsidP="00D94CE8">
            <w:pPr>
              <w:spacing w:line="240" w:lineRule="exact"/>
              <w:jc w:val="right"/>
              <w:rPr>
                <w:rFonts w:ascii="宋体" w:eastAsia="宋体" w:hAnsi="宋体" w:cs="宋体"/>
                <w:sz w:val="18"/>
                <w:szCs w:val="18"/>
              </w:rPr>
            </w:pPr>
            <w:r w:rsidRPr="00D94CE8">
              <w:rPr>
                <w:rFonts w:ascii="宋体" w:eastAsia="宋体" w:hAnsi="宋体" w:cs="宋体"/>
                <w:sz w:val="18"/>
                <w:szCs w:val="18"/>
              </w:rPr>
              <w:t> </w:t>
            </w:r>
          </w:p>
        </w:tc>
        <w:tc>
          <w:tcPr>
            <w:tcW w:w="18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D94CE8" w:rsidRDefault="008D4B2E" w:rsidP="00D94CE8">
            <w:pPr>
              <w:spacing w:line="240" w:lineRule="exact"/>
              <w:jc w:val="right"/>
              <w:rPr>
                <w:rFonts w:ascii="宋体" w:eastAsia="宋体" w:hAnsi="宋体" w:cs="宋体"/>
                <w:sz w:val="18"/>
                <w:szCs w:val="18"/>
              </w:rPr>
            </w:pPr>
            <w:r w:rsidRPr="00D94CE8">
              <w:rPr>
                <w:rFonts w:ascii="宋体" w:eastAsia="宋体" w:hAnsi="宋体" w:cs="宋体"/>
                <w:sz w:val="18"/>
                <w:szCs w:val="18"/>
              </w:rPr>
              <w:t>235,813,868.49</w:t>
            </w:r>
          </w:p>
        </w:tc>
        <w:tc>
          <w:tcPr>
            <w:tcW w:w="21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D4B2E" w:rsidRPr="00D94CE8" w:rsidRDefault="008D4B2E" w:rsidP="00D94CE8">
            <w:pPr>
              <w:spacing w:line="240" w:lineRule="exact"/>
              <w:jc w:val="right"/>
              <w:rPr>
                <w:rFonts w:ascii="宋体" w:eastAsia="宋体" w:hAnsi="宋体" w:cs="宋体"/>
                <w:sz w:val="18"/>
                <w:szCs w:val="18"/>
              </w:rPr>
            </w:pPr>
            <w:r w:rsidRPr="00D94CE8">
              <w:rPr>
                <w:rFonts w:ascii="宋体" w:eastAsia="宋体" w:hAnsi="宋体" w:cs="宋体"/>
                <w:sz w:val="18"/>
                <w:szCs w:val="18"/>
              </w:rPr>
              <w:t>240,018,090.55</w:t>
            </w:r>
          </w:p>
        </w:tc>
      </w:tr>
    </w:tbl>
    <w:p w:rsidR="00BA0365" w:rsidRDefault="008D4B2E">
      <w:pPr>
        <w:keepNext/>
        <w:keepLines/>
        <w:spacing w:before="300" w:after="300" w:line="280" w:lineRule="exact"/>
        <w:outlineLvl w:val="4"/>
        <w:rPr>
          <w:rFonts w:ascii="宋体" w:eastAsia="宋体" w:hAnsi="宋体" w:cs="宋体"/>
          <w:b/>
          <w:bCs/>
          <w:sz w:val="18"/>
          <w:szCs w:val="18"/>
        </w:rPr>
      </w:pPr>
      <w:bookmarkStart w:id="425" w:name="_Toc989351"/>
      <w:r>
        <w:rPr>
          <w:rFonts w:ascii="宋体" w:eastAsia="宋体" w:hAnsi="宋体" w:cs="宋体"/>
          <w:b/>
          <w:bCs/>
          <w:sz w:val="18"/>
          <w:szCs w:val="18"/>
        </w:rPr>
        <w:t>4） 按欠款方归集的期末余额前五名的其他应收款情况</w:t>
      </w:r>
      <w:bookmarkEnd w:id="425"/>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1242"/>
        <w:gridCol w:w="1418"/>
        <w:gridCol w:w="1701"/>
        <w:gridCol w:w="2015"/>
        <w:gridCol w:w="1701"/>
        <w:gridCol w:w="1562"/>
      </w:tblGrid>
      <w:tr w:rsidR="00157EA0" w:rsidTr="00B87081">
        <w:trPr>
          <w:trHeight w:val="240"/>
        </w:trPr>
        <w:tc>
          <w:tcPr>
            <w:tcW w:w="124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单位名称</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款项的性质</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201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账龄</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占其他应收款期末余额合计数的比例</w:t>
            </w:r>
          </w:p>
        </w:tc>
        <w:tc>
          <w:tcPr>
            <w:tcW w:w="156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坏账准备期末余额</w:t>
            </w:r>
          </w:p>
        </w:tc>
      </w:tr>
      <w:tr w:rsidR="00157EA0" w:rsidTr="00B87081">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A公司</w:t>
            </w:r>
          </w:p>
        </w:tc>
        <w:tc>
          <w:tcPr>
            <w:tcW w:w="14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单位往来</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261,914,509.54</w:t>
            </w:r>
          </w:p>
        </w:tc>
        <w:tc>
          <w:tcPr>
            <w:tcW w:w="201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1年以内</w:t>
            </w:r>
            <w:r>
              <w:rPr>
                <w:rFonts w:ascii="宋体" w:eastAsia="宋体" w:hAnsi="宋体" w:cs="宋体"/>
                <w:sz w:val="18"/>
                <w:szCs w:val="18"/>
              </w:rPr>
              <w:lastRenderedPageBreak/>
              <w:t>231,914,509.54；</w:t>
            </w:r>
          </w:p>
          <w:p w:rsidR="00BA0365" w:rsidRDefault="008D4B2E">
            <w:pPr>
              <w:spacing w:line="240" w:lineRule="exact"/>
              <w:rPr>
                <w:rFonts w:ascii="宋体" w:eastAsia="宋体" w:hAnsi="宋体" w:cs="宋体"/>
                <w:sz w:val="18"/>
                <w:szCs w:val="18"/>
              </w:rPr>
            </w:pPr>
            <w:r>
              <w:rPr>
                <w:rFonts w:ascii="宋体" w:eastAsia="宋体" w:hAnsi="宋体" w:cs="宋体"/>
                <w:sz w:val="18"/>
                <w:szCs w:val="18"/>
              </w:rPr>
              <w:t>1-2年10,000,000.00</w:t>
            </w:r>
          </w:p>
          <w:p w:rsidR="00BA0365" w:rsidRDefault="008D4B2E">
            <w:pPr>
              <w:spacing w:line="240" w:lineRule="exact"/>
              <w:rPr>
                <w:rFonts w:ascii="宋体" w:eastAsia="宋体" w:hAnsi="宋体" w:cs="宋体"/>
                <w:sz w:val="18"/>
                <w:szCs w:val="18"/>
              </w:rPr>
            </w:pPr>
            <w:r>
              <w:rPr>
                <w:rFonts w:ascii="宋体" w:eastAsia="宋体" w:hAnsi="宋体" w:cs="宋体"/>
                <w:sz w:val="18"/>
                <w:szCs w:val="18"/>
              </w:rPr>
              <w:t>3-4年20,000,000.00</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lastRenderedPageBreak/>
              <w:t>41.24%</w:t>
            </w:r>
          </w:p>
        </w:tc>
        <w:tc>
          <w:tcPr>
            <w:tcW w:w="156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rsidTr="00B87081">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lastRenderedPageBreak/>
              <w:t>B公司</w:t>
            </w:r>
          </w:p>
        </w:tc>
        <w:tc>
          <w:tcPr>
            <w:tcW w:w="14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单位往来</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229,790,604.64</w:t>
            </w:r>
          </w:p>
        </w:tc>
        <w:tc>
          <w:tcPr>
            <w:tcW w:w="201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5年以上</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36.18%</w:t>
            </w:r>
          </w:p>
        </w:tc>
        <w:tc>
          <w:tcPr>
            <w:tcW w:w="156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229,790,604.64</w:t>
            </w:r>
          </w:p>
        </w:tc>
      </w:tr>
      <w:tr w:rsidR="00157EA0" w:rsidTr="00B87081">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C公司</w:t>
            </w:r>
          </w:p>
        </w:tc>
        <w:tc>
          <w:tcPr>
            <w:tcW w:w="14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单位往来</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36,408,000.00</w:t>
            </w:r>
          </w:p>
        </w:tc>
        <w:tc>
          <w:tcPr>
            <w:tcW w:w="201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2-3年25,290,000.00；</w:t>
            </w:r>
          </w:p>
          <w:p w:rsidR="00BA0365" w:rsidRDefault="008D4B2E">
            <w:pPr>
              <w:spacing w:line="240" w:lineRule="exact"/>
              <w:rPr>
                <w:rFonts w:ascii="宋体" w:eastAsia="宋体" w:hAnsi="宋体" w:cs="宋体"/>
                <w:sz w:val="18"/>
                <w:szCs w:val="18"/>
              </w:rPr>
            </w:pPr>
            <w:r>
              <w:rPr>
                <w:rFonts w:ascii="宋体" w:eastAsia="宋体" w:hAnsi="宋体" w:cs="宋体"/>
                <w:sz w:val="18"/>
                <w:szCs w:val="18"/>
              </w:rPr>
              <w:t>3-4年11,118,000.00</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5.73%</w:t>
            </w:r>
          </w:p>
        </w:tc>
        <w:tc>
          <w:tcPr>
            <w:tcW w:w="156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rsidTr="00B87081">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D公司</w:t>
            </w:r>
          </w:p>
        </w:tc>
        <w:tc>
          <w:tcPr>
            <w:tcW w:w="14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单位往来</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32,400,000.00</w:t>
            </w:r>
          </w:p>
        </w:tc>
        <w:tc>
          <w:tcPr>
            <w:tcW w:w="201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1年以内14,353,860.00；</w:t>
            </w:r>
          </w:p>
          <w:p w:rsidR="00BA0365" w:rsidRDefault="008D4B2E">
            <w:pPr>
              <w:spacing w:line="240" w:lineRule="exact"/>
              <w:rPr>
                <w:rFonts w:ascii="宋体" w:eastAsia="宋体" w:hAnsi="宋体" w:cs="宋体"/>
                <w:sz w:val="18"/>
                <w:szCs w:val="18"/>
              </w:rPr>
            </w:pPr>
            <w:r>
              <w:rPr>
                <w:rFonts w:ascii="宋体" w:eastAsia="宋体" w:hAnsi="宋体" w:cs="宋体"/>
                <w:sz w:val="18"/>
                <w:szCs w:val="18"/>
              </w:rPr>
              <w:t>1-2年18,046,140.00</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5.10%</w:t>
            </w:r>
          </w:p>
        </w:tc>
        <w:tc>
          <w:tcPr>
            <w:tcW w:w="156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rsidTr="00B87081">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E公司</w:t>
            </w:r>
          </w:p>
        </w:tc>
        <w:tc>
          <w:tcPr>
            <w:tcW w:w="141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单位往来</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20,000,000.00</w:t>
            </w:r>
          </w:p>
        </w:tc>
        <w:tc>
          <w:tcPr>
            <w:tcW w:w="2015"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1年以内</w:t>
            </w: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3.15%</w:t>
            </w:r>
          </w:p>
        </w:tc>
        <w:tc>
          <w:tcPr>
            <w:tcW w:w="156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rsidTr="00B87081">
        <w:trPr>
          <w:trHeight w:val="240"/>
        </w:trPr>
        <w:tc>
          <w:tcPr>
            <w:tcW w:w="124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580,513,114.18</w:t>
            </w:r>
          </w:p>
        </w:tc>
        <w:tc>
          <w:tcPr>
            <w:tcW w:w="201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91.40%</w:t>
            </w:r>
          </w:p>
        </w:tc>
        <w:tc>
          <w:tcPr>
            <w:tcW w:w="156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229,790,604.64</w:t>
            </w:r>
          </w:p>
        </w:tc>
      </w:tr>
    </w:tbl>
    <w:p w:rsidR="00BA0365" w:rsidRDefault="008D4B2E">
      <w:pPr>
        <w:keepNext/>
        <w:keepLines/>
        <w:spacing w:before="300" w:after="300" w:line="280" w:lineRule="exact"/>
        <w:outlineLvl w:val="4"/>
        <w:rPr>
          <w:rFonts w:ascii="宋体" w:eastAsia="宋体" w:hAnsi="宋体" w:cs="宋体"/>
          <w:b/>
          <w:bCs/>
          <w:sz w:val="18"/>
          <w:szCs w:val="18"/>
        </w:rPr>
      </w:pPr>
      <w:bookmarkStart w:id="426" w:name="_Toc989352"/>
      <w:r>
        <w:rPr>
          <w:rFonts w:ascii="宋体" w:eastAsia="宋体" w:hAnsi="宋体" w:cs="宋体"/>
          <w:b/>
          <w:bCs/>
          <w:sz w:val="18"/>
          <w:szCs w:val="18"/>
        </w:rPr>
        <w:t>5） 因资金集中管理而列报于其他应收款</w:t>
      </w:r>
      <w:bookmarkEnd w:id="426"/>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4820"/>
        <w:gridCol w:w="4819"/>
      </w:tblGrid>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因资金集中管理而列报于其他应收款的金额</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243,468,053.72</w:t>
            </w:r>
          </w:p>
        </w:tc>
      </w:tr>
      <w:tr w:rsidR="00157E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情况说明</w:t>
            </w:r>
          </w:p>
        </w:tc>
        <w:tc>
          <w:tcPr>
            <w:tcW w:w="482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均为集团合并范围内公司，合并层面已</w:t>
            </w:r>
            <w:proofErr w:type="gramStart"/>
            <w:r>
              <w:rPr>
                <w:rFonts w:ascii="宋体" w:eastAsia="宋体" w:hAnsi="宋体" w:cs="宋体"/>
                <w:sz w:val="18"/>
                <w:szCs w:val="18"/>
              </w:rPr>
              <w:t>抵销</w:t>
            </w:r>
            <w:proofErr w:type="gramEnd"/>
          </w:p>
        </w:tc>
      </w:tr>
    </w:tbl>
    <w:p w:rsidR="00BA0365" w:rsidRDefault="008D4B2E">
      <w:pPr>
        <w:pStyle w:val="3"/>
        <w:spacing w:line="280" w:lineRule="exact"/>
        <w:jc w:val="left"/>
        <w:rPr>
          <w:rFonts w:ascii="宋体" w:hAnsi="宋体" w:cs="宋体"/>
          <w:b/>
          <w:bCs/>
        </w:rPr>
      </w:pPr>
      <w:bookmarkStart w:id="427" w:name="_Toc989353"/>
      <w:r>
        <w:rPr>
          <w:rFonts w:ascii="宋体" w:hAnsi="宋体" w:cs="宋体"/>
          <w:b/>
          <w:bCs/>
        </w:rPr>
        <w:t>3、长期股权投资</w:t>
      </w:r>
      <w:bookmarkEnd w:id="427"/>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1377"/>
        <w:gridCol w:w="1708"/>
        <w:gridCol w:w="709"/>
        <w:gridCol w:w="1714"/>
        <w:gridCol w:w="1688"/>
        <w:gridCol w:w="709"/>
        <w:gridCol w:w="1734"/>
      </w:tblGrid>
      <w:tr w:rsidR="00157EA0">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w:t>
            </w:r>
          </w:p>
        </w:tc>
      </w:tr>
      <w:tr w:rsidR="00157EA0" w:rsidTr="00C75946">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70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714"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c>
          <w:tcPr>
            <w:tcW w:w="168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账面余额</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w:t>
            </w:r>
          </w:p>
        </w:tc>
        <w:tc>
          <w:tcPr>
            <w:tcW w:w="1734"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账面价值</w:t>
            </w:r>
          </w:p>
        </w:tc>
      </w:tr>
      <w:tr w:rsidR="00157EA0" w:rsidTr="00C75946">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对子公司投资</w:t>
            </w:r>
          </w:p>
        </w:tc>
        <w:tc>
          <w:tcPr>
            <w:tcW w:w="170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4,771,133,098.37</w:t>
            </w:r>
          </w:p>
        </w:tc>
        <w:tc>
          <w:tcPr>
            <w:tcW w:w="709"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71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4,771,133,098.37</w:t>
            </w:r>
          </w:p>
        </w:tc>
        <w:tc>
          <w:tcPr>
            <w:tcW w:w="168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4,391,386,124.89</w:t>
            </w:r>
          </w:p>
        </w:tc>
        <w:tc>
          <w:tcPr>
            <w:tcW w:w="709"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7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4,391,386,124.89</w:t>
            </w:r>
          </w:p>
        </w:tc>
      </w:tr>
      <w:tr w:rsidR="00157EA0" w:rsidTr="00C75946">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对联营、合营企业投资</w:t>
            </w:r>
          </w:p>
        </w:tc>
        <w:tc>
          <w:tcPr>
            <w:tcW w:w="170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74,649,729.29</w:t>
            </w:r>
          </w:p>
        </w:tc>
        <w:tc>
          <w:tcPr>
            <w:tcW w:w="709"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71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74,649,729.29</w:t>
            </w:r>
          </w:p>
        </w:tc>
        <w:tc>
          <w:tcPr>
            <w:tcW w:w="168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73,671,019.34</w:t>
            </w:r>
          </w:p>
        </w:tc>
        <w:tc>
          <w:tcPr>
            <w:tcW w:w="709"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7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73,671,019.34</w:t>
            </w:r>
          </w:p>
        </w:tc>
      </w:tr>
      <w:tr w:rsidR="00157EA0" w:rsidTr="00C75946">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70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4,845,782,827.66</w:t>
            </w:r>
          </w:p>
        </w:tc>
        <w:tc>
          <w:tcPr>
            <w:tcW w:w="709"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71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4,845,782,827.66</w:t>
            </w:r>
          </w:p>
        </w:tc>
        <w:tc>
          <w:tcPr>
            <w:tcW w:w="168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4,465,057,144.23</w:t>
            </w:r>
          </w:p>
        </w:tc>
        <w:tc>
          <w:tcPr>
            <w:tcW w:w="709"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7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4,465,057,144.23</w:t>
            </w:r>
          </w:p>
        </w:tc>
      </w:tr>
    </w:tbl>
    <w:p w:rsidR="00BA0365" w:rsidRDefault="008D4B2E">
      <w:pPr>
        <w:keepNext/>
        <w:keepLines/>
        <w:spacing w:before="300" w:after="300" w:line="280" w:lineRule="exact"/>
        <w:outlineLvl w:val="3"/>
        <w:rPr>
          <w:rFonts w:ascii="宋体" w:eastAsia="宋体" w:hAnsi="宋体" w:cs="宋体"/>
          <w:b/>
          <w:bCs/>
          <w:szCs w:val="21"/>
        </w:rPr>
      </w:pPr>
      <w:bookmarkStart w:id="428" w:name="_Toc989354"/>
      <w:r>
        <w:rPr>
          <w:rFonts w:ascii="宋体" w:eastAsia="宋体" w:hAnsi="宋体" w:cs="宋体"/>
          <w:b/>
          <w:bCs/>
          <w:szCs w:val="21"/>
        </w:rPr>
        <w:t>（1） 对子公司投资</w:t>
      </w:r>
      <w:bookmarkEnd w:id="428"/>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1242"/>
        <w:gridCol w:w="1560"/>
        <w:gridCol w:w="708"/>
        <w:gridCol w:w="1560"/>
        <w:gridCol w:w="708"/>
        <w:gridCol w:w="851"/>
        <w:gridCol w:w="567"/>
        <w:gridCol w:w="1701"/>
        <w:gridCol w:w="742"/>
      </w:tblGrid>
      <w:tr w:rsidR="00157EA0" w:rsidTr="00C75946">
        <w:trPr>
          <w:trHeight w:val="240"/>
        </w:trPr>
        <w:tc>
          <w:tcPr>
            <w:tcW w:w="124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被投资单位</w:t>
            </w:r>
          </w:p>
        </w:tc>
        <w:tc>
          <w:tcPr>
            <w:tcW w:w="156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期初余额（账面价值）</w:t>
            </w:r>
          </w:p>
        </w:tc>
        <w:tc>
          <w:tcPr>
            <w:tcW w:w="70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减值准备期初余额</w:t>
            </w:r>
          </w:p>
        </w:tc>
        <w:tc>
          <w:tcPr>
            <w:tcW w:w="3686"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本期增减变动</w:t>
            </w:r>
          </w:p>
        </w:tc>
        <w:tc>
          <w:tcPr>
            <w:tcW w:w="170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期末余额（账面价值）</w:t>
            </w:r>
          </w:p>
        </w:tc>
        <w:tc>
          <w:tcPr>
            <w:tcW w:w="74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减值准备期末余额</w:t>
            </w:r>
          </w:p>
        </w:tc>
      </w:tr>
      <w:tr w:rsidR="00157EA0" w:rsidTr="00C75946">
        <w:trPr>
          <w:trHeight w:val="240"/>
        </w:trPr>
        <w:tc>
          <w:tcPr>
            <w:tcW w:w="124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560"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708" w:type="dxa"/>
            <w:vMerge/>
            <w:tcBorders>
              <w:top w:val="single" w:sz="2" w:space="0" w:color="auto"/>
              <w:left w:val="single" w:sz="2" w:space="0" w:color="auto"/>
              <w:bottom w:val="single" w:sz="2" w:space="0" w:color="auto"/>
              <w:right w:val="single" w:sz="2" w:space="0" w:color="auto"/>
            </w:tcBorders>
            <w:vAlign w:val="center"/>
          </w:tcPr>
          <w:p w:rsidR="00BA0365" w:rsidRDefault="00BA0365"/>
        </w:tc>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追加投资</w:t>
            </w:r>
          </w:p>
        </w:tc>
        <w:tc>
          <w:tcPr>
            <w:tcW w:w="70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减少投资</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计提减值准备</w:t>
            </w:r>
          </w:p>
        </w:tc>
        <w:tc>
          <w:tcPr>
            <w:tcW w:w="567"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170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742"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r w:rsidR="00157EA0" w:rsidTr="00C75946">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软控机电</w:t>
            </w:r>
            <w:proofErr w:type="gramEnd"/>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2,917,148,618.17</w:t>
            </w:r>
          </w:p>
        </w:tc>
        <w:tc>
          <w:tcPr>
            <w:tcW w:w="70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27,205,281.99</w:t>
            </w:r>
          </w:p>
        </w:tc>
        <w:tc>
          <w:tcPr>
            <w:tcW w:w="70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2,944,353,900.16</w:t>
            </w:r>
          </w:p>
        </w:tc>
        <w:tc>
          <w:tcPr>
            <w:tcW w:w="74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rsidTr="00C75946">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计量检测</w:t>
            </w: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2,645,493.75</w:t>
            </w:r>
          </w:p>
        </w:tc>
        <w:tc>
          <w:tcPr>
            <w:tcW w:w="70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222,535.00</w:t>
            </w:r>
          </w:p>
        </w:tc>
        <w:tc>
          <w:tcPr>
            <w:tcW w:w="70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2,868,028.75</w:t>
            </w:r>
          </w:p>
        </w:tc>
        <w:tc>
          <w:tcPr>
            <w:tcW w:w="74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rsidTr="00C75946">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海</w:t>
            </w:r>
            <w:proofErr w:type="gramStart"/>
            <w:r>
              <w:rPr>
                <w:rFonts w:ascii="宋体" w:eastAsia="宋体" w:hAnsi="宋体" w:cs="宋体"/>
                <w:sz w:val="18"/>
                <w:szCs w:val="18"/>
              </w:rPr>
              <w:t>威物联</w:t>
            </w:r>
            <w:proofErr w:type="gramEnd"/>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8,131,116.65</w:t>
            </w:r>
          </w:p>
        </w:tc>
        <w:tc>
          <w:tcPr>
            <w:tcW w:w="70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593,426.66</w:t>
            </w:r>
          </w:p>
        </w:tc>
        <w:tc>
          <w:tcPr>
            <w:tcW w:w="70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8,724,543.31</w:t>
            </w:r>
          </w:p>
        </w:tc>
        <w:tc>
          <w:tcPr>
            <w:tcW w:w="74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rsidTr="00C75946">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海科科技</w:t>
            </w: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21,770,850.02</w:t>
            </w:r>
          </w:p>
        </w:tc>
        <w:tc>
          <w:tcPr>
            <w:tcW w:w="70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9,722,763.34</w:t>
            </w:r>
          </w:p>
        </w:tc>
        <w:tc>
          <w:tcPr>
            <w:tcW w:w="70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31,493,613.36</w:t>
            </w:r>
          </w:p>
        </w:tc>
        <w:tc>
          <w:tcPr>
            <w:tcW w:w="74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rsidTr="00C75946">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联合科技</w:t>
            </w: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61,517,064.15</w:t>
            </w:r>
          </w:p>
        </w:tc>
        <w:tc>
          <w:tcPr>
            <w:tcW w:w="70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101,640,780.66</w:t>
            </w:r>
          </w:p>
        </w:tc>
        <w:tc>
          <w:tcPr>
            <w:tcW w:w="70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163,157,844.81</w:t>
            </w:r>
          </w:p>
        </w:tc>
        <w:tc>
          <w:tcPr>
            <w:tcW w:w="74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rsidTr="00C75946">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科捷自动化</w:t>
            </w: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51,350,035.77</w:t>
            </w:r>
          </w:p>
        </w:tc>
        <w:tc>
          <w:tcPr>
            <w:tcW w:w="70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18,205,178.18</w:t>
            </w:r>
          </w:p>
        </w:tc>
        <w:tc>
          <w:tcPr>
            <w:tcW w:w="70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69,555,213.95</w:t>
            </w:r>
          </w:p>
        </w:tc>
        <w:tc>
          <w:tcPr>
            <w:tcW w:w="74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rsidTr="00C75946">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华控能源</w:t>
            </w:r>
            <w:proofErr w:type="gramEnd"/>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5,241,666.67</w:t>
            </w:r>
          </w:p>
        </w:tc>
        <w:tc>
          <w:tcPr>
            <w:tcW w:w="70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5,241,666.67</w:t>
            </w:r>
          </w:p>
        </w:tc>
        <w:tc>
          <w:tcPr>
            <w:tcW w:w="74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rsidTr="00C75946">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抚顺伊科思</w:t>
            </w: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347,323,291.65</w:t>
            </w:r>
          </w:p>
        </w:tc>
        <w:tc>
          <w:tcPr>
            <w:tcW w:w="70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1,483,566.66</w:t>
            </w:r>
          </w:p>
        </w:tc>
        <w:tc>
          <w:tcPr>
            <w:tcW w:w="70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348,806,858.31</w:t>
            </w:r>
          </w:p>
        </w:tc>
        <w:tc>
          <w:tcPr>
            <w:tcW w:w="74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rsidTr="00C75946">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益</w:t>
            </w:r>
            <w:proofErr w:type="gramStart"/>
            <w:r>
              <w:rPr>
                <w:rFonts w:ascii="宋体" w:eastAsia="宋体" w:hAnsi="宋体" w:cs="宋体"/>
                <w:sz w:val="18"/>
                <w:szCs w:val="18"/>
              </w:rPr>
              <w:t>凯</w:t>
            </w:r>
            <w:proofErr w:type="gramEnd"/>
            <w:r>
              <w:rPr>
                <w:rFonts w:ascii="宋体" w:eastAsia="宋体" w:hAnsi="宋体" w:cs="宋体"/>
                <w:sz w:val="18"/>
                <w:szCs w:val="18"/>
              </w:rPr>
              <w:t>新材料</w:t>
            </w: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417,623,449.57</w:t>
            </w:r>
          </w:p>
        </w:tc>
        <w:tc>
          <w:tcPr>
            <w:tcW w:w="70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7,135,955.66</w:t>
            </w:r>
          </w:p>
        </w:tc>
        <w:tc>
          <w:tcPr>
            <w:tcW w:w="70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424,759,405.23</w:t>
            </w:r>
          </w:p>
        </w:tc>
        <w:tc>
          <w:tcPr>
            <w:tcW w:w="74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rsidTr="00C75946">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软控欧研</w:t>
            </w:r>
            <w:proofErr w:type="gramEnd"/>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20,136,554.99</w:t>
            </w:r>
          </w:p>
        </w:tc>
        <w:tc>
          <w:tcPr>
            <w:tcW w:w="70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20,136,554.99</w:t>
            </w:r>
          </w:p>
        </w:tc>
        <w:tc>
          <w:tcPr>
            <w:tcW w:w="74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rsidTr="00C75946">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软控（美洲）</w:t>
            </w: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76,277,965.00</w:t>
            </w:r>
          </w:p>
        </w:tc>
        <w:tc>
          <w:tcPr>
            <w:tcW w:w="70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76,277,965.00</w:t>
            </w:r>
          </w:p>
        </w:tc>
        <w:tc>
          <w:tcPr>
            <w:tcW w:w="74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rsidTr="00C75946">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智能装备</w:t>
            </w: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30,000,000.00</w:t>
            </w:r>
          </w:p>
        </w:tc>
        <w:tc>
          <w:tcPr>
            <w:tcW w:w="70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30,000,000</w:t>
            </w:r>
            <w:r>
              <w:rPr>
                <w:rFonts w:ascii="宋体" w:eastAsia="宋体" w:hAnsi="宋体" w:cs="宋体"/>
                <w:sz w:val="18"/>
                <w:szCs w:val="18"/>
              </w:rPr>
              <w:lastRenderedPageBreak/>
              <w:t>.00</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rsidTr="00C75946">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lastRenderedPageBreak/>
              <w:t>优享供应</w:t>
            </w:r>
            <w:proofErr w:type="gramEnd"/>
            <w:r>
              <w:rPr>
                <w:rFonts w:ascii="宋体" w:eastAsia="宋体" w:hAnsi="宋体" w:cs="宋体"/>
                <w:sz w:val="18"/>
                <w:szCs w:val="18"/>
              </w:rPr>
              <w:t>链</w:t>
            </w: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82,329.15</w:t>
            </w:r>
          </w:p>
        </w:tc>
        <w:tc>
          <w:tcPr>
            <w:tcW w:w="70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603,355.41</w:t>
            </w:r>
          </w:p>
        </w:tc>
        <w:tc>
          <w:tcPr>
            <w:tcW w:w="70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685,684.56</w:t>
            </w:r>
          </w:p>
        </w:tc>
        <w:tc>
          <w:tcPr>
            <w:tcW w:w="74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rsidTr="00C75946">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软控科技</w:t>
            </w:r>
            <w:proofErr w:type="gramEnd"/>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12,137,689.35</w:t>
            </w:r>
          </w:p>
        </w:tc>
        <w:tc>
          <w:tcPr>
            <w:tcW w:w="70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1,483,566.66</w:t>
            </w:r>
          </w:p>
        </w:tc>
        <w:tc>
          <w:tcPr>
            <w:tcW w:w="70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13,621,256.01</w:t>
            </w:r>
          </w:p>
        </w:tc>
        <w:tc>
          <w:tcPr>
            <w:tcW w:w="74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rsidTr="00C75946">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盘锦伊科思</w:t>
            </w: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420,000,000.00</w:t>
            </w:r>
          </w:p>
        </w:tc>
        <w:tc>
          <w:tcPr>
            <w:tcW w:w="70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420,000,000.00</w:t>
            </w:r>
          </w:p>
        </w:tc>
        <w:tc>
          <w:tcPr>
            <w:tcW w:w="74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rsidTr="00C75946">
        <w:trPr>
          <w:trHeight w:val="240"/>
        </w:trPr>
        <w:tc>
          <w:tcPr>
            <w:tcW w:w="124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proofErr w:type="gramStart"/>
            <w:r>
              <w:rPr>
                <w:rFonts w:ascii="宋体" w:eastAsia="宋体" w:hAnsi="宋体" w:cs="宋体"/>
                <w:sz w:val="18"/>
                <w:szCs w:val="18"/>
              </w:rPr>
              <w:t>软控诸暨</w:t>
            </w:r>
            <w:proofErr w:type="gramEnd"/>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241,450,563.26</w:t>
            </w:r>
          </w:p>
        </w:tc>
        <w:tc>
          <w:tcPr>
            <w:tcW w:w="70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241,450,563.26</w:t>
            </w:r>
          </w:p>
        </w:tc>
        <w:tc>
          <w:tcPr>
            <w:tcW w:w="74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rsidTr="00C75946">
        <w:trPr>
          <w:trHeight w:val="240"/>
        </w:trPr>
        <w:tc>
          <w:tcPr>
            <w:tcW w:w="124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4,391,386,124.89</w:t>
            </w:r>
          </w:p>
        </w:tc>
        <w:tc>
          <w:tcPr>
            <w:tcW w:w="708"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409,746,973.48</w:t>
            </w:r>
          </w:p>
        </w:tc>
        <w:tc>
          <w:tcPr>
            <w:tcW w:w="70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30,000,000.00</w:t>
            </w:r>
          </w:p>
        </w:tc>
        <w:tc>
          <w:tcPr>
            <w:tcW w:w="85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567"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4,771,133,098.37</w:t>
            </w:r>
          </w:p>
        </w:tc>
        <w:tc>
          <w:tcPr>
            <w:tcW w:w="742"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bl>
    <w:p w:rsidR="00BA0365" w:rsidRDefault="008D4B2E">
      <w:pPr>
        <w:keepNext/>
        <w:keepLines/>
        <w:spacing w:before="300" w:after="300" w:line="280" w:lineRule="exact"/>
        <w:outlineLvl w:val="3"/>
        <w:rPr>
          <w:rFonts w:ascii="宋体" w:eastAsia="宋体" w:hAnsi="宋体" w:cs="宋体"/>
          <w:b/>
          <w:bCs/>
          <w:szCs w:val="21"/>
        </w:rPr>
      </w:pPr>
      <w:bookmarkStart w:id="429" w:name="_Toc989355"/>
      <w:r>
        <w:rPr>
          <w:rFonts w:ascii="宋体" w:eastAsia="宋体" w:hAnsi="宋体" w:cs="宋体"/>
          <w:b/>
          <w:bCs/>
          <w:szCs w:val="21"/>
        </w:rPr>
        <w:t>（2） 对联营、合营企业投资</w:t>
      </w:r>
      <w:bookmarkEnd w:id="429"/>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741"/>
        <w:gridCol w:w="741"/>
        <w:gridCol w:w="741"/>
        <w:gridCol w:w="741"/>
        <w:gridCol w:w="741"/>
        <w:gridCol w:w="741"/>
        <w:gridCol w:w="741"/>
        <w:gridCol w:w="741"/>
        <w:gridCol w:w="741"/>
        <w:gridCol w:w="741"/>
        <w:gridCol w:w="745"/>
        <w:gridCol w:w="741"/>
        <w:gridCol w:w="743"/>
      </w:tblGrid>
      <w:tr w:rsidR="00157EA0">
        <w:trPr>
          <w:trHeight w:val="240"/>
        </w:trPr>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被投资单位</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期初余额（账面价值）</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减值准备期初余额</w:t>
            </w:r>
          </w:p>
        </w:tc>
        <w:tc>
          <w:tcPr>
            <w:tcW w:w="5932"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本期增减变动</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期末余额（账面价值）</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减值准备期末余额</w:t>
            </w:r>
          </w:p>
        </w:tc>
      </w:tr>
      <w:tr w:rsidR="00157EA0">
        <w:trPr>
          <w:trHeight w:val="240"/>
        </w:trPr>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741" w:type="dxa"/>
            <w:vMerge/>
            <w:tcBorders>
              <w:top w:val="single" w:sz="2" w:space="0" w:color="auto"/>
              <w:left w:val="single" w:sz="2" w:space="0" w:color="auto"/>
              <w:bottom w:val="single" w:sz="2" w:space="0" w:color="auto"/>
              <w:right w:val="single" w:sz="2" w:space="0" w:color="auto"/>
            </w:tcBorders>
            <w:vAlign w:val="center"/>
          </w:tcPr>
          <w:p w:rsidR="00BA0365" w:rsidRDefault="00BA0365"/>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追加投资</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减少投资</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权益法下确认的投资损益</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其他综合收益调整</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其他权益变动</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宣告发放现金股利或利润</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计提减值准备</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其他</w:t>
            </w: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r>
      <w:tr w:rsidR="00157EA0">
        <w:trPr>
          <w:trHeight w:val="240"/>
        </w:trPr>
        <w:tc>
          <w:tcPr>
            <w:tcW w:w="9639"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一、合营企业</w:t>
            </w:r>
          </w:p>
        </w:tc>
      </w:tr>
      <w:tr w:rsidR="00157EA0">
        <w:trPr>
          <w:trHeight w:val="240"/>
        </w:trPr>
        <w:tc>
          <w:tcPr>
            <w:tcW w:w="9639"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二、联营企业</w:t>
            </w: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青岛青维科技发展有限公司</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9,903,310.89</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-163.19</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9,903,147.70</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青岛华商汇通控股有限公司</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63,767,708.45</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978,873.14</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64,746,581.59</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小计</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73,671,019.34</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978,709.95</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74,649,729.29</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73,671,019.34</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978,709.95</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74,649,729.29</w:t>
            </w:r>
          </w:p>
        </w:tc>
        <w:tc>
          <w:tcPr>
            <w:tcW w:w="741"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bl>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可收回金额按公允价值减去处置费用后的净额确定</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可收回金额按预计未来现金流量的现值确定</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keepNext/>
        <w:keepLines/>
        <w:spacing w:before="300" w:after="300" w:line="280" w:lineRule="exact"/>
        <w:outlineLvl w:val="3"/>
        <w:rPr>
          <w:rFonts w:ascii="宋体" w:eastAsia="宋体" w:hAnsi="宋体" w:cs="宋体"/>
          <w:b/>
          <w:bCs/>
          <w:szCs w:val="21"/>
        </w:rPr>
      </w:pPr>
      <w:bookmarkStart w:id="430" w:name="_Toc989356"/>
      <w:r>
        <w:rPr>
          <w:rFonts w:ascii="宋体" w:eastAsia="宋体" w:hAnsi="宋体" w:cs="宋体"/>
          <w:b/>
          <w:bCs/>
          <w:szCs w:val="21"/>
        </w:rPr>
        <w:t>（3） 其他说明</w:t>
      </w:r>
      <w:bookmarkEnd w:id="430"/>
    </w:p>
    <w:p w:rsidR="00BA0365" w:rsidRDefault="008D4B2E">
      <w:pPr>
        <w:pStyle w:val="3"/>
        <w:spacing w:line="280" w:lineRule="exact"/>
        <w:jc w:val="left"/>
        <w:rPr>
          <w:rFonts w:ascii="宋体" w:hAnsi="宋体" w:cs="宋体"/>
          <w:b/>
          <w:bCs/>
        </w:rPr>
      </w:pPr>
      <w:bookmarkStart w:id="431" w:name="_Toc989357"/>
      <w:r>
        <w:rPr>
          <w:rFonts w:ascii="宋体" w:hAnsi="宋体" w:cs="宋体"/>
          <w:b/>
          <w:bCs/>
        </w:rPr>
        <w:t>4、营业收入和营业成本</w:t>
      </w:r>
      <w:bookmarkEnd w:id="431"/>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1927"/>
        <w:gridCol w:w="1928"/>
        <w:gridCol w:w="1928"/>
        <w:gridCol w:w="1928"/>
        <w:gridCol w:w="1928"/>
      </w:tblGrid>
      <w:tr w:rsidR="00157EA0">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157EA0">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成本</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成本</w:t>
            </w:r>
          </w:p>
        </w:tc>
      </w:tr>
      <w:tr w:rsidR="00157EA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lastRenderedPageBreak/>
              <w:t>主营业务</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221,671,313.94</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15,913,333.25</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249,588,493.82</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61,806,270.11</w:t>
            </w:r>
          </w:p>
        </w:tc>
      </w:tr>
      <w:tr w:rsidR="00157EA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其他业务</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6,968,568.68</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2,519,683.15</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5,583,222.48</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429,964.98</w:t>
            </w:r>
          </w:p>
        </w:tc>
      </w:tr>
      <w:tr w:rsidR="00157EA0">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228,639,882.62</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18,433,016.40</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255,171,716.30</w:t>
            </w:r>
          </w:p>
        </w:tc>
        <w:tc>
          <w:tcPr>
            <w:tcW w:w="1928"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62,236,235.09</w:t>
            </w:r>
          </w:p>
        </w:tc>
      </w:tr>
    </w:tbl>
    <w:p w:rsidR="00BA0365" w:rsidRDefault="008D4B2E">
      <w:pPr>
        <w:pStyle w:val="3"/>
        <w:spacing w:line="280" w:lineRule="exact"/>
        <w:jc w:val="left"/>
        <w:rPr>
          <w:rFonts w:ascii="宋体" w:hAnsi="宋体" w:cs="宋体"/>
          <w:b/>
          <w:bCs/>
        </w:rPr>
      </w:pPr>
      <w:bookmarkStart w:id="432" w:name="_Toc989358"/>
      <w:r>
        <w:rPr>
          <w:rFonts w:ascii="宋体" w:hAnsi="宋体" w:cs="宋体"/>
          <w:b/>
          <w:bCs/>
        </w:rPr>
        <w:t>5、投资收益</w:t>
      </w:r>
      <w:bookmarkEnd w:id="432"/>
    </w:p>
    <w:p w:rsidR="00BA0365" w:rsidRDefault="008D4B2E">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3213"/>
        <w:gridCol w:w="3213"/>
        <w:gridCol w:w="3213"/>
      </w:tblGrid>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上期发生额</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权益法核算的长期股权投资收益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978,709.95</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1,036,754.42</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处置长期股权投资产生的投资收益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21,000,000.00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处置交易性金融资产取得的投资收益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-9,712,107.65</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其他权益工具投资在持有期间取得的股利收入</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13,100,000.00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9,757,669.41</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债权投资在持有期间取得的利息收入</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7,696,222.33</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8,114,454.12</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理财收益</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5,169,336.30</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3,043,833.72</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债务重组损益</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-1,036,036.96</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子公司宣告分红取得的投资收益</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1,530,000.00</w:t>
            </w:r>
          </w:p>
        </w:tc>
      </w:tr>
      <w:tr w:rsidR="00157EA0">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38,232,160.93</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22,446,674.71</w:t>
            </w:r>
          </w:p>
        </w:tc>
      </w:tr>
    </w:tbl>
    <w:p w:rsidR="00BA0365" w:rsidRDefault="008D4B2E">
      <w:pPr>
        <w:pStyle w:val="2"/>
        <w:spacing w:before="300" w:after="300" w:line="320" w:lineRule="exact"/>
        <w:rPr>
          <w:rFonts w:ascii="宋体" w:eastAsia="宋体" w:hAnsi="宋体" w:cs="宋体"/>
          <w:b/>
          <w:bCs/>
          <w:sz w:val="24"/>
          <w:szCs w:val="24"/>
        </w:rPr>
      </w:pPr>
      <w:bookmarkStart w:id="433" w:name="_Toc989360"/>
      <w:r>
        <w:rPr>
          <w:rFonts w:ascii="宋体" w:eastAsia="宋体" w:hAnsi="宋体" w:cs="宋体"/>
          <w:b/>
          <w:bCs/>
          <w:sz w:val="24"/>
          <w:szCs w:val="24"/>
        </w:rPr>
        <w:t>二十、补充资料</w:t>
      </w:r>
      <w:bookmarkEnd w:id="433"/>
    </w:p>
    <w:p w:rsidR="00BA0365" w:rsidRDefault="008D4B2E">
      <w:pPr>
        <w:pStyle w:val="3"/>
        <w:spacing w:line="280" w:lineRule="exact"/>
        <w:jc w:val="left"/>
        <w:rPr>
          <w:rFonts w:ascii="宋体" w:hAnsi="宋体" w:cs="宋体"/>
          <w:b/>
          <w:bCs/>
        </w:rPr>
      </w:pPr>
      <w:bookmarkStart w:id="434" w:name="_Toc989361"/>
      <w:r>
        <w:rPr>
          <w:rFonts w:ascii="宋体" w:hAnsi="宋体" w:cs="宋体"/>
          <w:b/>
          <w:bCs/>
        </w:rPr>
        <w:t>1、当期非经常性损益明细表</w:t>
      </w:r>
      <w:bookmarkEnd w:id="434"/>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rsidR="00BA0365" w:rsidRDefault="008D4B2E">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Layout w:type="fixed"/>
        <w:tblLook w:val="04A0" w:firstRow="1" w:lastRow="0" w:firstColumn="1" w:lastColumn="0" w:noHBand="0" w:noVBand="1"/>
      </w:tblPr>
      <w:tblGrid>
        <w:gridCol w:w="4644"/>
        <w:gridCol w:w="1782"/>
        <w:gridCol w:w="3213"/>
      </w:tblGrid>
      <w:tr w:rsidR="00157EA0" w:rsidTr="00C75946">
        <w:trPr>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1782"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金额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说明</w:t>
            </w:r>
          </w:p>
        </w:tc>
      </w:tr>
      <w:tr w:rsidR="00157EA0" w:rsidTr="00C75946">
        <w:trPr>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非流动性资产处置损益</w:t>
            </w:r>
          </w:p>
        </w:tc>
        <w:tc>
          <w:tcPr>
            <w:tcW w:w="178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1,439,983.31</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r>
      <w:tr w:rsidR="00157EA0" w:rsidTr="00C75946">
        <w:trPr>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计入当期损益的政府补助（与公司正常经营业务密切相关，符合国家政策规定、按照确定的标准享有、对公司损益产生持续影响的政府补助除外）</w:t>
            </w:r>
          </w:p>
        </w:tc>
        <w:tc>
          <w:tcPr>
            <w:tcW w:w="178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32,553,445.69</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r>
      <w:tr w:rsidR="00157EA0" w:rsidTr="00C75946">
        <w:trPr>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除同公司正常经营业务相关的有效套期保值业务外，非金融企业持有金融资产和金融负债产生的公允价值变动损益以及处置金融资产和金融负债产生的损益</w:t>
            </w:r>
          </w:p>
        </w:tc>
        <w:tc>
          <w:tcPr>
            <w:tcW w:w="178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-9,712,107.65</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主要为本年度持有基金清算所致</w:t>
            </w:r>
          </w:p>
        </w:tc>
      </w:tr>
      <w:tr w:rsidR="00157EA0" w:rsidTr="00C75946">
        <w:trPr>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委托他人投资或管理资产的损益</w:t>
            </w:r>
          </w:p>
        </w:tc>
        <w:tc>
          <w:tcPr>
            <w:tcW w:w="178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51,322,270.12</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本期变动主要是由于理财收益增多所致</w:t>
            </w:r>
          </w:p>
        </w:tc>
      </w:tr>
      <w:tr w:rsidR="00157EA0" w:rsidTr="00C75946">
        <w:trPr>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单独进行减值测试的应收款项减值准备转回</w:t>
            </w:r>
          </w:p>
        </w:tc>
        <w:tc>
          <w:tcPr>
            <w:tcW w:w="178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10,638,414.26</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本期变动主要是由于收回前期单项计提应收账款所致</w:t>
            </w:r>
          </w:p>
        </w:tc>
      </w:tr>
      <w:tr w:rsidR="00157EA0" w:rsidTr="00C75946">
        <w:trPr>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债务重组损益</w:t>
            </w:r>
          </w:p>
        </w:tc>
        <w:tc>
          <w:tcPr>
            <w:tcW w:w="178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1,589,274.07</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rPr>
                <w:rFonts w:ascii="宋体" w:eastAsia="宋体" w:hAnsi="宋体" w:cs="宋体"/>
                <w:sz w:val="18"/>
                <w:szCs w:val="18"/>
              </w:rPr>
            </w:pPr>
            <w:r>
              <w:rPr>
                <w:rFonts w:ascii="宋体" w:eastAsia="宋体" w:hAnsi="宋体" w:cs="宋体"/>
                <w:sz w:val="18"/>
                <w:szCs w:val="18"/>
              </w:rPr>
              <w:t>本期变动主要是由于与客户进行的债权债务重组行为较少所致</w:t>
            </w:r>
          </w:p>
        </w:tc>
      </w:tr>
      <w:tr w:rsidR="00157EA0" w:rsidTr="00C75946">
        <w:trPr>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除上述各项之外的其他营业外收入和支出</w:t>
            </w:r>
          </w:p>
        </w:tc>
        <w:tc>
          <w:tcPr>
            <w:tcW w:w="178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-89,289.14</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r>
      <w:tr w:rsidR="00157EA0" w:rsidTr="00C75946">
        <w:trPr>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减：所得税影响额</w:t>
            </w:r>
          </w:p>
        </w:tc>
        <w:tc>
          <w:tcPr>
            <w:tcW w:w="178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13,706,420.35</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r>
      <w:tr w:rsidR="00157EA0" w:rsidTr="00C75946">
        <w:trPr>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ind w:firstLineChars="200" w:firstLine="360"/>
              <w:rPr>
                <w:rFonts w:ascii="宋体" w:eastAsia="宋体" w:hAnsi="宋体" w:cs="宋体"/>
                <w:sz w:val="18"/>
                <w:szCs w:val="18"/>
              </w:rPr>
            </w:pPr>
            <w:r>
              <w:rPr>
                <w:rFonts w:ascii="宋体" w:eastAsia="宋体" w:hAnsi="宋体" w:cs="宋体"/>
                <w:sz w:val="18"/>
                <w:szCs w:val="18"/>
              </w:rPr>
              <w:t>少数股东权益影响额（税后）</w:t>
            </w:r>
          </w:p>
        </w:tc>
        <w:tc>
          <w:tcPr>
            <w:tcW w:w="178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3,597,318.58</w:t>
            </w:r>
          </w:p>
        </w:tc>
        <w:tc>
          <w:tcPr>
            <w:tcW w:w="3213" w:type="dxa"/>
            <w:tcBorders>
              <w:top w:val="single" w:sz="2" w:space="0" w:color="auto"/>
              <w:left w:val="single" w:sz="2" w:space="0" w:color="auto"/>
              <w:bottom w:val="single" w:sz="2" w:space="0" w:color="auto"/>
              <w:right w:val="single" w:sz="2" w:space="0" w:color="auto"/>
            </w:tcBorders>
            <w:vAlign w:val="center"/>
          </w:tcPr>
          <w:p w:rsidR="00BA0365" w:rsidRDefault="00BA0365">
            <w:pPr>
              <w:spacing w:line="240" w:lineRule="exact"/>
              <w:rPr>
                <w:rFonts w:ascii="宋体" w:eastAsia="宋体" w:hAnsi="宋体" w:cs="宋体"/>
                <w:sz w:val="18"/>
                <w:szCs w:val="18"/>
              </w:rPr>
            </w:pPr>
          </w:p>
        </w:tc>
      </w:tr>
      <w:tr w:rsidR="00157EA0" w:rsidTr="00C75946">
        <w:trPr>
          <w:trHeight w:val="240"/>
        </w:trPr>
        <w:tc>
          <w:tcPr>
            <w:tcW w:w="4644"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合计</w:t>
            </w:r>
          </w:p>
        </w:tc>
        <w:tc>
          <w:tcPr>
            <w:tcW w:w="1782"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70,438,251.73</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w:t>
            </w:r>
          </w:p>
        </w:tc>
      </w:tr>
    </w:tbl>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其他符合非经常性损益定义的损益项目的具体情况：</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公司不存在其他符合非经常性损益定义的损益项目的具体情况。</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lastRenderedPageBreak/>
        <w:t>将《公开发行证券的公司信息披露解释性公告第1号——非经常性损益》中列举的非经常性损益项目界定为经常性损益项目的情况说明</w:t>
      </w:r>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pStyle w:val="3"/>
        <w:spacing w:line="280" w:lineRule="exact"/>
        <w:jc w:val="left"/>
        <w:rPr>
          <w:rFonts w:ascii="宋体" w:hAnsi="宋体" w:cs="宋体"/>
          <w:b/>
          <w:bCs/>
        </w:rPr>
      </w:pPr>
      <w:bookmarkStart w:id="435" w:name="_Toc989362"/>
      <w:r>
        <w:rPr>
          <w:rFonts w:ascii="宋体" w:hAnsi="宋体" w:cs="宋体"/>
          <w:b/>
          <w:bCs/>
        </w:rPr>
        <w:t>2、净资产收益率及每股收益</w:t>
      </w:r>
      <w:bookmarkEnd w:id="435"/>
    </w:p>
    <w:tbl>
      <w:tblPr>
        <w:tblW w:w="9639" w:type="dxa"/>
        <w:tblLayout w:type="fixed"/>
        <w:tblLook w:val="04A0" w:firstRow="1" w:lastRow="0" w:firstColumn="1" w:lastColumn="0" w:noHBand="0" w:noVBand="1"/>
      </w:tblPr>
      <w:tblGrid>
        <w:gridCol w:w="3085"/>
        <w:gridCol w:w="1734"/>
        <w:gridCol w:w="2410"/>
        <w:gridCol w:w="2410"/>
      </w:tblGrid>
      <w:tr w:rsidR="00157EA0" w:rsidTr="00C75946">
        <w:trPr>
          <w:trHeight w:val="240"/>
        </w:trPr>
        <w:tc>
          <w:tcPr>
            <w:tcW w:w="308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报告期利润</w:t>
            </w:r>
          </w:p>
        </w:tc>
        <w:tc>
          <w:tcPr>
            <w:tcW w:w="17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加权平均净资产收益率</w:t>
            </w:r>
          </w:p>
        </w:tc>
        <w:tc>
          <w:tcPr>
            <w:tcW w:w="482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每股收益</w:t>
            </w:r>
          </w:p>
        </w:tc>
      </w:tr>
      <w:tr w:rsidR="00157EA0" w:rsidTr="00C75946">
        <w:trPr>
          <w:trHeight w:val="240"/>
        </w:trPr>
        <w:tc>
          <w:tcPr>
            <w:tcW w:w="3085"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1734" w:type="dxa"/>
            <w:vMerge/>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BA0365"/>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基本每股收益（元/股）</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jc w:val="center"/>
              <w:rPr>
                <w:rFonts w:ascii="宋体" w:eastAsia="宋体" w:hAnsi="宋体" w:cs="宋体"/>
                <w:sz w:val="18"/>
                <w:szCs w:val="18"/>
              </w:rPr>
            </w:pPr>
            <w:r>
              <w:rPr>
                <w:rFonts w:ascii="宋体" w:eastAsia="宋体" w:hAnsi="宋体" w:cs="宋体"/>
                <w:sz w:val="18"/>
                <w:szCs w:val="18"/>
              </w:rPr>
              <w:t>稀释每股收益（元/股）</w:t>
            </w:r>
          </w:p>
        </w:tc>
      </w:tr>
      <w:tr w:rsidR="00157EA0" w:rsidTr="00C75946">
        <w:trPr>
          <w:trHeight w:val="240"/>
        </w:trPr>
        <w:tc>
          <w:tcPr>
            <w:tcW w:w="308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归属于公司普通股股东的净利润</w:t>
            </w:r>
          </w:p>
        </w:tc>
        <w:tc>
          <w:tcPr>
            <w:tcW w:w="17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6.63%</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0.3486</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0.3552</w:t>
            </w:r>
          </w:p>
        </w:tc>
      </w:tr>
      <w:tr w:rsidR="00157EA0" w:rsidTr="00C75946">
        <w:trPr>
          <w:trHeight w:val="240"/>
        </w:trPr>
        <w:tc>
          <w:tcPr>
            <w:tcW w:w="3085" w:type="dxa"/>
            <w:tcBorders>
              <w:top w:val="single" w:sz="2" w:space="0" w:color="auto"/>
              <w:left w:val="single" w:sz="2" w:space="0" w:color="auto"/>
              <w:bottom w:val="single" w:sz="2" w:space="0" w:color="auto"/>
              <w:right w:val="single" w:sz="2" w:space="0" w:color="auto"/>
            </w:tcBorders>
            <w:shd w:val="clear" w:color="auto" w:fill="D3D3D3"/>
            <w:vAlign w:val="center"/>
          </w:tcPr>
          <w:p w:rsidR="00BA0365" w:rsidRDefault="008D4B2E">
            <w:pPr>
              <w:spacing w:before="40" w:after="40" w:line="240" w:lineRule="exact"/>
              <w:rPr>
                <w:rFonts w:ascii="宋体" w:eastAsia="宋体" w:hAnsi="宋体" w:cs="宋体"/>
                <w:sz w:val="18"/>
                <w:szCs w:val="18"/>
              </w:rPr>
            </w:pPr>
            <w:r>
              <w:rPr>
                <w:rFonts w:ascii="宋体" w:eastAsia="宋体" w:hAnsi="宋体" w:cs="宋体"/>
                <w:sz w:val="18"/>
                <w:szCs w:val="18"/>
              </w:rPr>
              <w:t>扣除非经常性损益后归属于公司普通股股东的净利润</w:t>
            </w:r>
          </w:p>
        </w:tc>
        <w:tc>
          <w:tcPr>
            <w:tcW w:w="1734"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5.23%</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0.2748</w:t>
            </w:r>
          </w:p>
        </w:tc>
        <w:tc>
          <w:tcPr>
            <w:tcW w:w="2410" w:type="dxa"/>
            <w:tcBorders>
              <w:top w:val="single" w:sz="2" w:space="0" w:color="auto"/>
              <w:left w:val="single" w:sz="2" w:space="0" w:color="auto"/>
              <w:bottom w:val="single" w:sz="2" w:space="0" w:color="auto"/>
              <w:right w:val="single" w:sz="2" w:space="0" w:color="auto"/>
            </w:tcBorders>
            <w:vAlign w:val="center"/>
          </w:tcPr>
          <w:p w:rsidR="00BA0365" w:rsidRDefault="008D4B2E">
            <w:pPr>
              <w:spacing w:line="240" w:lineRule="exact"/>
              <w:jc w:val="right"/>
              <w:rPr>
                <w:rFonts w:ascii="宋体" w:eastAsia="宋体" w:hAnsi="宋体" w:cs="宋体"/>
                <w:sz w:val="18"/>
                <w:szCs w:val="18"/>
              </w:rPr>
            </w:pPr>
            <w:r>
              <w:rPr>
                <w:rFonts w:ascii="宋体" w:eastAsia="宋体" w:hAnsi="宋体" w:cs="宋体"/>
                <w:sz w:val="18"/>
                <w:szCs w:val="18"/>
              </w:rPr>
              <w:t>0.2801</w:t>
            </w:r>
          </w:p>
        </w:tc>
      </w:tr>
    </w:tbl>
    <w:p w:rsidR="00BA0365" w:rsidRDefault="008D4B2E">
      <w:pPr>
        <w:pStyle w:val="3"/>
        <w:spacing w:line="280" w:lineRule="exact"/>
        <w:jc w:val="left"/>
        <w:rPr>
          <w:rFonts w:ascii="宋体" w:hAnsi="宋体" w:cs="宋体"/>
          <w:b/>
          <w:bCs/>
        </w:rPr>
      </w:pPr>
      <w:bookmarkStart w:id="436" w:name="_Toc989363"/>
      <w:r>
        <w:rPr>
          <w:rFonts w:ascii="宋体" w:hAnsi="宋体" w:cs="宋体"/>
          <w:b/>
          <w:bCs/>
        </w:rPr>
        <w:t>3、境内外会计准则下会计数据差异</w:t>
      </w:r>
      <w:bookmarkEnd w:id="436"/>
    </w:p>
    <w:p w:rsidR="00BA0365" w:rsidRDefault="008D4B2E">
      <w:pPr>
        <w:keepNext/>
        <w:keepLines/>
        <w:spacing w:before="300" w:after="300" w:line="280" w:lineRule="exact"/>
        <w:outlineLvl w:val="3"/>
        <w:rPr>
          <w:rFonts w:ascii="宋体" w:eastAsia="宋体" w:hAnsi="宋体" w:cs="宋体"/>
          <w:b/>
          <w:bCs/>
          <w:szCs w:val="21"/>
        </w:rPr>
      </w:pPr>
      <w:bookmarkStart w:id="437" w:name="_Toc989364"/>
      <w:r>
        <w:rPr>
          <w:rFonts w:ascii="宋体" w:eastAsia="宋体" w:hAnsi="宋体" w:cs="宋体"/>
          <w:b/>
          <w:bCs/>
          <w:szCs w:val="21"/>
        </w:rPr>
        <w:t>（1） 同时按照国际会计准则与按中国会计准则披露的财务</w:t>
      </w:r>
      <w:proofErr w:type="gramStart"/>
      <w:r>
        <w:rPr>
          <w:rFonts w:ascii="宋体" w:eastAsia="宋体" w:hAnsi="宋体" w:cs="宋体"/>
          <w:b/>
          <w:bCs/>
          <w:szCs w:val="21"/>
        </w:rPr>
        <w:t>报告中净利润</w:t>
      </w:r>
      <w:proofErr w:type="gramEnd"/>
      <w:r>
        <w:rPr>
          <w:rFonts w:ascii="宋体" w:eastAsia="宋体" w:hAnsi="宋体" w:cs="宋体"/>
          <w:b/>
          <w:bCs/>
          <w:szCs w:val="21"/>
        </w:rPr>
        <w:t>和净资产差异情况</w:t>
      </w:r>
      <w:bookmarkEnd w:id="437"/>
    </w:p>
    <w:p w:rsidR="00BA0365" w:rsidRDefault="008D4B2E">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keepNext/>
        <w:keepLines/>
        <w:spacing w:before="300" w:after="300" w:line="280" w:lineRule="exact"/>
        <w:outlineLvl w:val="3"/>
        <w:rPr>
          <w:rFonts w:ascii="宋体" w:eastAsia="宋体" w:hAnsi="宋体" w:cs="宋体"/>
          <w:b/>
          <w:bCs/>
          <w:szCs w:val="21"/>
        </w:rPr>
      </w:pPr>
      <w:bookmarkStart w:id="438" w:name="_Toc989365"/>
      <w:r>
        <w:rPr>
          <w:rFonts w:ascii="宋体" w:eastAsia="宋体" w:hAnsi="宋体" w:cs="宋体"/>
          <w:b/>
          <w:bCs/>
          <w:szCs w:val="21"/>
        </w:rPr>
        <w:t>（2） 同时按照境外会计准则与按中国会计准则披露的财务</w:t>
      </w:r>
      <w:proofErr w:type="gramStart"/>
      <w:r>
        <w:rPr>
          <w:rFonts w:ascii="宋体" w:eastAsia="宋体" w:hAnsi="宋体" w:cs="宋体"/>
          <w:b/>
          <w:bCs/>
          <w:szCs w:val="21"/>
        </w:rPr>
        <w:t>报告中净利润</w:t>
      </w:r>
      <w:proofErr w:type="gramEnd"/>
      <w:r>
        <w:rPr>
          <w:rFonts w:ascii="宋体" w:eastAsia="宋体" w:hAnsi="宋体" w:cs="宋体"/>
          <w:b/>
          <w:bCs/>
          <w:szCs w:val="21"/>
        </w:rPr>
        <w:t>和净资产差异情况</w:t>
      </w:r>
      <w:bookmarkEnd w:id="438"/>
    </w:p>
    <w:p w:rsidR="00BA0365" w:rsidRDefault="008D4B2E">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rsidR="00BA0365" w:rsidRDefault="008D4B2E">
      <w:pPr>
        <w:keepNext/>
        <w:keepLines/>
        <w:spacing w:before="300" w:after="300" w:line="280" w:lineRule="exact"/>
        <w:outlineLvl w:val="3"/>
        <w:rPr>
          <w:rFonts w:ascii="宋体" w:eastAsia="宋体" w:hAnsi="宋体" w:cs="宋体"/>
          <w:b/>
          <w:bCs/>
          <w:szCs w:val="21"/>
        </w:rPr>
      </w:pPr>
      <w:bookmarkStart w:id="439" w:name="_Toc989366"/>
      <w:r>
        <w:rPr>
          <w:rFonts w:ascii="宋体" w:eastAsia="宋体" w:hAnsi="宋体" w:cs="宋体"/>
          <w:b/>
          <w:bCs/>
          <w:szCs w:val="21"/>
        </w:rPr>
        <w:t>（3） 境内外会计准则下会计数据差异原因说明，对已经境外审计机构审计的数据进行差异调节的，应注明该境外机构的名称</w:t>
      </w:r>
      <w:bookmarkEnd w:id="439"/>
    </w:p>
    <w:p w:rsidR="00BA0365" w:rsidRDefault="00BA0365">
      <w:pPr>
        <w:pStyle w:val="3"/>
        <w:spacing w:line="280" w:lineRule="exact"/>
        <w:jc w:val="left"/>
        <w:rPr>
          <w:rFonts w:ascii="宋体" w:hAnsi="宋体" w:cs="宋体"/>
          <w:b/>
          <w:bCs/>
        </w:rPr>
      </w:pPr>
    </w:p>
    <w:p w:rsidR="00C75946" w:rsidRDefault="00C75946" w:rsidP="00C75946"/>
    <w:p w:rsidR="00C75946" w:rsidRDefault="00C75946" w:rsidP="00C75946"/>
    <w:p w:rsidR="00C75946" w:rsidRDefault="00C75946" w:rsidP="00C75946"/>
    <w:p w:rsidR="00C75946" w:rsidRDefault="00C75946" w:rsidP="00C75946"/>
    <w:p w:rsidR="00C75946" w:rsidRDefault="00C75946" w:rsidP="00C75946"/>
    <w:p w:rsidR="00C75946" w:rsidRDefault="00C75946" w:rsidP="00C75946"/>
    <w:p w:rsidR="00C75946" w:rsidRDefault="00C75946" w:rsidP="00C75946"/>
    <w:p w:rsidR="00C75946" w:rsidRDefault="00C75946" w:rsidP="00C75946">
      <w:r>
        <w:rPr>
          <w:rFonts w:hint="eastAsia"/>
        </w:rPr>
        <w:t xml:space="preserve"> </w:t>
      </w:r>
      <w:r>
        <w:t xml:space="preserve">                                                                                                                                </w:t>
      </w:r>
    </w:p>
    <w:p w:rsidR="00C75946" w:rsidRDefault="00C75946" w:rsidP="00C75946">
      <w:pPr>
        <w:ind w:firstLineChars="2900" w:firstLine="6090"/>
      </w:pPr>
      <w:r>
        <w:t xml:space="preserve"> </w:t>
      </w:r>
      <w:proofErr w:type="gramStart"/>
      <w:r>
        <w:t>软控股份有限公司</w:t>
      </w:r>
      <w:proofErr w:type="gramEnd"/>
    </w:p>
    <w:p w:rsidR="00C75946" w:rsidRDefault="00C75946" w:rsidP="00C75946">
      <w:r>
        <w:rPr>
          <w:rFonts w:hint="eastAsia"/>
        </w:rPr>
        <w:t xml:space="preserve"> </w:t>
      </w:r>
      <w:r>
        <w:t xml:space="preserve">                                                                                                                                         </w:t>
      </w:r>
      <w:r>
        <w:t>董事会</w:t>
      </w:r>
    </w:p>
    <w:p w:rsidR="00C75946" w:rsidRPr="00C75946" w:rsidRDefault="00C75946" w:rsidP="00C75946">
      <w:r>
        <w:rPr>
          <w:rFonts w:hint="eastAsia"/>
        </w:rPr>
        <w:t xml:space="preserve"> </w:t>
      </w:r>
      <w:r>
        <w:t xml:space="preserve">                                                                                                                                   2024</w:t>
      </w:r>
      <w:r>
        <w:t>年</w:t>
      </w:r>
      <w:r>
        <w:rPr>
          <w:rFonts w:hint="eastAsia"/>
        </w:rPr>
        <w:t>4</w:t>
      </w:r>
      <w:r>
        <w:rPr>
          <w:rFonts w:hint="eastAsia"/>
        </w:rPr>
        <w:t>月</w:t>
      </w:r>
      <w:r>
        <w:t>3</w:t>
      </w:r>
      <w:r>
        <w:t>日</w:t>
      </w:r>
    </w:p>
    <w:sectPr w:rsidR="00C75946" w:rsidRPr="00C75946">
      <w:headerReference w:type="default" r:id="rId16"/>
      <w:footerReference w:type="default" r:id="rId17"/>
      <w:pgSz w:w="11905" w:h="16840"/>
      <w:pgMar w:top="1440" w:right="1134" w:bottom="1440" w:left="1134" w:header="850"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81D" w:rsidRDefault="0062781D">
      <w:r>
        <w:separator/>
      </w:r>
    </w:p>
  </w:endnote>
  <w:endnote w:type="continuationSeparator" w:id="0">
    <w:p w:rsidR="0062781D" w:rsidRDefault="00627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8D0" w:rsidRDefault="007E18D0">
    <w:pPr>
      <w:pStyle w:val="fotter1"/>
    </w:pPr>
    <w:r>
      <w:fldChar w:fldCharType="begin"/>
    </w:r>
    <w:r>
      <w:instrText>PAGE   \* MERGEFORMAT</w:instrText>
    </w:r>
    <w:r>
      <w:fldChar w:fldCharType="separate"/>
    </w:r>
    <w:r w:rsidR="005D4E78">
      <w:rPr>
        <w:noProof/>
      </w:rPr>
      <w:t>176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81D" w:rsidRDefault="0062781D">
      <w:r>
        <w:separator/>
      </w:r>
    </w:p>
  </w:footnote>
  <w:footnote w:type="continuationSeparator" w:id="0">
    <w:p w:rsidR="0062781D" w:rsidRDefault="006278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8D0" w:rsidRDefault="007E18D0">
    <w:pPr>
      <w:pStyle w:val="Header1"/>
      <w:pBdr>
        <w:bottom w:val="single" w:sz="6" w:space="1" w:color="auto"/>
      </w:pBdr>
    </w:pPr>
    <w:proofErr w:type="gramStart"/>
    <w:r>
      <w:t>软控股份有限公司</w:t>
    </w:r>
    <w:proofErr w:type="gramEnd"/>
    <w:r>
      <w:t>2023年年度报告全文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20EEE"/>
    <w:multiLevelType w:val="multilevel"/>
    <w:tmpl w:val="9CB097DE"/>
    <w:lvl w:ilvl="0">
      <w:start w:val="3"/>
      <w:numFmt w:val="decimal"/>
      <w:lvlText w:val="%1."/>
      <w:lvlJc w:val="left"/>
      <w:pPr>
        <w:tabs>
          <w:tab w:val="num" w:pos="720"/>
        </w:tabs>
        <w:ind w:left="720" w:hanging="360"/>
      </w:pPr>
    </w:lvl>
    <w:lvl w:ilvl="1">
      <w:start w:val="1"/>
      <w:numFmt w:val="decimalEnclosedCircle"/>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DC7EE5"/>
    <w:multiLevelType w:val="multilevel"/>
    <w:tmpl w:val="D8B648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691774"/>
    <w:multiLevelType w:val="multilevel"/>
    <w:tmpl w:val="01427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A42E17"/>
    <w:multiLevelType w:val="multilevel"/>
    <w:tmpl w:val="B3E87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B33E7A"/>
    <w:multiLevelType w:val="multilevel"/>
    <w:tmpl w:val="16EEF4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0417998"/>
    <w:multiLevelType w:val="multilevel"/>
    <w:tmpl w:val="3ED60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4B6102"/>
    <w:multiLevelType w:val="multilevel"/>
    <w:tmpl w:val="CF1E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847F45"/>
    <w:multiLevelType w:val="multilevel"/>
    <w:tmpl w:val="A98A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A8322B"/>
    <w:multiLevelType w:val="multilevel"/>
    <w:tmpl w:val="A0E2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E7579E"/>
    <w:multiLevelType w:val="multilevel"/>
    <w:tmpl w:val="319A5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7"/>
  </w:num>
  <w:num w:numId="4">
    <w:abstractNumId w:val="6"/>
  </w:num>
  <w:num w:numId="5">
    <w:abstractNumId w:val="9"/>
  </w:num>
  <w:num w:numId="6">
    <w:abstractNumId w:val="5"/>
  </w:num>
  <w:num w:numId="7">
    <w:abstractNumId w:val="3"/>
  </w:num>
  <w:num w:numId="8">
    <w:abstractNumId w:val="4"/>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hideSpellingErrors/>
  <w:proofState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365"/>
    <w:rsid w:val="00021783"/>
    <w:rsid w:val="00077EE9"/>
    <w:rsid w:val="000C2E93"/>
    <w:rsid w:val="00102670"/>
    <w:rsid w:val="0010486D"/>
    <w:rsid w:val="001112C2"/>
    <w:rsid w:val="001273CA"/>
    <w:rsid w:val="00130B7D"/>
    <w:rsid w:val="001505AE"/>
    <w:rsid w:val="00152E2B"/>
    <w:rsid w:val="001542D9"/>
    <w:rsid w:val="00157EA0"/>
    <w:rsid w:val="00212B93"/>
    <w:rsid w:val="00220C19"/>
    <w:rsid w:val="00280776"/>
    <w:rsid w:val="002A37F5"/>
    <w:rsid w:val="002B59B9"/>
    <w:rsid w:val="00362F1D"/>
    <w:rsid w:val="0040791A"/>
    <w:rsid w:val="0043204A"/>
    <w:rsid w:val="004A6F9D"/>
    <w:rsid w:val="004E2BEA"/>
    <w:rsid w:val="004E6C26"/>
    <w:rsid w:val="005018F6"/>
    <w:rsid w:val="00570C59"/>
    <w:rsid w:val="00595F61"/>
    <w:rsid w:val="005D4E78"/>
    <w:rsid w:val="00606927"/>
    <w:rsid w:val="00614723"/>
    <w:rsid w:val="00614C8D"/>
    <w:rsid w:val="0062781D"/>
    <w:rsid w:val="00661040"/>
    <w:rsid w:val="00673BAF"/>
    <w:rsid w:val="006C5451"/>
    <w:rsid w:val="007370FD"/>
    <w:rsid w:val="00773D06"/>
    <w:rsid w:val="007E0ED4"/>
    <w:rsid w:val="007E18D0"/>
    <w:rsid w:val="00825C41"/>
    <w:rsid w:val="00832133"/>
    <w:rsid w:val="008D4B2E"/>
    <w:rsid w:val="00984200"/>
    <w:rsid w:val="0099421A"/>
    <w:rsid w:val="009B6868"/>
    <w:rsid w:val="00A30B4A"/>
    <w:rsid w:val="00AA53DA"/>
    <w:rsid w:val="00AF7E7B"/>
    <w:rsid w:val="00B2020C"/>
    <w:rsid w:val="00B818D2"/>
    <w:rsid w:val="00B87081"/>
    <w:rsid w:val="00BA0365"/>
    <w:rsid w:val="00BB1593"/>
    <w:rsid w:val="00BD66E6"/>
    <w:rsid w:val="00C067EE"/>
    <w:rsid w:val="00C75946"/>
    <w:rsid w:val="00CC1088"/>
    <w:rsid w:val="00D94CE8"/>
    <w:rsid w:val="00DF1985"/>
    <w:rsid w:val="00E35018"/>
    <w:rsid w:val="00EC2B99"/>
    <w:rsid w:val="00F20D92"/>
    <w:rsid w:val="00F220E5"/>
    <w:rsid w:val="00F3790B"/>
    <w:rsid w:val="00F87C44"/>
    <w:rsid w:val="00FB2735"/>
    <w:rsid w:val="00FC6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1F124B-07F6-46DD-8AD8-0AE4FD2D7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1">
    <w:name w:val="toc 1"/>
    <w:basedOn w:val="a"/>
    <w:next w:val="a"/>
    <w:autoRedefine/>
    <w:uiPriority w:val="39"/>
  </w:style>
  <w:style w:type="paragraph" w:styleId="20">
    <w:name w:val="toc 2"/>
    <w:basedOn w:val="a"/>
    <w:next w:val="a"/>
    <w:autoRedefine/>
    <w:uiPriority w:val="39"/>
    <w:unhideWhenUsed/>
    <w:pPr>
      <w:ind w:leftChars="200" w:left="420"/>
    </w:pPr>
  </w:style>
  <w:style w:type="paragraph" w:styleId="a3">
    <w:name w:val="Normal (Web)"/>
    <w:basedOn w:val="a"/>
    <w:uiPriority w:val="99"/>
    <w:unhideWhenUsed/>
    <w:pPr>
      <w:widowControl/>
      <w:spacing w:before="100" w:beforeAutospacing="1" w:after="100" w:afterAutospacing="1"/>
    </w:pPr>
    <w:rPr>
      <w:rFonts w:ascii="宋体" w:eastAsia="宋体" w:hAnsi="宋体" w:cs="宋体"/>
      <w:kern w:val="0"/>
      <w:sz w:val="24"/>
      <w:szCs w:val="24"/>
    </w:rPr>
  </w:style>
  <w:style w:type="character" w:styleId="a4">
    <w:name w:val="Strong"/>
    <w:basedOn w:val="a0"/>
    <w:uiPriority w:val="22"/>
    <w:qFormat/>
    <w:rPr>
      <w:b/>
      <w:bCs/>
    </w:rPr>
  </w:style>
  <w:style w:type="character" w:styleId="a5">
    <w:name w:val="Hyperlink"/>
    <w:basedOn w:val="a0"/>
    <w:uiPriority w:val="99"/>
    <w:unhideWhenUsed/>
    <w:rPr>
      <w:color w:val="0000FF"/>
      <w:u w:val="single"/>
    </w:rPr>
  </w:style>
  <w:style w:type="paragraph" w:customStyle="1" w:styleId="18">
    <w:name w:val="18"/>
    <w:basedOn w:val="a"/>
    <w:pPr>
      <w:widowControl/>
      <w:spacing w:before="100" w:beforeAutospacing="1" w:after="100" w:afterAutospacing="1"/>
    </w:pPr>
    <w:rPr>
      <w:rFonts w:ascii="宋体" w:eastAsia="宋体" w:hAnsi="宋体" w:cs="宋体"/>
      <w:kern w:val="0"/>
      <w:sz w:val="24"/>
      <w:szCs w:val="24"/>
    </w:rPr>
  </w:style>
  <w:style w:type="paragraph" w:customStyle="1" w:styleId="17">
    <w:name w:val="17"/>
    <w:basedOn w:val="a"/>
    <w:pPr>
      <w:widowControl/>
      <w:spacing w:before="100" w:beforeAutospacing="1" w:after="100" w:afterAutospacing="1"/>
    </w:pPr>
    <w:rPr>
      <w:rFonts w:ascii="宋体" w:eastAsia="宋体" w:hAnsi="宋体" w:cs="宋体"/>
      <w:kern w:val="0"/>
      <w:sz w:val="24"/>
      <w:szCs w:val="24"/>
    </w:rPr>
  </w:style>
  <w:style w:type="paragraph" w:customStyle="1" w:styleId="16">
    <w:name w:val="16"/>
    <w:basedOn w:val="a"/>
    <w:pPr>
      <w:widowControl/>
      <w:spacing w:before="100" w:beforeAutospacing="1" w:after="100" w:afterAutospacing="1"/>
    </w:pPr>
    <w:rPr>
      <w:rFonts w:ascii="宋体" w:eastAsia="宋体" w:hAnsi="宋体" w:cs="宋体"/>
      <w:kern w:val="0"/>
      <w:sz w:val="24"/>
      <w:szCs w:val="24"/>
    </w:rPr>
  </w:style>
  <w:style w:type="paragraph" w:styleId="a6">
    <w:name w:val="header"/>
    <w:basedOn w:val="a"/>
    <w:link w:val="Char"/>
    <w:uiPriority w:val="99"/>
    <w:unhideWhenUsed/>
    <w:rsid w:val="008D4B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8D4B2E"/>
    <w:rPr>
      <w:sz w:val="18"/>
      <w:szCs w:val="18"/>
    </w:rPr>
  </w:style>
  <w:style w:type="paragraph" w:styleId="a7">
    <w:name w:val="footer"/>
    <w:basedOn w:val="a"/>
    <w:link w:val="Char0"/>
    <w:uiPriority w:val="99"/>
    <w:unhideWhenUsed/>
    <w:rsid w:val="008D4B2E"/>
    <w:pPr>
      <w:tabs>
        <w:tab w:val="center" w:pos="4153"/>
        <w:tab w:val="right" w:pos="8306"/>
      </w:tabs>
      <w:snapToGrid w:val="0"/>
    </w:pPr>
    <w:rPr>
      <w:sz w:val="18"/>
      <w:szCs w:val="18"/>
    </w:rPr>
  </w:style>
  <w:style w:type="character" w:customStyle="1" w:styleId="Char0">
    <w:name w:val="页脚 Char"/>
    <w:basedOn w:val="a0"/>
    <w:link w:val="a7"/>
    <w:uiPriority w:val="99"/>
    <w:rsid w:val="008D4B2E"/>
    <w:rPr>
      <w:sz w:val="18"/>
      <w:szCs w:val="18"/>
    </w:rPr>
  </w:style>
  <w:style w:type="paragraph" w:styleId="a8">
    <w:name w:val="List Paragraph"/>
    <w:basedOn w:val="a"/>
    <w:uiPriority w:val="34"/>
    <w:qFormat/>
    <w:rsid w:val="00362F1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9096">
      <w:bodyDiv w:val="1"/>
      <w:marLeft w:val="0"/>
      <w:marRight w:val="0"/>
      <w:marTop w:val="0"/>
      <w:marBottom w:val="0"/>
      <w:divBdr>
        <w:top w:val="none" w:sz="0" w:space="0" w:color="auto"/>
        <w:left w:val="none" w:sz="0" w:space="0" w:color="auto"/>
        <w:bottom w:val="none" w:sz="0" w:space="0" w:color="auto"/>
        <w:right w:val="none" w:sz="0" w:space="0" w:color="auto"/>
      </w:divBdr>
    </w:div>
    <w:div w:id="87897787">
      <w:bodyDiv w:val="1"/>
      <w:marLeft w:val="0"/>
      <w:marRight w:val="0"/>
      <w:marTop w:val="0"/>
      <w:marBottom w:val="0"/>
      <w:divBdr>
        <w:top w:val="none" w:sz="0" w:space="0" w:color="auto"/>
        <w:left w:val="none" w:sz="0" w:space="0" w:color="auto"/>
        <w:bottom w:val="none" w:sz="0" w:space="0" w:color="auto"/>
        <w:right w:val="none" w:sz="0" w:space="0" w:color="auto"/>
      </w:divBdr>
    </w:div>
    <w:div w:id="93018390">
      <w:bodyDiv w:val="1"/>
      <w:marLeft w:val="0"/>
      <w:marRight w:val="0"/>
      <w:marTop w:val="0"/>
      <w:marBottom w:val="0"/>
      <w:divBdr>
        <w:top w:val="none" w:sz="0" w:space="0" w:color="auto"/>
        <w:left w:val="none" w:sz="0" w:space="0" w:color="auto"/>
        <w:bottom w:val="none" w:sz="0" w:space="0" w:color="auto"/>
        <w:right w:val="none" w:sz="0" w:space="0" w:color="auto"/>
      </w:divBdr>
    </w:div>
    <w:div w:id="98918171">
      <w:bodyDiv w:val="1"/>
      <w:marLeft w:val="0"/>
      <w:marRight w:val="0"/>
      <w:marTop w:val="0"/>
      <w:marBottom w:val="0"/>
      <w:divBdr>
        <w:top w:val="none" w:sz="0" w:space="0" w:color="auto"/>
        <w:left w:val="none" w:sz="0" w:space="0" w:color="auto"/>
        <w:bottom w:val="none" w:sz="0" w:space="0" w:color="auto"/>
        <w:right w:val="none" w:sz="0" w:space="0" w:color="auto"/>
      </w:divBdr>
    </w:div>
    <w:div w:id="124200907">
      <w:bodyDiv w:val="1"/>
      <w:marLeft w:val="0"/>
      <w:marRight w:val="0"/>
      <w:marTop w:val="0"/>
      <w:marBottom w:val="0"/>
      <w:divBdr>
        <w:top w:val="none" w:sz="0" w:space="0" w:color="auto"/>
        <w:left w:val="none" w:sz="0" w:space="0" w:color="auto"/>
        <w:bottom w:val="none" w:sz="0" w:space="0" w:color="auto"/>
        <w:right w:val="none" w:sz="0" w:space="0" w:color="auto"/>
      </w:divBdr>
    </w:div>
    <w:div w:id="144972380">
      <w:bodyDiv w:val="1"/>
      <w:marLeft w:val="0"/>
      <w:marRight w:val="0"/>
      <w:marTop w:val="0"/>
      <w:marBottom w:val="0"/>
      <w:divBdr>
        <w:top w:val="none" w:sz="0" w:space="0" w:color="auto"/>
        <w:left w:val="none" w:sz="0" w:space="0" w:color="auto"/>
        <w:bottom w:val="none" w:sz="0" w:space="0" w:color="auto"/>
        <w:right w:val="none" w:sz="0" w:space="0" w:color="auto"/>
      </w:divBdr>
    </w:div>
    <w:div w:id="177543784">
      <w:bodyDiv w:val="1"/>
      <w:marLeft w:val="0"/>
      <w:marRight w:val="0"/>
      <w:marTop w:val="0"/>
      <w:marBottom w:val="0"/>
      <w:divBdr>
        <w:top w:val="none" w:sz="0" w:space="0" w:color="auto"/>
        <w:left w:val="none" w:sz="0" w:space="0" w:color="auto"/>
        <w:bottom w:val="none" w:sz="0" w:space="0" w:color="auto"/>
        <w:right w:val="none" w:sz="0" w:space="0" w:color="auto"/>
      </w:divBdr>
    </w:div>
    <w:div w:id="197744453">
      <w:bodyDiv w:val="1"/>
      <w:marLeft w:val="0"/>
      <w:marRight w:val="0"/>
      <w:marTop w:val="0"/>
      <w:marBottom w:val="0"/>
      <w:divBdr>
        <w:top w:val="none" w:sz="0" w:space="0" w:color="auto"/>
        <w:left w:val="none" w:sz="0" w:space="0" w:color="auto"/>
        <w:bottom w:val="none" w:sz="0" w:space="0" w:color="auto"/>
        <w:right w:val="none" w:sz="0" w:space="0" w:color="auto"/>
      </w:divBdr>
    </w:div>
    <w:div w:id="240260307">
      <w:bodyDiv w:val="1"/>
      <w:marLeft w:val="0"/>
      <w:marRight w:val="0"/>
      <w:marTop w:val="0"/>
      <w:marBottom w:val="0"/>
      <w:divBdr>
        <w:top w:val="none" w:sz="0" w:space="0" w:color="auto"/>
        <w:left w:val="none" w:sz="0" w:space="0" w:color="auto"/>
        <w:bottom w:val="none" w:sz="0" w:space="0" w:color="auto"/>
        <w:right w:val="none" w:sz="0" w:space="0" w:color="auto"/>
      </w:divBdr>
    </w:div>
    <w:div w:id="243078745">
      <w:bodyDiv w:val="1"/>
      <w:marLeft w:val="0"/>
      <w:marRight w:val="0"/>
      <w:marTop w:val="0"/>
      <w:marBottom w:val="0"/>
      <w:divBdr>
        <w:top w:val="none" w:sz="0" w:space="0" w:color="auto"/>
        <w:left w:val="none" w:sz="0" w:space="0" w:color="auto"/>
        <w:bottom w:val="none" w:sz="0" w:space="0" w:color="auto"/>
        <w:right w:val="none" w:sz="0" w:space="0" w:color="auto"/>
      </w:divBdr>
    </w:div>
    <w:div w:id="259997742">
      <w:bodyDiv w:val="1"/>
      <w:marLeft w:val="0"/>
      <w:marRight w:val="0"/>
      <w:marTop w:val="0"/>
      <w:marBottom w:val="0"/>
      <w:divBdr>
        <w:top w:val="none" w:sz="0" w:space="0" w:color="auto"/>
        <w:left w:val="none" w:sz="0" w:space="0" w:color="auto"/>
        <w:bottom w:val="none" w:sz="0" w:space="0" w:color="auto"/>
        <w:right w:val="none" w:sz="0" w:space="0" w:color="auto"/>
      </w:divBdr>
    </w:div>
    <w:div w:id="264075333">
      <w:bodyDiv w:val="1"/>
      <w:marLeft w:val="0"/>
      <w:marRight w:val="0"/>
      <w:marTop w:val="0"/>
      <w:marBottom w:val="0"/>
      <w:divBdr>
        <w:top w:val="none" w:sz="0" w:space="0" w:color="auto"/>
        <w:left w:val="none" w:sz="0" w:space="0" w:color="auto"/>
        <w:bottom w:val="none" w:sz="0" w:space="0" w:color="auto"/>
        <w:right w:val="none" w:sz="0" w:space="0" w:color="auto"/>
      </w:divBdr>
    </w:div>
    <w:div w:id="267783025">
      <w:bodyDiv w:val="1"/>
      <w:marLeft w:val="0"/>
      <w:marRight w:val="0"/>
      <w:marTop w:val="0"/>
      <w:marBottom w:val="0"/>
      <w:divBdr>
        <w:top w:val="none" w:sz="0" w:space="0" w:color="auto"/>
        <w:left w:val="none" w:sz="0" w:space="0" w:color="auto"/>
        <w:bottom w:val="none" w:sz="0" w:space="0" w:color="auto"/>
        <w:right w:val="none" w:sz="0" w:space="0" w:color="auto"/>
      </w:divBdr>
    </w:div>
    <w:div w:id="303312830">
      <w:bodyDiv w:val="1"/>
      <w:marLeft w:val="0"/>
      <w:marRight w:val="0"/>
      <w:marTop w:val="0"/>
      <w:marBottom w:val="0"/>
      <w:divBdr>
        <w:top w:val="none" w:sz="0" w:space="0" w:color="auto"/>
        <w:left w:val="none" w:sz="0" w:space="0" w:color="auto"/>
        <w:bottom w:val="none" w:sz="0" w:space="0" w:color="auto"/>
        <w:right w:val="none" w:sz="0" w:space="0" w:color="auto"/>
      </w:divBdr>
    </w:div>
    <w:div w:id="311519910">
      <w:bodyDiv w:val="1"/>
      <w:marLeft w:val="0"/>
      <w:marRight w:val="0"/>
      <w:marTop w:val="0"/>
      <w:marBottom w:val="0"/>
      <w:divBdr>
        <w:top w:val="none" w:sz="0" w:space="0" w:color="auto"/>
        <w:left w:val="none" w:sz="0" w:space="0" w:color="auto"/>
        <w:bottom w:val="none" w:sz="0" w:space="0" w:color="auto"/>
        <w:right w:val="none" w:sz="0" w:space="0" w:color="auto"/>
      </w:divBdr>
    </w:div>
    <w:div w:id="324015214">
      <w:bodyDiv w:val="1"/>
      <w:marLeft w:val="0"/>
      <w:marRight w:val="0"/>
      <w:marTop w:val="0"/>
      <w:marBottom w:val="0"/>
      <w:divBdr>
        <w:top w:val="none" w:sz="0" w:space="0" w:color="auto"/>
        <w:left w:val="none" w:sz="0" w:space="0" w:color="auto"/>
        <w:bottom w:val="none" w:sz="0" w:space="0" w:color="auto"/>
        <w:right w:val="none" w:sz="0" w:space="0" w:color="auto"/>
      </w:divBdr>
    </w:div>
    <w:div w:id="340401752">
      <w:bodyDiv w:val="1"/>
      <w:marLeft w:val="0"/>
      <w:marRight w:val="0"/>
      <w:marTop w:val="0"/>
      <w:marBottom w:val="0"/>
      <w:divBdr>
        <w:top w:val="none" w:sz="0" w:space="0" w:color="auto"/>
        <w:left w:val="none" w:sz="0" w:space="0" w:color="auto"/>
        <w:bottom w:val="none" w:sz="0" w:space="0" w:color="auto"/>
        <w:right w:val="none" w:sz="0" w:space="0" w:color="auto"/>
      </w:divBdr>
    </w:div>
    <w:div w:id="345716566">
      <w:bodyDiv w:val="1"/>
      <w:marLeft w:val="0"/>
      <w:marRight w:val="0"/>
      <w:marTop w:val="0"/>
      <w:marBottom w:val="0"/>
      <w:divBdr>
        <w:top w:val="none" w:sz="0" w:space="0" w:color="auto"/>
        <w:left w:val="none" w:sz="0" w:space="0" w:color="auto"/>
        <w:bottom w:val="none" w:sz="0" w:space="0" w:color="auto"/>
        <w:right w:val="none" w:sz="0" w:space="0" w:color="auto"/>
      </w:divBdr>
    </w:div>
    <w:div w:id="360134559">
      <w:bodyDiv w:val="1"/>
      <w:marLeft w:val="0"/>
      <w:marRight w:val="0"/>
      <w:marTop w:val="0"/>
      <w:marBottom w:val="0"/>
      <w:divBdr>
        <w:top w:val="none" w:sz="0" w:space="0" w:color="auto"/>
        <w:left w:val="none" w:sz="0" w:space="0" w:color="auto"/>
        <w:bottom w:val="none" w:sz="0" w:space="0" w:color="auto"/>
        <w:right w:val="none" w:sz="0" w:space="0" w:color="auto"/>
      </w:divBdr>
    </w:div>
    <w:div w:id="367997833">
      <w:bodyDiv w:val="1"/>
      <w:marLeft w:val="0"/>
      <w:marRight w:val="0"/>
      <w:marTop w:val="0"/>
      <w:marBottom w:val="0"/>
      <w:divBdr>
        <w:top w:val="none" w:sz="0" w:space="0" w:color="auto"/>
        <w:left w:val="none" w:sz="0" w:space="0" w:color="auto"/>
        <w:bottom w:val="none" w:sz="0" w:space="0" w:color="auto"/>
        <w:right w:val="none" w:sz="0" w:space="0" w:color="auto"/>
      </w:divBdr>
    </w:div>
    <w:div w:id="387455544">
      <w:bodyDiv w:val="1"/>
      <w:marLeft w:val="0"/>
      <w:marRight w:val="0"/>
      <w:marTop w:val="0"/>
      <w:marBottom w:val="0"/>
      <w:divBdr>
        <w:top w:val="none" w:sz="0" w:space="0" w:color="auto"/>
        <w:left w:val="none" w:sz="0" w:space="0" w:color="auto"/>
        <w:bottom w:val="none" w:sz="0" w:space="0" w:color="auto"/>
        <w:right w:val="none" w:sz="0" w:space="0" w:color="auto"/>
      </w:divBdr>
    </w:div>
    <w:div w:id="410083200">
      <w:bodyDiv w:val="1"/>
      <w:marLeft w:val="0"/>
      <w:marRight w:val="0"/>
      <w:marTop w:val="0"/>
      <w:marBottom w:val="0"/>
      <w:divBdr>
        <w:top w:val="none" w:sz="0" w:space="0" w:color="auto"/>
        <w:left w:val="none" w:sz="0" w:space="0" w:color="auto"/>
        <w:bottom w:val="none" w:sz="0" w:space="0" w:color="auto"/>
        <w:right w:val="none" w:sz="0" w:space="0" w:color="auto"/>
      </w:divBdr>
    </w:div>
    <w:div w:id="443574584">
      <w:bodyDiv w:val="1"/>
      <w:marLeft w:val="0"/>
      <w:marRight w:val="0"/>
      <w:marTop w:val="0"/>
      <w:marBottom w:val="0"/>
      <w:divBdr>
        <w:top w:val="none" w:sz="0" w:space="0" w:color="auto"/>
        <w:left w:val="none" w:sz="0" w:space="0" w:color="auto"/>
        <w:bottom w:val="none" w:sz="0" w:space="0" w:color="auto"/>
        <w:right w:val="none" w:sz="0" w:space="0" w:color="auto"/>
      </w:divBdr>
    </w:div>
    <w:div w:id="445973356">
      <w:bodyDiv w:val="1"/>
      <w:marLeft w:val="0"/>
      <w:marRight w:val="0"/>
      <w:marTop w:val="0"/>
      <w:marBottom w:val="0"/>
      <w:divBdr>
        <w:top w:val="none" w:sz="0" w:space="0" w:color="auto"/>
        <w:left w:val="none" w:sz="0" w:space="0" w:color="auto"/>
        <w:bottom w:val="none" w:sz="0" w:space="0" w:color="auto"/>
        <w:right w:val="none" w:sz="0" w:space="0" w:color="auto"/>
      </w:divBdr>
    </w:div>
    <w:div w:id="452360895">
      <w:bodyDiv w:val="1"/>
      <w:marLeft w:val="0"/>
      <w:marRight w:val="0"/>
      <w:marTop w:val="0"/>
      <w:marBottom w:val="0"/>
      <w:divBdr>
        <w:top w:val="none" w:sz="0" w:space="0" w:color="auto"/>
        <w:left w:val="none" w:sz="0" w:space="0" w:color="auto"/>
        <w:bottom w:val="none" w:sz="0" w:space="0" w:color="auto"/>
        <w:right w:val="none" w:sz="0" w:space="0" w:color="auto"/>
      </w:divBdr>
    </w:div>
    <w:div w:id="456333119">
      <w:bodyDiv w:val="1"/>
      <w:marLeft w:val="0"/>
      <w:marRight w:val="0"/>
      <w:marTop w:val="0"/>
      <w:marBottom w:val="0"/>
      <w:divBdr>
        <w:top w:val="none" w:sz="0" w:space="0" w:color="auto"/>
        <w:left w:val="none" w:sz="0" w:space="0" w:color="auto"/>
        <w:bottom w:val="none" w:sz="0" w:space="0" w:color="auto"/>
        <w:right w:val="none" w:sz="0" w:space="0" w:color="auto"/>
      </w:divBdr>
    </w:div>
    <w:div w:id="473523013">
      <w:bodyDiv w:val="1"/>
      <w:marLeft w:val="0"/>
      <w:marRight w:val="0"/>
      <w:marTop w:val="0"/>
      <w:marBottom w:val="0"/>
      <w:divBdr>
        <w:top w:val="none" w:sz="0" w:space="0" w:color="auto"/>
        <w:left w:val="none" w:sz="0" w:space="0" w:color="auto"/>
        <w:bottom w:val="none" w:sz="0" w:space="0" w:color="auto"/>
        <w:right w:val="none" w:sz="0" w:space="0" w:color="auto"/>
      </w:divBdr>
    </w:div>
    <w:div w:id="474567145">
      <w:bodyDiv w:val="1"/>
      <w:marLeft w:val="0"/>
      <w:marRight w:val="0"/>
      <w:marTop w:val="0"/>
      <w:marBottom w:val="0"/>
      <w:divBdr>
        <w:top w:val="none" w:sz="0" w:space="0" w:color="auto"/>
        <w:left w:val="none" w:sz="0" w:space="0" w:color="auto"/>
        <w:bottom w:val="none" w:sz="0" w:space="0" w:color="auto"/>
        <w:right w:val="none" w:sz="0" w:space="0" w:color="auto"/>
      </w:divBdr>
    </w:div>
    <w:div w:id="478041031">
      <w:bodyDiv w:val="1"/>
      <w:marLeft w:val="0"/>
      <w:marRight w:val="0"/>
      <w:marTop w:val="0"/>
      <w:marBottom w:val="0"/>
      <w:divBdr>
        <w:top w:val="none" w:sz="0" w:space="0" w:color="auto"/>
        <w:left w:val="none" w:sz="0" w:space="0" w:color="auto"/>
        <w:bottom w:val="none" w:sz="0" w:space="0" w:color="auto"/>
        <w:right w:val="none" w:sz="0" w:space="0" w:color="auto"/>
      </w:divBdr>
    </w:div>
    <w:div w:id="481583381">
      <w:bodyDiv w:val="1"/>
      <w:marLeft w:val="0"/>
      <w:marRight w:val="0"/>
      <w:marTop w:val="0"/>
      <w:marBottom w:val="0"/>
      <w:divBdr>
        <w:top w:val="none" w:sz="0" w:space="0" w:color="auto"/>
        <w:left w:val="none" w:sz="0" w:space="0" w:color="auto"/>
        <w:bottom w:val="none" w:sz="0" w:space="0" w:color="auto"/>
        <w:right w:val="none" w:sz="0" w:space="0" w:color="auto"/>
      </w:divBdr>
    </w:div>
    <w:div w:id="516232337">
      <w:bodyDiv w:val="1"/>
      <w:marLeft w:val="0"/>
      <w:marRight w:val="0"/>
      <w:marTop w:val="0"/>
      <w:marBottom w:val="0"/>
      <w:divBdr>
        <w:top w:val="none" w:sz="0" w:space="0" w:color="auto"/>
        <w:left w:val="none" w:sz="0" w:space="0" w:color="auto"/>
        <w:bottom w:val="none" w:sz="0" w:space="0" w:color="auto"/>
        <w:right w:val="none" w:sz="0" w:space="0" w:color="auto"/>
      </w:divBdr>
      <w:divsChild>
        <w:div w:id="564679520">
          <w:marLeft w:val="0"/>
          <w:marRight w:val="0"/>
          <w:marTop w:val="0"/>
          <w:marBottom w:val="0"/>
          <w:divBdr>
            <w:top w:val="none" w:sz="0" w:space="0" w:color="auto"/>
            <w:left w:val="none" w:sz="0" w:space="0" w:color="auto"/>
            <w:bottom w:val="none" w:sz="0" w:space="0" w:color="auto"/>
            <w:right w:val="none" w:sz="0" w:space="0" w:color="auto"/>
          </w:divBdr>
        </w:div>
      </w:divsChild>
    </w:div>
    <w:div w:id="517890381">
      <w:bodyDiv w:val="1"/>
      <w:marLeft w:val="0"/>
      <w:marRight w:val="0"/>
      <w:marTop w:val="0"/>
      <w:marBottom w:val="0"/>
      <w:divBdr>
        <w:top w:val="none" w:sz="0" w:space="0" w:color="auto"/>
        <w:left w:val="none" w:sz="0" w:space="0" w:color="auto"/>
        <w:bottom w:val="none" w:sz="0" w:space="0" w:color="auto"/>
        <w:right w:val="none" w:sz="0" w:space="0" w:color="auto"/>
      </w:divBdr>
    </w:div>
    <w:div w:id="525408917">
      <w:bodyDiv w:val="1"/>
      <w:marLeft w:val="0"/>
      <w:marRight w:val="0"/>
      <w:marTop w:val="0"/>
      <w:marBottom w:val="0"/>
      <w:divBdr>
        <w:top w:val="none" w:sz="0" w:space="0" w:color="auto"/>
        <w:left w:val="none" w:sz="0" w:space="0" w:color="auto"/>
        <w:bottom w:val="none" w:sz="0" w:space="0" w:color="auto"/>
        <w:right w:val="none" w:sz="0" w:space="0" w:color="auto"/>
      </w:divBdr>
    </w:div>
    <w:div w:id="526061721">
      <w:bodyDiv w:val="1"/>
      <w:marLeft w:val="0"/>
      <w:marRight w:val="0"/>
      <w:marTop w:val="0"/>
      <w:marBottom w:val="0"/>
      <w:divBdr>
        <w:top w:val="none" w:sz="0" w:space="0" w:color="auto"/>
        <w:left w:val="none" w:sz="0" w:space="0" w:color="auto"/>
        <w:bottom w:val="none" w:sz="0" w:space="0" w:color="auto"/>
        <w:right w:val="none" w:sz="0" w:space="0" w:color="auto"/>
      </w:divBdr>
      <w:divsChild>
        <w:div w:id="1234438612">
          <w:marLeft w:val="0"/>
          <w:marRight w:val="0"/>
          <w:marTop w:val="0"/>
          <w:marBottom w:val="0"/>
          <w:divBdr>
            <w:top w:val="none" w:sz="0" w:space="0" w:color="auto"/>
            <w:left w:val="none" w:sz="0" w:space="0" w:color="auto"/>
            <w:bottom w:val="none" w:sz="0" w:space="0" w:color="auto"/>
            <w:right w:val="none" w:sz="0" w:space="0" w:color="auto"/>
          </w:divBdr>
        </w:div>
        <w:div w:id="1732462776">
          <w:marLeft w:val="0"/>
          <w:marRight w:val="0"/>
          <w:marTop w:val="0"/>
          <w:marBottom w:val="0"/>
          <w:divBdr>
            <w:top w:val="none" w:sz="0" w:space="0" w:color="auto"/>
            <w:left w:val="none" w:sz="0" w:space="0" w:color="auto"/>
            <w:bottom w:val="none" w:sz="0" w:space="0" w:color="auto"/>
            <w:right w:val="none" w:sz="0" w:space="0" w:color="auto"/>
          </w:divBdr>
        </w:div>
      </w:divsChild>
    </w:div>
    <w:div w:id="552429326">
      <w:bodyDiv w:val="1"/>
      <w:marLeft w:val="0"/>
      <w:marRight w:val="0"/>
      <w:marTop w:val="0"/>
      <w:marBottom w:val="0"/>
      <w:divBdr>
        <w:top w:val="none" w:sz="0" w:space="0" w:color="auto"/>
        <w:left w:val="none" w:sz="0" w:space="0" w:color="auto"/>
        <w:bottom w:val="none" w:sz="0" w:space="0" w:color="auto"/>
        <w:right w:val="none" w:sz="0" w:space="0" w:color="auto"/>
      </w:divBdr>
    </w:div>
    <w:div w:id="559022423">
      <w:bodyDiv w:val="1"/>
      <w:marLeft w:val="0"/>
      <w:marRight w:val="0"/>
      <w:marTop w:val="0"/>
      <w:marBottom w:val="0"/>
      <w:divBdr>
        <w:top w:val="none" w:sz="0" w:space="0" w:color="auto"/>
        <w:left w:val="none" w:sz="0" w:space="0" w:color="auto"/>
        <w:bottom w:val="none" w:sz="0" w:space="0" w:color="auto"/>
        <w:right w:val="none" w:sz="0" w:space="0" w:color="auto"/>
      </w:divBdr>
    </w:div>
    <w:div w:id="574389732">
      <w:bodyDiv w:val="1"/>
      <w:marLeft w:val="0"/>
      <w:marRight w:val="0"/>
      <w:marTop w:val="0"/>
      <w:marBottom w:val="0"/>
      <w:divBdr>
        <w:top w:val="none" w:sz="0" w:space="0" w:color="auto"/>
        <w:left w:val="none" w:sz="0" w:space="0" w:color="auto"/>
        <w:bottom w:val="none" w:sz="0" w:space="0" w:color="auto"/>
        <w:right w:val="none" w:sz="0" w:space="0" w:color="auto"/>
      </w:divBdr>
    </w:div>
    <w:div w:id="574828007">
      <w:bodyDiv w:val="1"/>
      <w:marLeft w:val="0"/>
      <w:marRight w:val="0"/>
      <w:marTop w:val="0"/>
      <w:marBottom w:val="0"/>
      <w:divBdr>
        <w:top w:val="none" w:sz="0" w:space="0" w:color="auto"/>
        <w:left w:val="none" w:sz="0" w:space="0" w:color="auto"/>
        <w:bottom w:val="none" w:sz="0" w:space="0" w:color="auto"/>
        <w:right w:val="none" w:sz="0" w:space="0" w:color="auto"/>
      </w:divBdr>
    </w:div>
    <w:div w:id="588271712">
      <w:bodyDiv w:val="1"/>
      <w:marLeft w:val="0"/>
      <w:marRight w:val="0"/>
      <w:marTop w:val="0"/>
      <w:marBottom w:val="0"/>
      <w:divBdr>
        <w:top w:val="none" w:sz="0" w:space="0" w:color="auto"/>
        <w:left w:val="none" w:sz="0" w:space="0" w:color="auto"/>
        <w:bottom w:val="none" w:sz="0" w:space="0" w:color="auto"/>
        <w:right w:val="none" w:sz="0" w:space="0" w:color="auto"/>
      </w:divBdr>
    </w:div>
    <w:div w:id="619452814">
      <w:bodyDiv w:val="1"/>
      <w:marLeft w:val="0"/>
      <w:marRight w:val="0"/>
      <w:marTop w:val="0"/>
      <w:marBottom w:val="0"/>
      <w:divBdr>
        <w:top w:val="none" w:sz="0" w:space="0" w:color="auto"/>
        <w:left w:val="none" w:sz="0" w:space="0" w:color="auto"/>
        <w:bottom w:val="none" w:sz="0" w:space="0" w:color="auto"/>
        <w:right w:val="none" w:sz="0" w:space="0" w:color="auto"/>
      </w:divBdr>
    </w:div>
    <w:div w:id="629046504">
      <w:bodyDiv w:val="1"/>
      <w:marLeft w:val="0"/>
      <w:marRight w:val="0"/>
      <w:marTop w:val="0"/>
      <w:marBottom w:val="0"/>
      <w:divBdr>
        <w:top w:val="none" w:sz="0" w:space="0" w:color="auto"/>
        <w:left w:val="none" w:sz="0" w:space="0" w:color="auto"/>
        <w:bottom w:val="none" w:sz="0" w:space="0" w:color="auto"/>
        <w:right w:val="none" w:sz="0" w:space="0" w:color="auto"/>
      </w:divBdr>
      <w:divsChild>
        <w:div w:id="279651034">
          <w:marLeft w:val="0"/>
          <w:marRight w:val="0"/>
          <w:marTop w:val="0"/>
          <w:marBottom w:val="0"/>
          <w:divBdr>
            <w:top w:val="none" w:sz="0" w:space="0" w:color="auto"/>
            <w:left w:val="none" w:sz="0" w:space="0" w:color="auto"/>
            <w:bottom w:val="none" w:sz="0" w:space="0" w:color="auto"/>
            <w:right w:val="none" w:sz="0" w:space="0" w:color="auto"/>
          </w:divBdr>
        </w:div>
      </w:divsChild>
    </w:div>
    <w:div w:id="630593286">
      <w:bodyDiv w:val="1"/>
      <w:marLeft w:val="0"/>
      <w:marRight w:val="0"/>
      <w:marTop w:val="0"/>
      <w:marBottom w:val="0"/>
      <w:divBdr>
        <w:top w:val="none" w:sz="0" w:space="0" w:color="auto"/>
        <w:left w:val="none" w:sz="0" w:space="0" w:color="auto"/>
        <w:bottom w:val="none" w:sz="0" w:space="0" w:color="auto"/>
        <w:right w:val="none" w:sz="0" w:space="0" w:color="auto"/>
      </w:divBdr>
    </w:div>
    <w:div w:id="641889731">
      <w:bodyDiv w:val="1"/>
      <w:marLeft w:val="0"/>
      <w:marRight w:val="0"/>
      <w:marTop w:val="0"/>
      <w:marBottom w:val="0"/>
      <w:divBdr>
        <w:top w:val="none" w:sz="0" w:space="0" w:color="auto"/>
        <w:left w:val="none" w:sz="0" w:space="0" w:color="auto"/>
        <w:bottom w:val="none" w:sz="0" w:space="0" w:color="auto"/>
        <w:right w:val="none" w:sz="0" w:space="0" w:color="auto"/>
      </w:divBdr>
    </w:div>
    <w:div w:id="651060764">
      <w:bodyDiv w:val="1"/>
      <w:marLeft w:val="0"/>
      <w:marRight w:val="0"/>
      <w:marTop w:val="0"/>
      <w:marBottom w:val="0"/>
      <w:divBdr>
        <w:top w:val="none" w:sz="0" w:space="0" w:color="auto"/>
        <w:left w:val="none" w:sz="0" w:space="0" w:color="auto"/>
        <w:bottom w:val="none" w:sz="0" w:space="0" w:color="auto"/>
        <w:right w:val="none" w:sz="0" w:space="0" w:color="auto"/>
      </w:divBdr>
    </w:div>
    <w:div w:id="686248230">
      <w:bodyDiv w:val="1"/>
      <w:marLeft w:val="0"/>
      <w:marRight w:val="0"/>
      <w:marTop w:val="0"/>
      <w:marBottom w:val="0"/>
      <w:divBdr>
        <w:top w:val="none" w:sz="0" w:space="0" w:color="auto"/>
        <w:left w:val="none" w:sz="0" w:space="0" w:color="auto"/>
        <w:bottom w:val="none" w:sz="0" w:space="0" w:color="auto"/>
        <w:right w:val="none" w:sz="0" w:space="0" w:color="auto"/>
      </w:divBdr>
    </w:div>
    <w:div w:id="691952782">
      <w:bodyDiv w:val="1"/>
      <w:marLeft w:val="0"/>
      <w:marRight w:val="0"/>
      <w:marTop w:val="0"/>
      <w:marBottom w:val="0"/>
      <w:divBdr>
        <w:top w:val="none" w:sz="0" w:space="0" w:color="auto"/>
        <w:left w:val="none" w:sz="0" w:space="0" w:color="auto"/>
        <w:bottom w:val="none" w:sz="0" w:space="0" w:color="auto"/>
        <w:right w:val="none" w:sz="0" w:space="0" w:color="auto"/>
      </w:divBdr>
    </w:div>
    <w:div w:id="694426366">
      <w:bodyDiv w:val="1"/>
      <w:marLeft w:val="0"/>
      <w:marRight w:val="0"/>
      <w:marTop w:val="0"/>
      <w:marBottom w:val="0"/>
      <w:divBdr>
        <w:top w:val="none" w:sz="0" w:space="0" w:color="auto"/>
        <w:left w:val="none" w:sz="0" w:space="0" w:color="auto"/>
        <w:bottom w:val="none" w:sz="0" w:space="0" w:color="auto"/>
        <w:right w:val="none" w:sz="0" w:space="0" w:color="auto"/>
      </w:divBdr>
    </w:div>
    <w:div w:id="695347932">
      <w:bodyDiv w:val="1"/>
      <w:marLeft w:val="0"/>
      <w:marRight w:val="0"/>
      <w:marTop w:val="0"/>
      <w:marBottom w:val="0"/>
      <w:divBdr>
        <w:top w:val="none" w:sz="0" w:space="0" w:color="auto"/>
        <w:left w:val="none" w:sz="0" w:space="0" w:color="auto"/>
        <w:bottom w:val="none" w:sz="0" w:space="0" w:color="auto"/>
        <w:right w:val="none" w:sz="0" w:space="0" w:color="auto"/>
      </w:divBdr>
    </w:div>
    <w:div w:id="711032429">
      <w:bodyDiv w:val="1"/>
      <w:marLeft w:val="0"/>
      <w:marRight w:val="0"/>
      <w:marTop w:val="0"/>
      <w:marBottom w:val="0"/>
      <w:divBdr>
        <w:top w:val="none" w:sz="0" w:space="0" w:color="auto"/>
        <w:left w:val="none" w:sz="0" w:space="0" w:color="auto"/>
        <w:bottom w:val="none" w:sz="0" w:space="0" w:color="auto"/>
        <w:right w:val="none" w:sz="0" w:space="0" w:color="auto"/>
      </w:divBdr>
    </w:div>
    <w:div w:id="733621479">
      <w:bodyDiv w:val="1"/>
      <w:marLeft w:val="0"/>
      <w:marRight w:val="0"/>
      <w:marTop w:val="0"/>
      <w:marBottom w:val="0"/>
      <w:divBdr>
        <w:top w:val="none" w:sz="0" w:space="0" w:color="auto"/>
        <w:left w:val="none" w:sz="0" w:space="0" w:color="auto"/>
        <w:bottom w:val="none" w:sz="0" w:space="0" w:color="auto"/>
        <w:right w:val="none" w:sz="0" w:space="0" w:color="auto"/>
      </w:divBdr>
    </w:div>
    <w:div w:id="741635204">
      <w:bodyDiv w:val="1"/>
      <w:marLeft w:val="0"/>
      <w:marRight w:val="0"/>
      <w:marTop w:val="0"/>
      <w:marBottom w:val="0"/>
      <w:divBdr>
        <w:top w:val="none" w:sz="0" w:space="0" w:color="auto"/>
        <w:left w:val="none" w:sz="0" w:space="0" w:color="auto"/>
        <w:bottom w:val="none" w:sz="0" w:space="0" w:color="auto"/>
        <w:right w:val="none" w:sz="0" w:space="0" w:color="auto"/>
      </w:divBdr>
    </w:div>
    <w:div w:id="742876582">
      <w:bodyDiv w:val="1"/>
      <w:marLeft w:val="0"/>
      <w:marRight w:val="0"/>
      <w:marTop w:val="0"/>
      <w:marBottom w:val="0"/>
      <w:divBdr>
        <w:top w:val="none" w:sz="0" w:space="0" w:color="auto"/>
        <w:left w:val="none" w:sz="0" w:space="0" w:color="auto"/>
        <w:bottom w:val="none" w:sz="0" w:space="0" w:color="auto"/>
        <w:right w:val="none" w:sz="0" w:space="0" w:color="auto"/>
      </w:divBdr>
    </w:div>
    <w:div w:id="750391646">
      <w:bodyDiv w:val="1"/>
      <w:marLeft w:val="0"/>
      <w:marRight w:val="0"/>
      <w:marTop w:val="0"/>
      <w:marBottom w:val="0"/>
      <w:divBdr>
        <w:top w:val="none" w:sz="0" w:space="0" w:color="auto"/>
        <w:left w:val="none" w:sz="0" w:space="0" w:color="auto"/>
        <w:bottom w:val="none" w:sz="0" w:space="0" w:color="auto"/>
        <w:right w:val="none" w:sz="0" w:space="0" w:color="auto"/>
      </w:divBdr>
    </w:div>
    <w:div w:id="754130122">
      <w:bodyDiv w:val="1"/>
      <w:marLeft w:val="0"/>
      <w:marRight w:val="0"/>
      <w:marTop w:val="0"/>
      <w:marBottom w:val="0"/>
      <w:divBdr>
        <w:top w:val="none" w:sz="0" w:space="0" w:color="auto"/>
        <w:left w:val="none" w:sz="0" w:space="0" w:color="auto"/>
        <w:bottom w:val="none" w:sz="0" w:space="0" w:color="auto"/>
        <w:right w:val="none" w:sz="0" w:space="0" w:color="auto"/>
      </w:divBdr>
    </w:div>
    <w:div w:id="755595667">
      <w:bodyDiv w:val="1"/>
      <w:marLeft w:val="0"/>
      <w:marRight w:val="0"/>
      <w:marTop w:val="0"/>
      <w:marBottom w:val="0"/>
      <w:divBdr>
        <w:top w:val="none" w:sz="0" w:space="0" w:color="auto"/>
        <w:left w:val="none" w:sz="0" w:space="0" w:color="auto"/>
        <w:bottom w:val="none" w:sz="0" w:space="0" w:color="auto"/>
        <w:right w:val="none" w:sz="0" w:space="0" w:color="auto"/>
      </w:divBdr>
    </w:div>
    <w:div w:id="777215537">
      <w:bodyDiv w:val="1"/>
      <w:marLeft w:val="0"/>
      <w:marRight w:val="0"/>
      <w:marTop w:val="0"/>
      <w:marBottom w:val="0"/>
      <w:divBdr>
        <w:top w:val="none" w:sz="0" w:space="0" w:color="auto"/>
        <w:left w:val="none" w:sz="0" w:space="0" w:color="auto"/>
        <w:bottom w:val="none" w:sz="0" w:space="0" w:color="auto"/>
        <w:right w:val="none" w:sz="0" w:space="0" w:color="auto"/>
      </w:divBdr>
    </w:div>
    <w:div w:id="821697364">
      <w:bodyDiv w:val="1"/>
      <w:marLeft w:val="0"/>
      <w:marRight w:val="0"/>
      <w:marTop w:val="0"/>
      <w:marBottom w:val="0"/>
      <w:divBdr>
        <w:top w:val="none" w:sz="0" w:space="0" w:color="auto"/>
        <w:left w:val="none" w:sz="0" w:space="0" w:color="auto"/>
        <w:bottom w:val="none" w:sz="0" w:space="0" w:color="auto"/>
        <w:right w:val="none" w:sz="0" w:space="0" w:color="auto"/>
      </w:divBdr>
    </w:div>
    <w:div w:id="824975226">
      <w:bodyDiv w:val="1"/>
      <w:marLeft w:val="0"/>
      <w:marRight w:val="0"/>
      <w:marTop w:val="0"/>
      <w:marBottom w:val="0"/>
      <w:divBdr>
        <w:top w:val="none" w:sz="0" w:space="0" w:color="auto"/>
        <w:left w:val="none" w:sz="0" w:space="0" w:color="auto"/>
        <w:bottom w:val="none" w:sz="0" w:space="0" w:color="auto"/>
        <w:right w:val="none" w:sz="0" w:space="0" w:color="auto"/>
      </w:divBdr>
    </w:div>
    <w:div w:id="825167658">
      <w:bodyDiv w:val="1"/>
      <w:marLeft w:val="0"/>
      <w:marRight w:val="0"/>
      <w:marTop w:val="0"/>
      <w:marBottom w:val="0"/>
      <w:divBdr>
        <w:top w:val="none" w:sz="0" w:space="0" w:color="auto"/>
        <w:left w:val="none" w:sz="0" w:space="0" w:color="auto"/>
        <w:bottom w:val="none" w:sz="0" w:space="0" w:color="auto"/>
        <w:right w:val="none" w:sz="0" w:space="0" w:color="auto"/>
      </w:divBdr>
    </w:div>
    <w:div w:id="829171578">
      <w:bodyDiv w:val="1"/>
      <w:marLeft w:val="0"/>
      <w:marRight w:val="0"/>
      <w:marTop w:val="0"/>
      <w:marBottom w:val="0"/>
      <w:divBdr>
        <w:top w:val="none" w:sz="0" w:space="0" w:color="auto"/>
        <w:left w:val="none" w:sz="0" w:space="0" w:color="auto"/>
        <w:bottom w:val="none" w:sz="0" w:space="0" w:color="auto"/>
        <w:right w:val="none" w:sz="0" w:space="0" w:color="auto"/>
      </w:divBdr>
    </w:div>
    <w:div w:id="829449152">
      <w:bodyDiv w:val="1"/>
      <w:marLeft w:val="0"/>
      <w:marRight w:val="0"/>
      <w:marTop w:val="0"/>
      <w:marBottom w:val="0"/>
      <w:divBdr>
        <w:top w:val="none" w:sz="0" w:space="0" w:color="auto"/>
        <w:left w:val="none" w:sz="0" w:space="0" w:color="auto"/>
        <w:bottom w:val="none" w:sz="0" w:space="0" w:color="auto"/>
        <w:right w:val="none" w:sz="0" w:space="0" w:color="auto"/>
      </w:divBdr>
    </w:div>
    <w:div w:id="881408707">
      <w:bodyDiv w:val="1"/>
      <w:marLeft w:val="0"/>
      <w:marRight w:val="0"/>
      <w:marTop w:val="0"/>
      <w:marBottom w:val="0"/>
      <w:divBdr>
        <w:top w:val="none" w:sz="0" w:space="0" w:color="auto"/>
        <w:left w:val="none" w:sz="0" w:space="0" w:color="auto"/>
        <w:bottom w:val="none" w:sz="0" w:space="0" w:color="auto"/>
        <w:right w:val="none" w:sz="0" w:space="0" w:color="auto"/>
      </w:divBdr>
    </w:div>
    <w:div w:id="889224353">
      <w:bodyDiv w:val="1"/>
      <w:marLeft w:val="0"/>
      <w:marRight w:val="0"/>
      <w:marTop w:val="0"/>
      <w:marBottom w:val="0"/>
      <w:divBdr>
        <w:top w:val="none" w:sz="0" w:space="0" w:color="auto"/>
        <w:left w:val="none" w:sz="0" w:space="0" w:color="auto"/>
        <w:bottom w:val="none" w:sz="0" w:space="0" w:color="auto"/>
        <w:right w:val="none" w:sz="0" w:space="0" w:color="auto"/>
      </w:divBdr>
    </w:div>
    <w:div w:id="894049040">
      <w:bodyDiv w:val="1"/>
      <w:marLeft w:val="0"/>
      <w:marRight w:val="0"/>
      <w:marTop w:val="0"/>
      <w:marBottom w:val="0"/>
      <w:divBdr>
        <w:top w:val="none" w:sz="0" w:space="0" w:color="auto"/>
        <w:left w:val="none" w:sz="0" w:space="0" w:color="auto"/>
        <w:bottom w:val="none" w:sz="0" w:space="0" w:color="auto"/>
        <w:right w:val="none" w:sz="0" w:space="0" w:color="auto"/>
      </w:divBdr>
    </w:div>
    <w:div w:id="899748596">
      <w:bodyDiv w:val="1"/>
      <w:marLeft w:val="0"/>
      <w:marRight w:val="0"/>
      <w:marTop w:val="0"/>
      <w:marBottom w:val="0"/>
      <w:divBdr>
        <w:top w:val="none" w:sz="0" w:space="0" w:color="auto"/>
        <w:left w:val="none" w:sz="0" w:space="0" w:color="auto"/>
        <w:bottom w:val="none" w:sz="0" w:space="0" w:color="auto"/>
        <w:right w:val="none" w:sz="0" w:space="0" w:color="auto"/>
      </w:divBdr>
    </w:div>
    <w:div w:id="917440714">
      <w:bodyDiv w:val="1"/>
      <w:marLeft w:val="0"/>
      <w:marRight w:val="0"/>
      <w:marTop w:val="0"/>
      <w:marBottom w:val="0"/>
      <w:divBdr>
        <w:top w:val="none" w:sz="0" w:space="0" w:color="auto"/>
        <w:left w:val="none" w:sz="0" w:space="0" w:color="auto"/>
        <w:bottom w:val="none" w:sz="0" w:space="0" w:color="auto"/>
        <w:right w:val="none" w:sz="0" w:space="0" w:color="auto"/>
      </w:divBdr>
    </w:div>
    <w:div w:id="926888792">
      <w:bodyDiv w:val="1"/>
      <w:marLeft w:val="0"/>
      <w:marRight w:val="0"/>
      <w:marTop w:val="0"/>
      <w:marBottom w:val="0"/>
      <w:divBdr>
        <w:top w:val="none" w:sz="0" w:space="0" w:color="auto"/>
        <w:left w:val="none" w:sz="0" w:space="0" w:color="auto"/>
        <w:bottom w:val="none" w:sz="0" w:space="0" w:color="auto"/>
        <w:right w:val="none" w:sz="0" w:space="0" w:color="auto"/>
      </w:divBdr>
    </w:div>
    <w:div w:id="938219218">
      <w:bodyDiv w:val="1"/>
      <w:marLeft w:val="0"/>
      <w:marRight w:val="0"/>
      <w:marTop w:val="0"/>
      <w:marBottom w:val="0"/>
      <w:divBdr>
        <w:top w:val="none" w:sz="0" w:space="0" w:color="auto"/>
        <w:left w:val="none" w:sz="0" w:space="0" w:color="auto"/>
        <w:bottom w:val="none" w:sz="0" w:space="0" w:color="auto"/>
        <w:right w:val="none" w:sz="0" w:space="0" w:color="auto"/>
      </w:divBdr>
    </w:div>
    <w:div w:id="955717523">
      <w:bodyDiv w:val="1"/>
      <w:marLeft w:val="0"/>
      <w:marRight w:val="0"/>
      <w:marTop w:val="0"/>
      <w:marBottom w:val="0"/>
      <w:divBdr>
        <w:top w:val="none" w:sz="0" w:space="0" w:color="auto"/>
        <w:left w:val="none" w:sz="0" w:space="0" w:color="auto"/>
        <w:bottom w:val="none" w:sz="0" w:space="0" w:color="auto"/>
        <w:right w:val="none" w:sz="0" w:space="0" w:color="auto"/>
      </w:divBdr>
    </w:div>
    <w:div w:id="962030931">
      <w:bodyDiv w:val="1"/>
      <w:marLeft w:val="0"/>
      <w:marRight w:val="0"/>
      <w:marTop w:val="0"/>
      <w:marBottom w:val="0"/>
      <w:divBdr>
        <w:top w:val="none" w:sz="0" w:space="0" w:color="auto"/>
        <w:left w:val="none" w:sz="0" w:space="0" w:color="auto"/>
        <w:bottom w:val="none" w:sz="0" w:space="0" w:color="auto"/>
        <w:right w:val="none" w:sz="0" w:space="0" w:color="auto"/>
      </w:divBdr>
    </w:div>
    <w:div w:id="986323029">
      <w:bodyDiv w:val="1"/>
      <w:marLeft w:val="0"/>
      <w:marRight w:val="0"/>
      <w:marTop w:val="0"/>
      <w:marBottom w:val="0"/>
      <w:divBdr>
        <w:top w:val="none" w:sz="0" w:space="0" w:color="auto"/>
        <w:left w:val="none" w:sz="0" w:space="0" w:color="auto"/>
        <w:bottom w:val="none" w:sz="0" w:space="0" w:color="auto"/>
        <w:right w:val="none" w:sz="0" w:space="0" w:color="auto"/>
      </w:divBdr>
    </w:div>
    <w:div w:id="994257869">
      <w:bodyDiv w:val="1"/>
      <w:marLeft w:val="0"/>
      <w:marRight w:val="0"/>
      <w:marTop w:val="0"/>
      <w:marBottom w:val="0"/>
      <w:divBdr>
        <w:top w:val="none" w:sz="0" w:space="0" w:color="auto"/>
        <w:left w:val="none" w:sz="0" w:space="0" w:color="auto"/>
        <w:bottom w:val="none" w:sz="0" w:space="0" w:color="auto"/>
        <w:right w:val="none" w:sz="0" w:space="0" w:color="auto"/>
      </w:divBdr>
    </w:div>
    <w:div w:id="1001588886">
      <w:bodyDiv w:val="1"/>
      <w:marLeft w:val="0"/>
      <w:marRight w:val="0"/>
      <w:marTop w:val="0"/>
      <w:marBottom w:val="0"/>
      <w:divBdr>
        <w:top w:val="none" w:sz="0" w:space="0" w:color="auto"/>
        <w:left w:val="none" w:sz="0" w:space="0" w:color="auto"/>
        <w:bottom w:val="none" w:sz="0" w:space="0" w:color="auto"/>
        <w:right w:val="none" w:sz="0" w:space="0" w:color="auto"/>
      </w:divBdr>
    </w:div>
    <w:div w:id="1006858449">
      <w:bodyDiv w:val="1"/>
      <w:marLeft w:val="0"/>
      <w:marRight w:val="0"/>
      <w:marTop w:val="0"/>
      <w:marBottom w:val="0"/>
      <w:divBdr>
        <w:top w:val="none" w:sz="0" w:space="0" w:color="auto"/>
        <w:left w:val="none" w:sz="0" w:space="0" w:color="auto"/>
        <w:bottom w:val="none" w:sz="0" w:space="0" w:color="auto"/>
        <w:right w:val="none" w:sz="0" w:space="0" w:color="auto"/>
      </w:divBdr>
    </w:div>
    <w:div w:id="1010595849">
      <w:bodyDiv w:val="1"/>
      <w:marLeft w:val="0"/>
      <w:marRight w:val="0"/>
      <w:marTop w:val="0"/>
      <w:marBottom w:val="0"/>
      <w:divBdr>
        <w:top w:val="none" w:sz="0" w:space="0" w:color="auto"/>
        <w:left w:val="none" w:sz="0" w:space="0" w:color="auto"/>
        <w:bottom w:val="none" w:sz="0" w:space="0" w:color="auto"/>
        <w:right w:val="none" w:sz="0" w:space="0" w:color="auto"/>
      </w:divBdr>
    </w:div>
    <w:div w:id="1043600191">
      <w:bodyDiv w:val="1"/>
      <w:marLeft w:val="0"/>
      <w:marRight w:val="0"/>
      <w:marTop w:val="0"/>
      <w:marBottom w:val="0"/>
      <w:divBdr>
        <w:top w:val="none" w:sz="0" w:space="0" w:color="auto"/>
        <w:left w:val="none" w:sz="0" w:space="0" w:color="auto"/>
        <w:bottom w:val="none" w:sz="0" w:space="0" w:color="auto"/>
        <w:right w:val="none" w:sz="0" w:space="0" w:color="auto"/>
      </w:divBdr>
    </w:div>
    <w:div w:id="1048996220">
      <w:bodyDiv w:val="1"/>
      <w:marLeft w:val="0"/>
      <w:marRight w:val="0"/>
      <w:marTop w:val="0"/>
      <w:marBottom w:val="0"/>
      <w:divBdr>
        <w:top w:val="none" w:sz="0" w:space="0" w:color="auto"/>
        <w:left w:val="none" w:sz="0" w:space="0" w:color="auto"/>
        <w:bottom w:val="none" w:sz="0" w:space="0" w:color="auto"/>
        <w:right w:val="none" w:sz="0" w:space="0" w:color="auto"/>
      </w:divBdr>
    </w:div>
    <w:div w:id="1051883665">
      <w:bodyDiv w:val="1"/>
      <w:marLeft w:val="0"/>
      <w:marRight w:val="0"/>
      <w:marTop w:val="0"/>
      <w:marBottom w:val="0"/>
      <w:divBdr>
        <w:top w:val="none" w:sz="0" w:space="0" w:color="auto"/>
        <w:left w:val="none" w:sz="0" w:space="0" w:color="auto"/>
        <w:bottom w:val="none" w:sz="0" w:space="0" w:color="auto"/>
        <w:right w:val="none" w:sz="0" w:space="0" w:color="auto"/>
      </w:divBdr>
    </w:div>
    <w:div w:id="1066755936">
      <w:bodyDiv w:val="1"/>
      <w:marLeft w:val="0"/>
      <w:marRight w:val="0"/>
      <w:marTop w:val="0"/>
      <w:marBottom w:val="0"/>
      <w:divBdr>
        <w:top w:val="none" w:sz="0" w:space="0" w:color="auto"/>
        <w:left w:val="none" w:sz="0" w:space="0" w:color="auto"/>
        <w:bottom w:val="none" w:sz="0" w:space="0" w:color="auto"/>
        <w:right w:val="none" w:sz="0" w:space="0" w:color="auto"/>
      </w:divBdr>
    </w:div>
    <w:div w:id="1113130469">
      <w:bodyDiv w:val="1"/>
      <w:marLeft w:val="0"/>
      <w:marRight w:val="0"/>
      <w:marTop w:val="0"/>
      <w:marBottom w:val="0"/>
      <w:divBdr>
        <w:top w:val="none" w:sz="0" w:space="0" w:color="auto"/>
        <w:left w:val="none" w:sz="0" w:space="0" w:color="auto"/>
        <w:bottom w:val="none" w:sz="0" w:space="0" w:color="auto"/>
        <w:right w:val="none" w:sz="0" w:space="0" w:color="auto"/>
      </w:divBdr>
    </w:div>
    <w:div w:id="1129936717">
      <w:bodyDiv w:val="1"/>
      <w:marLeft w:val="0"/>
      <w:marRight w:val="0"/>
      <w:marTop w:val="0"/>
      <w:marBottom w:val="0"/>
      <w:divBdr>
        <w:top w:val="none" w:sz="0" w:space="0" w:color="auto"/>
        <w:left w:val="none" w:sz="0" w:space="0" w:color="auto"/>
        <w:bottom w:val="none" w:sz="0" w:space="0" w:color="auto"/>
        <w:right w:val="none" w:sz="0" w:space="0" w:color="auto"/>
      </w:divBdr>
    </w:div>
    <w:div w:id="1134058132">
      <w:bodyDiv w:val="1"/>
      <w:marLeft w:val="0"/>
      <w:marRight w:val="0"/>
      <w:marTop w:val="0"/>
      <w:marBottom w:val="0"/>
      <w:divBdr>
        <w:top w:val="none" w:sz="0" w:space="0" w:color="auto"/>
        <w:left w:val="none" w:sz="0" w:space="0" w:color="auto"/>
        <w:bottom w:val="none" w:sz="0" w:space="0" w:color="auto"/>
        <w:right w:val="none" w:sz="0" w:space="0" w:color="auto"/>
      </w:divBdr>
    </w:div>
    <w:div w:id="1137796839">
      <w:bodyDiv w:val="1"/>
      <w:marLeft w:val="0"/>
      <w:marRight w:val="0"/>
      <w:marTop w:val="0"/>
      <w:marBottom w:val="0"/>
      <w:divBdr>
        <w:top w:val="none" w:sz="0" w:space="0" w:color="auto"/>
        <w:left w:val="none" w:sz="0" w:space="0" w:color="auto"/>
        <w:bottom w:val="none" w:sz="0" w:space="0" w:color="auto"/>
        <w:right w:val="none" w:sz="0" w:space="0" w:color="auto"/>
      </w:divBdr>
    </w:div>
    <w:div w:id="1148862755">
      <w:bodyDiv w:val="1"/>
      <w:marLeft w:val="0"/>
      <w:marRight w:val="0"/>
      <w:marTop w:val="0"/>
      <w:marBottom w:val="0"/>
      <w:divBdr>
        <w:top w:val="none" w:sz="0" w:space="0" w:color="auto"/>
        <w:left w:val="none" w:sz="0" w:space="0" w:color="auto"/>
        <w:bottom w:val="none" w:sz="0" w:space="0" w:color="auto"/>
        <w:right w:val="none" w:sz="0" w:space="0" w:color="auto"/>
      </w:divBdr>
    </w:div>
    <w:div w:id="1160999966">
      <w:bodyDiv w:val="1"/>
      <w:marLeft w:val="0"/>
      <w:marRight w:val="0"/>
      <w:marTop w:val="0"/>
      <w:marBottom w:val="0"/>
      <w:divBdr>
        <w:top w:val="none" w:sz="0" w:space="0" w:color="auto"/>
        <w:left w:val="none" w:sz="0" w:space="0" w:color="auto"/>
        <w:bottom w:val="none" w:sz="0" w:space="0" w:color="auto"/>
        <w:right w:val="none" w:sz="0" w:space="0" w:color="auto"/>
      </w:divBdr>
    </w:div>
    <w:div w:id="1169784031">
      <w:bodyDiv w:val="1"/>
      <w:marLeft w:val="0"/>
      <w:marRight w:val="0"/>
      <w:marTop w:val="0"/>
      <w:marBottom w:val="0"/>
      <w:divBdr>
        <w:top w:val="none" w:sz="0" w:space="0" w:color="auto"/>
        <w:left w:val="none" w:sz="0" w:space="0" w:color="auto"/>
        <w:bottom w:val="none" w:sz="0" w:space="0" w:color="auto"/>
        <w:right w:val="none" w:sz="0" w:space="0" w:color="auto"/>
      </w:divBdr>
      <w:divsChild>
        <w:div w:id="26302516">
          <w:marLeft w:val="0"/>
          <w:marRight w:val="0"/>
          <w:marTop w:val="0"/>
          <w:marBottom w:val="0"/>
          <w:divBdr>
            <w:top w:val="none" w:sz="0" w:space="0" w:color="auto"/>
            <w:left w:val="none" w:sz="0" w:space="0" w:color="auto"/>
            <w:bottom w:val="none" w:sz="0" w:space="0" w:color="auto"/>
            <w:right w:val="none" w:sz="0" w:space="0" w:color="auto"/>
          </w:divBdr>
        </w:div>
        <w:div w:id="1502158255">
          <w:marLeft w:val="0"/>
          <w:marRight w:val="0"/>
          <w:marTop w:val="0"/>
          <w:marBottom w:val="0"/>
          <w:divBdr>
            <w:top w:val="none" w:sz="0" w:space="0" w:color="auto"/>
            <w:left w:val="none" w:sz="0" w:space="0" w:color="auto"/>
            <w:bottom w:val="none" w:sz="0" w:space="0" w:color="auto"/>
            <w:right w:val="none" w:sz="0" w:space="0" w:color="auto"/>
          </w:divBdr>
        </w:div>
      </w:divsChild>
    </w:div>
    <w:div w:id="1173225840">
      <w:bodyDiv w:val="1"/>
      <w:marLeft w:val="0"/>
      <w:marRight w:val="0"/>
      <w:marTop w:val="0"/>
      <w:marBottom w:val="0"/>
      <w:divBdr>
        <w:top w:val="none" w:sz="0" w:space="0" w:color="auto"/>
        <w:left w:val="none" w:sz="0" w:space="0" w:color="auto"/>
        <w:bottom w:val="none" w:sz="0" w:space="0" w:color="auto"/>
        <w:right w:val="none" w:sz="0" w:space="0" w:color="auto"/>
      </w:divBdr>
    </w:div>
    <w:div w:id="1182937809">
      <w:bodyDiv w:val="1"/>
      <w:marLeft w:val="0"/>
      <w:marRight w:val="0"/>
      <w:marTop w:val="0"/>
      <w:marBottom w:val="0"/>
      <w:divBdr>
        <w:top w:val="none" w:sz="0" w:space="0" w:color="auto"/>
        <w:left w:val="none" w:sz="0" w:space="0" w:color="auto"/>
        <w:bottom w:val="none" w:sz="0" w:space="0" w:color="auto"/>
        <w:right w:val="none" w:sz="0" w:space="0" w:color="auto"/>
      </w:divBdr>
    </w:div>
    <w:div w:id="1186096628">
      <w:bodyDiv w:val="1"/>
      <w:marLeft w:val="0"/>
      <w:marRight w:val="0"/>
      <w:marTop w:val="0"/>
      <w:marBottom w:val="0"/>
      <w:divBdr>
        <w:top w:val="none" w:sz="0" w:space="0" w:color="auto"/>
        <w:left w:val="none" w:sz="0" w:space="0" w:color="auto"/>
        <w:bottom w:val="none" w:sz="0" w:space="0" w:color="auto"/>
        <w:right w:val="none" w:sz="0" w:space="0" w:color="auto"/>
      </w:divBdr>
    </w:div>
    <w:div w:id="1187984326">
      <w:bodyDiv w:val="1"/>
      <w:marLeft w:val="0"/>
      <w:marRight w:val="0"/>
      <w:marTop w:val="0"/>
      <w:marBottom w:val="0"/>
      <w:divBdr>
        <w:top w:val="none" w:sz="0" w:space="0" w:color="auto"/>
        <w:left w:val="none" w:sz="0" w:space="0" w:color="auto"/>
        <w:bottom w:val="none" w:sz="0" w:space="0" w:color="auto"/>
        <w:right w:val="none" w:sz="0" w:space="0" w:color="auto"/>
      </w:divBdr>
    </w:div>
    <w:div w:id="1197162892">
      <w:bodyDiv w:val="1"/>
      <w:marLeft w:val="0"/>
      <w:marRight w:val="0"/>
      <w:marTop w:val="0"/>
      <w:marBottom w:val="0"/>
      <w:divBdr>
        <w:top w:val="none" w:sz="0" w:space="0" w:color="auto"/>
        <w:left w:val="none" w:sz="0" w:space="0" w:color="auto"/>
        <w:bottom w:val="none" w:sz="0" w:space="0" w:color="auto"/>
        <w:right w:val="none" w:sz="0" w:space="0" w:color="auto"/>
      </w:divBdr>
    </w:div>
    <w:div w:id="1209486344">
      <w:bodyDiv w:val="1"/>
      <w:marLeft w:val="0"/>
      <w:marRight w:val="0"/>
      <w:marTop w:val="0"/>
      <w:marBottom w:val="0"/>
      <w:divBdr>
        <w:top w:val="none" w:sz="0" w:space="0" w:color="auto"/>
        <w:left w:val="none" w:sz="0" w:space="0" w:color="auto"/>
        <w:bottom w:val="none" w:sz="0" w:space="0" w:color="auto"/>
        <w:right w:val="none" w:sz="0" w:space="0" w:color="auto"/>
      </w:divBdr>
    </w:div>
    <w:div w:id="1240990478">
      <w:bodyDiv w:val="1"/>
      <w:marLeft w:val="0"/>
      <w:marRight w:val="0"/>
      <w:marTop w:val="0"/>
      <w:marBottom w:val="0"/>
      <w:divBdr>
        <w:top w:val="none" w:sz="0" w:space="0" w:color="auto"/>
        <w:left w:val="none" w:sz="0" w:space="0" w:color="auto"/>
        <w:bottom w:val="none" w:sz="0" w:space="0" w:color="auto"/>
        <w:right w:val="none" w:sz="0" w:space="0" w:color="auto"/>
      </w:divBdr>
    </w:div>
    <w:div w:id="1243877330">
      <w:bodyDiv w:val="1"/>
      <w:marLeft w:val="0"/>
      <w:marRight w:val="0"/>
      <w:marTop w:val="0"/>
      <w:marBottom w:val="0"/>
      <w:divBdr>
        <w:top w:val="none" w:sz="0" w:space="0" w:color="auto"/>
        <w:left w:val="none" w:sz="0" w:space="0" w:color="auto"/>
        <w:bottom w:val="none" w:sz="0" w:space="0" w:color="auto"/>
        <w:right w:val="none" w:sz="0" w:space="0" w:color="auto"/>
      </w:divBdr>
    </w:div>
    <w:div w:id="1250851676">
      <w:bodyDiv w:val="1"/>
      <w:marLeft w:val="0"/>
      <w:marRight w:val="0"/>
      <w:marTop w:val="0"/>
      <w:marBottom w:val="0"/>
      <w:divBdr>
        <w:top w:val="none" w:sz="0" w:space="0" w:color="auto"/>
        <w:left w:val="none" w:sz="0" w:space="0" w:color="auto"/>
        <w:bottom w:val="none" w:sz="0" w:space="0" w:color="auto"/>
        <w:right w:val="none" w:sz="0" w:space="0" w:color="auto"/>
      </w:divBdr>
    </w:div>
    <w:div w:id="1296642429">
      <w:bodyDiv w:val="1"/>
      <w:marLeft w:val="0"/>
      <w:marRight w:val="0"/>
      <w:marTop w:val="0"/>
      <w:marBottom w:val="0"/>
      <w:divBdr>
        <w:top w:val="none" w:sz="0" w:space="0" w:color="auto"/>
        <w:left w:val="none" w:sz="0" w:space="0" w:color="auto"/>
        <w:bottom w:val="none" w:sz="0" w:space="0" w:color="auto"/>
        <w:right w:val="none" w:sz="0" w:space="0" w:color="auto"/>
      </w:divBdr>
    </w:div>
    <w:div w:id="1310475210">
      <w:bodyDiv w:val="1"/>
      <w:marLeft w:val="0"/>
      <w:marRight w:val="0"/>
      <w:marTop w:val="0"/>
      <w:marBottom w:val="0"/>
      <w:divBdr>
        <w:top w:val="none" w:sz="0" w:space="0" w:color="auto"/>
        <w:left w:val="none" w:sz="0" w:space="0" w:color="auto"/>
        <w:bottom w:val="none" w:sz="0" w:space="0" w:color="auto"/>
        <w:right w:val="none" w:sz="0" w:space="0" w:color="auto"/>
      </w:divBdr>
    </w:div>
    <w:div w:id="1342850283">
      <w:bodyDiv w:val="1"/>
      <w:marLeft w:val="0"/>
      <w:marRight w:val="0"/>
      <w:marTop w:val="0"/>
      <w:marBottom w:val="0"/>
      <w:divBdr>
        <w:top w:val="none" w:sz="0" w:space="0" w:color="auto"/>
        <w:left w:val="none" w:sz="0" w:space="0" w:color="auto"/>
        <w:bottom w:val="none" w:sz="0" w:space="0" w:color="auto"/>
        <w:right w:val="none" w:sz="0" w:space="0" w:color="auto"/>
      </w:divBdr>
      <w:divsChild>
        <w:div w:id="1452357031">
          <w:marLeft w:val="0"/>
          <w:marRight w:val="0"/>
          <w:marTop w:val="0"/>
          <w:marBottom w:val="0"/>
          <w:divBdr>
            <w:top w:val="none" w:sz="0" w:space="0" w:color="auto"/>
            <w:left w:val="none" w:sz="0" w:space="0" w:color="auto"/>
            <w:bottom w:val="none" w:sz="0" w:space="0" w:color="auto"/>
            <w:right w:val="none" w:sz="0" w:space="0" w:color="auto"/>
          </w:divBdr>
        </w:div>
      </w:divsChild>
    </w:div>
    <w:div w:id="1350451847">
      <w:bodyDiv w:val="1"/>
      <w:marLeft w:val="0"/>
      <w:marRight w:val="0"/>
      <w:marTop w:val="0"/>
      <w:marBottom w:val="0"/>
      <w:divBdr>
        <w:top w:val="none" w:sz="0" w:space="0" w:color="auto"/>
        <w:left w:val="none" w:sz="0" w:space="0" w:color="auto"/>
        <w:bottom w:val="none" w:sz="0" w:space="0" w:color="auto"/>
        <w:right w:val="none" w:sz="0" w:space="0" w:color="auto"/>
      </w:divBdr>
    </w:div>
    <w:div w:id="1351448268">
      <w:bodyDiv w:val="1"/>
      <w:marLeft w:val="0"/>
      <w:marRight w:val="0"/>
      <w:marTop w:val="0"/>
      <w:marBottom w:val="0"/>
      <w:divBdr>
        <w:top w:val="none" w:sz="0" w:space="0" w:color="auto"/>
        <w:left w:val="none" w:sz="0" w:space="0" w:color="auto"/>
        <w:bottom w:val="none" w:sz="0" w:space="0" w:color="auto"/>
        <w:right w:val="none" w:sz="0" w:space="0" w:color="auto"/>
      </w:divBdr>
    </w:div>
    <w:div w:id="1355879881">
      <w:bodyDiv w:val="1"/>
      <w:marLeft w:val="0"/>
      <w:marRight w:val="0"/>
      <w:marTop w:val="0"/>
      <w:marBottom w:val="0"/>
      <w:divBdr>
        <w:top w:val="none" w:sz="0" w:space="0" w:color="auto"/>
        <w:left w:val="none" w:sz="0" w:space="0" w:color="auto"/>
        <w:bottom w:val="none" w:sz="0" w:space="0" w:color="auto"/>
        <w:right w:val="none" w:sz="0" w:space="0" w:color="auto"/>
      </w:divBdr>
      <w:divsChild>
        <w:div w:id="790633739">
          <w:marLeft w:val="0"/>
          <w:marRight w:val="0"/>
          <w:marTop w:val="0"/>
          <w:marBottom w:val="0"/>
          <w:divBdr>
            <w:top w:val="none" w:sz="0" w:space="0" w:color="auto"/>
            <w:left w:val="none" w:sz="0" w:space="0" w:color="auto"/>
            <w:bottom w:val="none" w:sz="0" w:space="0" w:color="auto"/>
            <w:right w:val="none" w:sz="0" w:space="0" w:color="auto"/>
          </w:divBdr>
        </w:div>
      </w:divsChild>
    </w:div>
    <w:div w:id="1406106886">
      <w:bodyDiv w:val="1"/>
      <w:marLeft w:val="0"/>
      <w:marRight w:val="0"/>
      <w:marTop w:val="0"/>
      <w:marBottom w:val="0"/>
      <w:divBdr>
        <w:top w:val="none" w:sz="0" w:space="0" w:color="auto"/>
        <w:left w:val="none" w:sz="0" w:space="0" w:color="auto"/>
        <w:bottom w:val="none" w:sz="0" w:space="0" w:color="auto"/>
        <w:right w:val="none" w:sz="0" w:space="0" w:color="auto"/>
      </w:divBdr>
    </w:div>
    <w:div w:id="1428768886">
      <w:bodyDiv w:val="1"/>
      <w:marLeft w:val="0"/>
      <w:marRight w:val="0"/>
      <w:marTop w:val="0"/>
      <w:marBottom w:val="0"/>
      <w:divBdr>
        <w:top w:val="none" w:sz="0" w:space="0" w:color="auto"/>
        <w:left w:val="none" w:sz="0" w:space="0" w:color="auto"/>
        <w:bottom w:val="none" w:sz="0" w:space="0" w:color="auto"/>
        <w:right w:val="none" w:sz="0" w:space="0" w:color="auto"/>
      </w:divBdr>
    </w:div>
    <w:div w:id="1431975970">
      <w:bodyDiv w:val="1"/>
      <w:marLeft w:val="0"/>
      <w:marRight w:val="0"/>
      <w:marTop w:val="0"/>
      <w:marBottom w:val="0"/>
      <w:divBdr>
        <w:top w:val="none" w:sz="0" w:space="0" w:color="auto"/>
        <w:left w:val="none" w:sz="0" w:space="0" w:color="auto"/>
        <w:bottom w:val="none" w:sz="0" w:space="0" w:color="auto"/>
        <w:right w:val="none" w:sz="0" w:space="0" w:color="auto"/>
      </w:divBdr>
    </w:div>
    <w:div w:id="1453161605">
      <w:bodyDiv w:val="1"/>
      <w:marLeft w:val="0"/>
      <w:marRight w:val="0"/>
      <w:marTop w:val="0"/>
      <w:marBottom w:val="0"/>
      <w:divBdr>
        <w:top w:val="none" w:sz="0" w:space="0" w:color="auto"/>
        <w:left w:val="none" w:sz="0" w:space="0" w:color="auto"/>
        <w:bottom w:val="none" w:sz="0" w:space="0" w:color="auto"/>
        <w:right w:val="none" w:sz="0" w:space="0" w:color="auto"/>
      </w:divBdr>
    </w:div>
    <w:div w:id="1479415760">
      <w:bodyDiv w:val="1"/>
      <w:marLeft w:val="0"/>
      <w:marRight w:val="0"/>
      <w:marTop w:val="0"/>
      <w:marBottom w:val="0"/>
      <w:divBdr>
        <w:top w:val="none" w:sz="0" w:space="0" w:color="auto"/>
        <w:left w:val="none" w:sz="0" w:space="0" w:color="auto"/>
        <w:bottom w:val="none" w:sz="0" w:space="0" w:color="auto"/>
        <w:right w:val="none" w:sz="0" w:space="0" w:color="auto"/>
      </w:divBdr>
    </w:div>
    <w:div w:id="1481113752">
      <w:bodyDiv w:val="1"/>
      <w:marLeft w:val="0"/>
      <w:marRight w:val="0"/>
      <w:marTop w:val="0"/>
      <w:marBottom w:val="0"/>
      <w:divBdr>
        <w:top w:val="none" w:sz="0" w:space="0" w:color="auto"/>
        <w:left w:val="none" w:sz="0" w:space="0" w:color="auto"/>
        <w:bottom w:val="none" w:sz="0" w:space="0" w:color="auto"/>
        <w:right w:val="none" w:sz="0" w:space="0" w:color="auto"/>
      </w:divBdr>
    </w:div>
    <w:div w:id="1496843609">
      <w:bodyDiv w:val="1"/>
      <w:marLeft w:val="0"/>
      <w:marRight w:val="0"/>
      <w:marTop w:val="0"/>
      <w:marBottom w:val="0"/>
      <w:divBdr>
        <w:top w:val="none" w:sz="0" w:space="0" w:color="auto"/>
        <w:left w:val="none" w:sz="0" w:space="0" w:color="auto"/>
        <w:bottom w:val="none" w:sz="0" w:space="0" w:color="auto"/>
        <w:right w:val="none" w:sz="0" w:space="0" w:color="auto"/>
      </w:divBdr>
    </w:div>
    <w:div w:id="1505054147">
      <w:bodyDiv w:val="1"/>
      <w:marLeft w:val="0"/>
      <w:marRight w:val="0"/>
      <w:marTop w:val="0"/>
      <w:marBottom w:val="0"/>
      <w:divBdr>
        <w:top w:val="none" w:sz="0" w:space="0" w:color="auto"/>
        <w:left w:val="none" w:sz="0" w:space="0" w:color="auto"/>
        <w:bottom w:val="none" w:sz="0" w:space="0" w:color="auto"/>
        <w:right w:val="none" w:sz="0" w:space="0" w:color="auto"/>
      </w:divBdr>
    </w:div>
    <w:div w:id="1512336598">
      <w:bodyDiv w:val="1"/>
      <w:marLeft w:val="0"/>
      <w:marRight w:val="0"/>
      <w:marTop w:val="0"/>
      <w:marBottom w:val="0"/>
      <w:divBdr>
        <w:top w:val="none" w:sz="0" w:space="0" w:color="auto"/>
        <w:left w:val="none" w:sz="0" w:space="0" w:color="auto"/>
        <w:bottom w:val="none" w:sz="0" w:space="0" w:color="auto"/>
        <w:right w:val="none" w:sz="0" w:space="0" w:color="auto"/>
      </w:divBdr>
    </w:div>
    <w:div w:id="1520243810">
      <w:bodyDiv w:val="1"/>
      <w:marLeft w:val="0"/>
      <w:marRight w:val="0"/>
      <w:marTop w:val="0"/>
      <w:marBottom w:val="0"/>
      <w:divBdr>
        <w:top w:val="none" w:sz="0" w:space="0" w:color="auto"/>
        <w:left w:val="none" w:sz="0" w:space="0" w:color="auto"/>
        <w:bottom w:val="none" w:sz="0" w:space="0" w:color="auto"/>
        <w:right w:val="none" w:sz="0" w:space="0" w:color="auto"/>
      </w:divBdr>
    </w:div>
    <w:div w:id="1530222589">
      <w:bodyDiv w:val="1"/>
      <w:marLeft w:val="0"/>
      <w:marRight w:val="0"/>
      <w:marTop w:val="0"/>
      <w:marBottom w:val="0"/>
      <w:divBdr>
        <w:top w:val="none" w:sz="0" w:space="0" w:color="auto"/>
        <w:left w:val="none" w:sz="0" w:space="0" w:color="auto"/>
        <w:bottom w:val="none" w:sz="0" w:space="0" w:color="auto"/>
        <w:right w:val="none" w:sz="0" w:space="0" w:color="auto"/>
      </w:divBdr>
    </w:div>
    <w:div w:id="1540897721">
      <w:bodyDiv w:val="1"/>
      <w:marLeft w:val="0"/>
      <w:marRight w:val="0"/>
      <w:marTop w:val="0"/>
      <w:marBottom w:val="0"/>
      <w:divBdr>
        <w:top w:val="none" w:sz="0" w:space="0" w:color="auto"/>
        <w:left w:val="none" w:sz="0" w:space="0" w:color="auto"/>
        <w:bottom w:val="none" w:sz="0" w:space="0" w:color="auto"/>
        <w:right w:val="none" w:sz="0" w:space="0" w:color="auto"/>
      </w:divBdr>
    </w:div>
    <w:div w:id="1561407256">
      <w:bodyDiv w:val="1"/>
      <w:marLeft w:val="0"/>
      <w:marRight w:val="0"/>
      <w:marTop w:val="0"/>
      <w:marBottom w:val="0"/>
      <w:divBdr>
        <w:top w:val="none" w:sz="0" w:space="0" w:color="auto"/>
        <w:left w:val="none" w:sz="0" w:space="0" w:color="auto"/>
        <w:bottom w:val="none" w:sz="0" w:space="0" w:color="auto"/>
        <w:right w:val="none" w:sz="0" w:space="0" w:color="auto"/>
      </w:divBdr>
    </w:div>
    <w:div w:id="1575316270">
      <w:bodyDiv w:val="1"/>
      <w:marLeft w:val="0"/>
      <w:marRight w:val="0"/>
      <w:marTop w:val="0"/>
      <w:marBottom w:val="0"/>
      <w:divBdr>
        <w:top w:val="none" w:sz="0" w:space="0" w:color="auto"/>
        <w:left w:val="none" w:sz="0" w:space="0" w:color="auto"/>
        <w:bottom w:val="none" w:sz="0" w:space="0" w:color="auto"/>
        <w:right w:val="none" w:sz="0" w:space="0" w:color="auto"/>
      </w:divBdr>
    </w:div>
    <w:div w:id="1576894161">
      <w:bodyDiv w:val="1"/>
      <w:marLeft w:val="0"/>
      <w:marRight w:val="0"/>
      <w:marTop w:val="0"/>
      <w:marBottom w:val="0"/>
      <w:divBdr>
        <w:top w:val="none" w:sz="0" w:space="0" w:color="auto"/>
        <w:left w:val="none" w:sz="0" w:space="0" w:color="auto"/>
        <w:bottom w:val="none" w:sz="0" w:space="0" w:color="auto"/>
        <w:right w:val="none" w:sz="0" w:space="0" w:color="auto"/>
      </w:divBdr>
    </w:div>
    <w:div w:id="1596476145">
      <w:bodyDiv w:val="1"/>
      <w:marLeft w:val="0"/>
      <w:marRight w:val="0"/>
      <w:marTop w:val="0"/>
      <w:marBottom w:val="0"/>
      <w:divBdr>
        <w:top w:val="none" w:sz="0" w:space="0" w:color="auto"/>
        <w:left w:val="none" w:sz="0" w:space="0" w:color="auto"/>
        <w:bottom w:val="none" w:sz="0" w:space="0" w:color="auto"/>
        <w:right w:val="none" w:sz="0" w:space="0" w:color="auto"/>
      </w:divBdr>
    </w:div>
    <w:div w:id="1601255595">
      <w:bodyDiv w:val="1"/>
      <w:marLeft w:val="0"/>
      <w:marRight w:val="0"/>
      <w:marTop w:val="0"/>
      <w:marBottom w:val="0"/>
      <w:divBdr>
        <w:top w:val="none" w:sz="0" w:space="0" w:color="auto"/>
        <w:left w:val="none" w:sz="0" w:space="0" w:color="auto"/>
        <w:bottom w:val="none" w:sz="0" w:space="0" w:color="auto"/>
        <w:right w:val="none" w:sz="0" w:space="0" w:color="auto"/>
      </w:divBdr>
    </w:div>
    <w:div w:id="1610114477">
      <w:bodyDiv w:val="1"/>
      <w:marLeft w:val="0"/>
      <w:marRight w:val="0"/>
      <w:marTop w:val="0"/>
      <w:marBottom w:val="0"/>
      <w:divBdr>
        <w:top w:val="none" w:sz="0" w:space="0" w:color="auto"/>
        <w:left w:val="none" w:sz="0" w:space="0" w:color="auto"/>
        <w:bottom w:val="none" w:sz="0" w:space="0" w:color="auto"/>
        <w:right w:val="none" w:sz="0" w:space="0" w:color="auto"/>
      </w:divBdr>
    </w:div>
    <w:div w:id="1669552451">
      <w:bodyDiv w:val="1"/>
      <w:marLeft w:val="0"/>
      <w:marRight w:val="0"/>
      <w:marTop w:val="0"/>
      <w:marBottom w:val="0"/>
      <w:divBdr>
        <w:top w:val="none" w:sz="0" w:space="0" w:color="auto"/>
        <w:left w:val="none" w:sz="0" w:space="0" w:color="auto"/>
        <w:bottom w:val="none" w:sz="0" w:space="0" w:color="auto"/>
        <w:right w:val="none" w:sz="0" w:space="0" w:color="auto"/>
      </w:divBdr>
    </w:div>
    <w:div w:id="1680277743">
      <w:bodyDiv w:val="1"/>
      <w:marLeft w:val="0"/>
      <w:marRight w:val="0"/>
      <w:marTop w:val="0"/>
      <w:marBottom w:val="0"/>
      <w:divBdr>
        <w:top w:val="none" w:sz="0" w:space="0" w:color="auto"/>
        <w:left w:val="none" w:sz="0" w:space="0" w:color="auto"/>
        <w:bottom w:val="none" w:sz="0" w:space="0" w:color="auto"/>
        <w:right w:val="none" w:sz="0" w:space="0" w:color="auto"/>
      </w:divBdr>
    </w:div>
    <w:div w:id="1691681757">
      <w:bodyDiv w:val="1"/>
      <w:marLeft w:val="0"/>
      <w:marRight w:val="0"/>
      <w:marTop w:val="0"/>
      <w:marBottom w:val="0"/>
      <w:divBdr>
        <w:top w:val="none" w:sz="0" w:space="0" w:color="auto"/>
        <w:left w:val="none" w:sz="0" w:space="0" w:color="auto"/>
        <w:bottom w:val="none" w:sz="0" w:space="0" w:color="auto"/>
        <w:right w:val="none" w:sz="0" w:space="0" w:color="auto"/>
      </w:divBdr>
    </w:div>
    <w:div w:id="1697732502">
      <w:bodyDiv w:val="1"/>
      <w:marLeft w:val="0"/>
      <w:marRight w:val="0"/>
      <w:marTop w:val="0"/>
      <w:marBottom w:val="0"/>
      <w:divBdr>
        <w:top w:val="none" w:sz="0" w:space="0" w:color="auto"/>
        <w:left w:val="none" w:sz="0" w:space="0" w:color="auto"/>
        <w:bottom w:val="none" w:sz="0" w:space="0" w:color="auto"/>
        <w:right w:val="none" w:sz="0" w:space="0" w:color="auto"/>
      </w:divBdr>
    </w:div>
    <w:div w:id="1718819569">
      <w:bodyDiv w:val="1"/>
      <w:marLeft w:val="0"/>
      <w:marRight w:val="0"/>
      <w:marTop w:val="0"/>
      <w:marBottom w:val="0"/>
      <w:divBdr>
        <w:top w:val="none" w:sz="0" w:space="0" w:color="auto"/>
        <w:left w:val="none" w:sz="0" w:space="0" w:color="auto"/>
        <w:bottom w:val="none" w:sz="0" w:space="0" w:color="auto"/>
        <w:right w:val="none" w:sz="0" w:space="0" w:color="auto"/>
      </w:divBdr>
    </w:div>
    <w:div w:id="1722711323">
      <w:bodyDiv w:val="1"/>
      <w:marLeft w:val="0"/>
      <w:marRight w:val="0"/>
      <w:marTop w:val="0"/>
      <w:marBottom w:val="0"/>
      <w:divBdr>
        <w:top w:val="none" w:sz="0" w:space="0" w:color="auto"/>
        <w:left w:val="none" w:sz="0" w:space="0" w:color="auto"/>
        <w:bottom w:val="none" w:sz="0" w:space="0" w:color="auto"/>
        <w:right w:val="none" w:sz="0" w:space="0" w:color="auto"/>
      </w:divBdr>
    </w:div>
    <w:div w:id="1726097854">
      <w:bodyDiv w:val="1"/>
      <w:marLeft w:val="0"/>
      <w:marRight w:val="0"/>
      <w:marTop w:val="0"/>
      <w:marBottom w:val="0"/>
      <w:divBdr>
        <w:top w:val="none" w:sz="0" w:space="0" w:color="auto"/>
        <w:left w:val="none" w:sz="0" w:space="0" w:color="auto"/>
        <w:bottom w:val="none" w:sz="0" w:space="0" w:color="auto"/>
        <w:right w:val="none" w:sz="0" w:space="0" w:color="auto"/>
      </w:divBdr>
    </w:div>
    <w:div w:id="1726753617">
      <w:bodyDiv w:val="1"/>
      <w:marLeft w:val="0"/>
      <w:marRight w:val="0"/>
      <w:marTop w:val="0"/>
      <w:marBottom w:val="0"/>
      <w:divBdr>
        <w:top w:val="none" w:sz="0" w:space="0" w:color="auto"/>
        <w:left w:val="none" w:sz="0" w:space="0" w:color="auto"/>
        <w:bottom w:val="none" w:sz="0" w:space="0" w:color="auto"/>
        <w:right w:val="none" w:sz="0" w:space="0" w:color="auto"/>
      </w:divBdr>
    </w:div>
    <w:div w:id="1732457974">
      <w:bodyDiv w:val="1"/>
      <w:marLeft w:val="0"/>
      <w:marRight w:val="0"/>
      <w:marTop w:val="0"/>
      <w:marBottom w:val="0"/>
      <w:divBdr>
        <w:top w:val="none" w:sz="0" w:space="0" w:color="auto"/>
        <w:left w:val="none" w:sz="0" w:space="0" w:color="auto"/>
        <w:bottom w:val="none" w:sz="0" w:space="0" w:color="auto"/>
        <w:right w:val="none" w:sz="0" w:space="0" w:color="auto"/>
      </w:divBdr>
    </w:div>
    <w:div w:id="1755012478">
      <w:bodyDiv w:val="1"/>
      <w:marLeft w:val="0"/>
      <w:marRight w:val="0"/>
      <w:marTop w:val="0"/>
      <w:marBottom w:val="0"/>
      <w:divBdr>
        <w:top w:val="none" w:sz="0" w:space="0" w:color="auto"/>
        <w:left w:val="none" w:sz="0" w:space="0" w:color="auto"/>
        <w:bottom w:val="none" w:sz="0" w:space="0" w:color="auto"/>
        <w:right w:val="none" w:sz="0" w:space="0" w:color="auto"/>
      </w:divBdr>
    </w:div>
    <w:div w:id="1777864355">
      <w:bodyDiv w:val="1"/>
      <w:marLeft w:val="0"/>
      <w:marRight w:val="0"/>
      <w:marTop w:val="0"/>
      <w:marBottom w:val="0"/>
      <w:divBdr>
        <w:top w:val="none" w:sz="0" w:space="0" w:color="auto"/>
        <w:left w:val="none" w:sz="0" w:space="0" w:color="auto"/>
        <w:bottom w:val="none" w:sz="0" w:space="0" w:color="auto"/>
        <w:right w:val="none" w:sz="0" w:space="0" w:color="auto"/>
      </w:divBdr>
    </w:div>
    <w:div w:id="1793553072">
      <w:bodyDiv w:val="1"/>
      <w:marLeft w:val="0"/>
      <w:marRight w:val="0"/>
      <w:marTop w:val="0"/>
      <w:marBottom w:val="0"/>
      <w:divBdr>
        <w:top w:val="none" w:sz="0" w:space="0" w:color="auto"/>
        <w:left w:val="none" w:sz="0" w:space="0" w:color="auto"/>
        <w:bottom w:val="none" w:sz="0" w:space="0" w:color="auto"/>
        <w:right w:val="none" w:sz="0" w:space="0" w:color="auto"/>
      </w:divBdr>
    </w:div>
    <w:div w:id="1796370540">
      <w:bodyDiv w:val="1"/>
      <w:marLeft w:val="0"/>
      <w:marRight w:val="0"/>
      <w:marTop w:val="0"/>
      <w:marBottom w:val="0"/>
      <w:divBdr>
        <w:top w:val="none" w:sz="0" w:space="0" w:color="auto"/>
        <w:left w:val="none" w:sz="0" w:space="0" w:color="auto"/>
        <w:bottom w:val="none" w:sz="0" w:space="0" w:color="auto"/>
        <w:right w:val="none" w:sz="0" w:space="0" w:color="auto"/>
      </w:divBdr>
    </w:div>
    <w:div w:id="1804807151">
      <w:bodyDiv w:val="1"/>
      <w:marLeft w:val="0"/>
      <w:marRight w:val="0"/>
      <w:marTop w:val="0"/>
      <w:marBottom w:val="0"/>
      <w:divBdr>
        <w:top w:val="none" w:sz="0" w:space="0" w:color="auto"/>
        <w:left w:val="none" w:sz="0" w:space="0" w:color="auto"/>
        <w:bottom w:val="none" w:sz="0" w:space="0" w:color="auto"/>
        <w:right w:val="none" w:sz="0" w:space="0" w:color="auto"/>
      </w:divBdr>
    </w:div>
    <w:div w:id="1830973211">
      <w:bodyDiv w:val="1"/>
      <w:marLeft w:val="0"/>
      <w:marRight w:val="0"/>
      <w:marTop w:val="0"/>
      <w:marBottom w:val="0"/>
      <w:divBdr>
        <w:top w:val="none" w:sz="0" w:space="0" w:color="auto"/>
        <w:left w:val="none" w:sz="0" w:space="0" w:color="auto"/>
        <w:bottom w:val="none" w:sz="0" w:space="0" w:color="auto"/>
        <w:right w:val="none" w:sz="0" w:space="0" w:color="auto"/>
      </w:divBdr>
    </w:div>
    <w:div w:id="1833519557">
      <w:bodyDiv w:val="1"/>
      <w:marLeft w:val="0"/>
      <w:marRight w:val="0"/>
      <w:marTop w:val="0"/>
      <w:marBottom w:val="0"/>
      <w:divBdr>
        <w:top w:val="none" w:sz="0" w:space="0" w:color="auto"/>
        <w:left w:val="none" w:sz="0" w:space="0" w:color="auto"/>
        <w:bottom w:val="none" w:sz="0" w:space="0" w:color="auto"/>
        <w:right w:val="none" w:sz="0" w:space="0" w:color="auto"/>
      </w:divBdr>
    </w:div>
    <w:div w:id="1856572591">
      <w:bodyDiv w:val="1"/>
      <w:marLeft w:val="0"/>
      <w:marRight w:val="0"/>
      <w:marTop w:val="0"/>
      <w:marBottom w:val="0"/>
      <w:divBdr>
        <w:top w:val="none" w:sz="0" w:space="0" w:color="auto"/>
        <w:left w:val="none" w:sz="0" w:space="0" w:color="auto"/>
        <w:bottom w:val="none" w:sz="0" w:space="0" w:color="auto"/>
        <w:right w:val="none" w:sz="0" w:space="0" w:color="auto"/>
      </w:divBdr>
    </w:div>
    <w:div w:id="1857189449">
      <w:bodyDiv w:val="1"/>
      <w:marLeft w:val="0"/>
      <w:marRight w:val="0"/>
      <w:marTop w:val="0"/>
      <w:marBottom w:val="0"/>
      <w:divBdr>
        <w:top w:val="none" w:sz="0" w:space="0" w:color="auto"/>
        <w:left w:val="none" w:sz="0" w:space="0" w:color="auto"/>
        <w:bottom w:val="none" w:sz="0" w:space="0" w:color="auto"/>
        <w:right w:val="none" w:sz="0" w:space="0" w:color="auto"/>
      </w:divBdr>
    </w:div>
    <w:div w:id="1872066479">
      <w:bodyDiv w:val="1"/>
      <w:marLeft w:val="0"/>
      <w:marRight w:val="0"/>
      <w:marTop w:val="0"/>
      <w:marBottom w:val="0"/>
      <w:divBdr>
        <w:top w:val="none" w:sz="0" w:space="0" w:color="auto"/>
        <w:left w:val="none" w:sz="0" w:space="0" w:color="auto"/>
        <w:bottom w:val="none" w:sz="0" w:space="0" w:color="auto"/>
        <w:right w:val="none" w:sz="0" w:space="0" w:color="auto"/>
      </w:divBdr>
    </w:div>
    <w:div w:id="1882932497">
      <w:bodyDiv w:val="1"/>
      <w:marLeft w:val="0"/>
      <w:marRight w:val="0"/>
      <w:marTop w:val="0"/>
      <w:marBottom w:val="0"/>
      <w:divBdr>
        <w:top w:val="none" w:sz="0" w:space="0" w:color="auto"/>
        <w:left w:val="none" w:sz="0" w:space="0" w:color="auto"/>
        <w:bottom w:val="none" w:sz="0" w:space="0" w:color="auto"/>
        <w:right w:val="none" w:sz="0" w:space="0" w:color="auto"/>
      </w:divBdr>
    </w:div>
    <w:div w:id="1911845995">
      <w:bodyDiv w:val="1"/>
      <w:marLeft w:val="0"/>
      <w:marRight w:val="0"/>
      <w:marTop w:val="0"/>
      <w:marBottom w:val="0"/>
      <w:divBdr>
        <w:top w:val="none" w:sz="0" w:space="0" w:color="auto"/>
        <w:left w:val="none" w:sz="0" w:space="0" w:color="auto"/>
        <w:bottom w:val="none" w:sz="0" w:space="0" w:color="auto"/>
        <w:right w:val="none" w:sz="0" w:space="0" w:color="auto"/>
      </w:divBdr>
    </w:div>
    <w:div w:id="1912034455">
      <w:bodyDiv w:val="1"/>
      <w:marLeft w:val="0"/>
      <w:marRight w:val="0"/>
      <w:marTop w:val="0"/>
      <w:marBottom w:val="0"/>
      <w:divBdr>
        <w:top w:val="none" w:sz="0" w:space="0" w:color="auto"/>
        <w:left w:val="none" w:sz="0" w:space="0" w:color="auto"/>
        <w:bottom w:val="none" w:sz="0" w:space="0" w:color="auto"/>
        <w:right w:val="none" w:sz="0" w:space="0" w:color="auto"/>
      </w:divBdr>
    </w:div>
    <w:div w:id="1954246323">
      <w:bodyDiv w:val="1"/>
      <w:marLeft w:val="0"/>
      <w:marRight w:val="0"/>
      <w:marTop w:val="0"/>
      <w:marBottom w:val="0"/>
      <w:divBdr>
        <w:top w:val="none" w:sz="0" w:space="0" w:color="auto"/>
        <w:left w:val="none" w:sz="0" w:space="0" w:color="auto"/>
        <w:bottom w:val="none" w:sz="0" w:space="0" w:color="auto"/>
        <w:right w:val="none" w:sz="0" w:space="0" w:color="auto"/>
      </w:divBdr>
    </w:div>
    <w:div w:id="2009206045">
      <w:bodyDiv w:val="1"/>
      <w:marLeft w:val="0"/>
      <w:marRight w:val="0"/>
      <w:marTop w:val="0"/>
      <w:marBottom w:val="0"/>
      <w:divBdr>
        <w:top w:val="none" w:sz="0" w:space="0" w:color="auto"/>
        <w:left w:val="none" w:sz="0" w:space="0" w:color="auto"/>
        <w:bottom w:val="none" w:sz="0" w:space="0" w:color="auto"/>
        <w:right w:val="none" w:sz="0" w:space="0" w:color="auto"/>
      </w:divBdr>
    </w:div>
    <w:div w:id="2014451841">
      <w:bodyDiv w:val="1"/>
      <w:marLeft w:val="0"/>
      <w:marRight w:val="0"/>
      <w:marTop w:val="0"/>
      <w:marBottom w:val="0"/>
      <w:divBdr>
        <w:top w:val="none" w:sz="0" w:space="0" w:color="auto"/>
        <w:left w:val="none" w:sz="0" w:space="0" w:color="auto"/>
        <w:bottom w:val="none" w:sz="0" w:space="0" w:color="auto"/>
        <w:right w:val="none" w:sz="0" w:space="0" w:color="auto"/>
      </w:divBdr>
    </w:div>
    <w:div w:id="2018581287">
      <w:bodyDiv w:val="1"/>
      <w:marLeft w:val="0"/>
      <w:marRight w:val="0"/>
      <w:marTop w:val="0"/>
      <w:marBottom w:val="0"/>
      <w:divBdr>
        <w:top w:val="none" w:sz="0" w:space="0" w:color="auto"/>
        <w:left w:val="none" w:sz="0" w:space="0" w:color="auto"/>
        <w:bottom w:val="none" w:sz="0" w:space="0" w:color="auto"/>
        <w:right w:val="none" w:sz="0" w:space="0" w:color="auto"/>
      </w:divBdr>
    </w:div>
    <w:div w:id="2020813861">
      <w:bodyDiv w:val="1"/>
      <w:marLeft w:val="0"/>
      <w:marRight w:val="0"/>
      <w:marTop w:val="0"/>
      <w:marBottom w:val="0"/>
      <w:divBdr>
        <w:top w:val="none" w:sz="0" w:space="0" w:color="auto"/>
        <w:left w:val="none" w:sz="0" w:space="0" w:color="auto"/>
        <w:bottom w:val="none" w:sz="0" w:space="0" w:color="auto"/>
        <w:right w:val="none" w:sz="0" w:space="0" w:color="auto"/>
      </w:divBdr>
    </w:div>
    <w:div w:id="2031293461">
      <w:bodyDiv w:val="1"/>
      <w:marLeft w:val="0"/>
      <w:marRight w:val="0"/>
      <w:marTop w:val="0"/>
      <w:marBottom w:val="0"/>
      <w:divBdr>
        <w:top w:val="none" w:sz="0" w:space="0" w:color="auto"/>
        <w:left w:val="none" w:sz="0" w:space="0" w:color="auto"/>
        <w:bottom w:val="none" w:sz="0" w:space="0" w:color="auto"/>
        <w:right w:val="none" w:sz="0" w:space="0" w:color="auto"/>
      </w:divBdr>
    </w:div>
    <w:div w:id="2040887566">
      <w:bodyDiv w:val="1"/>
      <w:marLeft w:val="0"/>
      <w:marRight w:val="0"/>
      <w:marTop w:val="0"/>
      <w:marBottom w:val="0"/>
      <w:divBdr>
        <w:top w:val="none" w:sz="0" w:space="0" w:color="auto"/>
        <w:left w:val="none" w:sz="0" w:space="0" w:color="auto"/>
        <w:bottom w:val="none" w:sz="0" w:space="0" w:color="auto"/>
        <w:right w:val="none" w:sz="0" w:space="0" w:color="auto"/>
      </w:divBdr>
    </w:div>
    <w:div w:id="2042970184">
      <w:bodyDiv w:val="1"/>
      <w:marLeft w:val="0"/>
      <w:marRight w:val="0"/>
      <w:marTop w:val="0"/>
      <w:marBottom w:val="0"/>
      <w:divBdr>
        <w:top w:val="none" w:sz="0" w:space="0" w:color="auto"/>
        <w:left w:val="none" w:sz="0" w:space="0" w:color="auto"/>
        <w:bottom w:val="none" w:sz="0" w:space="0" w:color="auto"/>
        <w:right w:val="none" w:sz="0" w:space="0" w:color="auto"/>
      </w:divBdr>
    </w:div>
    <w:div w:id="2080248738">
      <w:bodyDiv w:val="1"/>
      <w:marLeft w:val="0"/>
      <w:marRight w:val="0"/>
      <w:marTop w:val="0"/>
      <w:marBottom w:val="0"/>
      <w:divBdr>
        <w:top w:val="none" w:sz="0" w:space="0" w:color="auto"/>
        <w:left w:val="none" w:sz="0" w:space="0" w:color="auto"/>
        <w:bottom w:val="none" w:sz="0" w:space="0" w:color="auto"/>
        <w:right w:val="none" w:sz="0" w:space="0" w:color="auto"/>
      </w:divBdr>
    </w:div>
    <w:div w:id="2126926668">
      <w:bodyDiv w:val="1"/>
      <w:marLeft w:val="0"/>
      <w:marRight w:val="0"/>
      <w:marTop w:val="0"/>
      <w:marBottom w:val="0"/>
      <w:divBdr>
        <w:top w:val="none" w:sz="0" w:space="0" w:color="auto"/>
        <w:left w:val="none" w:sz="0" w:space="0" w:color="auto"/>
        <w:bottom w:val="none" w:sz="0" w:space="0" w:color="auto"/>
        <w:right w:val="none" w:sz="0" w:space="0" w:color="auto"/>
      </w:divBdr>
    </w:div>
    <w:div w:id="2140490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DMIN\AppData\Roaming\Microsoft\Word\www.cninfo.com.cn" TargetMode="External"/><Relationship Id="rId13" Type="http://schemas.openxmlformats.org/officeDocument/2006/relationships/hyperlink" Target="http://www.cninfo.com.c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ninfo.com.c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info.com.cn"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www.cninfo.com.c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ninfo.com.cn" TargetMode="External"/><Relationship Id="rId14" Type="http://schemas.openxmlformats.org/officeDocument/2006/relationships/hyperlink" Target="http://www.cninfo.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CAEFE-4C78-4A77-A841-5553866DD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934</TotalTime>
  <Pages>181</Pages>
  <Words>29391</Words>
  <Characters>167531</Characters>
  <Application>Microsoft Office Word</Application>
  <DocSecurity>0</DocSecurity>
  <Lines>1396</Lines>
  <Paragraphs>393</Paragraphs>
  <ScaleCrop>false</ScaleCrop>
  <Company/>
  <LinksUpToDate>false</LinksUpToDate>
  <CharactersWithSpaces>196529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26</cp:revision>
  <dcterms:created xsi:type="dcterms:W3CDTF">2024-03-31T11:39:00Z</dcterms:created>
  <dcterms:modified xsi:type="dcterms:W3CDTF">2024-04-01T09:15:00Z</dcterms:modified>
</cp:coreProperties>
</file>