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A90" w:rsidRDefault="00CC38FA">
      <w:pPr>
        <w:spacing w:before="2400" w:line="773" w:lineRule="exact"/>
        <w:jc w:val="center"/>
        <w:rPr>
          <w:rFonts w:ascii="宋体" w:eastAsia="宋体" w:hAnsi="宋体" w:cs="宋体"/>
          <w:b/>
          <w:bCs/>
          <w:sz w:val="36"/>
          <w:szCs w:val="36"/>
        </w:rPr>
      </w:pPr>
      <w:r>
        <w:rPr>
          <w:rFonts w:ascii="宋体" w:eastAsia="宋体" w:hAnsi="宋体" w:cs="宋体"/>
          <w:b/>
          <w:bCs/>
          <w:sz w:val="36"/>
          <w:szCs w:val="36"/>
        </w:rPr>
        <w:t>软控股份有限公司</w:t>
      </w:r>
    </w:p>
    <w:p w:rsidR="007F3A90" w:rsidRDefault="00CC38FA">
      <w:pPr>
        <w:spacing w:before="1000" w:line="320" w:lineRule="exact"/>
        <w:jc w:val="center"/>
        <w:rPr>
          <w:rFonts w:ascii="宋体" w:eastAsia="宋体" w:hAnsi="宋体" w:cs="宋体"/>
          <w:b/>
          <w:bCs/>
          <w:sz w:val="32"/>
          <w:szCs w:val="32"/>
        </w:rPr>
      </w:pPr>
      <w:r>
        <w:rPr>
          <w:rFonts w:ascii="宋体" w:eastAsia="宋体" w:hAnsi="宋体" w:cs="宋体"/>
          <w:b/>
          <w:bCs/>
          <w:sz w:val="32"/>
          <w:szCs w:val="32"/>
        </w:rPr>
        <w:t>2024年半年度报告</w:t>
      </w:r>
    </w:p>
    <w:p w:rsidR="007F3A90" w:rsidRDefault="007F3A90">
      <w:pPr>
        <w:spacing w:before="1000" w:line="240" w:lineRule="exact"/>
        <w:jc w:val="center"/>
        <w:rPr>
          <w:rFonts w:ascii="宋体" w:eastAsia="宋体" w:hAnsi="宋体" w:cs="宋体"/>
          <w:b/>
          <w:bCs/>
          <w:szCs w:val="21"/>
        </w:rPr>
      </w:pPr>
    </w:p>
    <w:p w:rsidR="007F3A90" w:rsidRDefault="007F3A90">
      <w:pPr>
        <w:spacing w:before="1000" w:after="1000" w:line="0" w:lineRule="atLeast"/>
        <w:jc w:val="center"/>
        <w:rPr>
          <w:rFonts w:ascii="Times New Roman" w:eastAsia="宋体" w:hAnsi="Times New Roman" w:cs="Times New Roman"/>
        </w:rPr>
      </w:pPr>
    </w:p>
    <w:p w:rsidR="00CC38FA" w:rsidRPr="008A2A24" w:rsidRDefault="00CC38FA" w:rsidP="00CC38FA">
      <w:pPr>
        <w:spacing w:before="400" w:line="320" w:lineRule="exact"/>
        <w:jc w:val="center"/>
        <w:rPr>
          <w:rFonts w:ascii="宋体" w:eastAsia="宋体" w:hAnsi="宋体" w:cs="宋体"/>
          <w:b/>
          <w:bCs/>
          <w:sz w:val="32"/>
          <w:szCs w:val="32"/>
        </w:rPr>
      </w:pPr>
      <w:r w:rsidRPr="008A2A24">
        <w:rPr>
          <w:rFonts w:ascii="宋体" w:eastAsia="宋体" w:hAnsi="宋体" w:cs="宋体" w:hint="eastAsia"/>
          <w:b/>
          <w:bCs/>
          <w:sz w:val="32"/>
          <w:szCs w:val="32"/>
        </w:rPr>
        <w:t>2</w:t>
      </w:r>
      <w:r w:rsidRPr="008A2A24">
        <w:rPr>
          <w:rFonts w:ascii="宋体" w:eastAsia="宋体" w:hAnsi="宋体" w:cs="宋体"/>
          <w:b/>
          <w:bCs/>
          <w:sz w:val="32"/>
          <w:szCs w:val="32"/>
        </w:rPr>
        <w:t>02</w:t>
      </w:r>
      <w:r>
        <w:rPr>
          <w:rFonts w:ascii="宋体" w:eastAsia="宋体" w:hAnsi="宋体" w:cs="宋体"/>
          <w:b/>
          <w:bCs/>
          <w:sz w:val="32"/>
          <w:szCs w:val="32"/>
        </w:rPr>
        <w:t>4</w:t>
      </w:r>
      <w:r w:rsidRPr="008A2A24">
        <w:rPr>
          <w:rFonts w:ascii="宋体" w:eastAsia="宋体" w:hAnsi="宋体" w:cs="宋体"/>
          <w:b/>
          <w:bCs/>
          <w:sz w:val="32"/>
          <w:szCs w:val="32"/>
        </w:rPr>
        <w:t>年</w:t>
      </w:r>
      <w:r w:rsidRPr="008A2A24">
        <w:rPr>
          <w:rFonts w:ascii="宋体" w:eastAsia="宋体" w:hAnsi="宋体" w:cs="宋体" w:hint="eastAsia"/>
          <w:b/>
          <w:bCs/>
          <w:sz w:val="32"/>
          <w:szCs w:val="32"/>
        </w:rPr>
        <w:t>0</w:t>
      </w:r>
      <w:r w:rsidRPr="008A2A24">
        <w:rPr>
          <w:rFonts w:ascii="宋体" w:eastAsia="宋体" w:hAnsi="宋体" w:cs="宋体"/>
          <w:b/>
          <w:bCs/>
          <w:sz w:val="32"/>
          <w:szCs w:val="32"/>
        </w:rPr>
        <w:t>8月</w:t>
      </w:r>
    </w:p>
    <w:p w:rsidR="007F3A90" w:rsidRDefault="00CC38FA">
      <w:r>
        <w:br w:type="page"/>
      </w:r>
    </w:p>
    <w:p w:rsidR="007F3A90" w:rsidRDefault="00CC38FA">
      <w:pPr>
        <w:pStyle w:val="headingh1"/>
        <w:spacing w:before="340" w:after="330" w:line="773" w:lineRule="exact"/>
        <w:jc w:val="center"/>
        <w:rPr>
          <w:rFonts w:ascii="宋体" w:eastAsia="宋体" w:hAnsi="宋体" w:cs="宋体"/>
          <w:b/>
          <w:bCs/>
          <w:sz w:val="32"/>
          <w:szCs w:val="32"/>
        </w:rPr>
      </w:pPr>
      <w:bookmarkStart w:id="0" w:name="_Toc988889"/>
      <w:r>
        <w:rPr>
          <w:rFonts w:ascii="宋体" w:eastAsia="宋体" w:hAnsi="宋体" w:cs="宋体"/>
          <w:b/>
          <w:bCs/>
          <w:sz w:val="32"/>
          <w:szCs w:val="32"/>
        </w:rPr>
        <w:lastRenderedPageBreak/>
        <w:t>第一节 重要提示、目录和释义</w:t>
      </w:r>
      <w:bookmarkEnd w:id="0"/>
    </w:p>
    <w:p w:rsidR="007F3A90" w:rsidRDefault="00CC38FA">
      <w:pPr>
        <w:spacing w:before="40" w:after="40" w:line="560" w:lineRule="exact"/>
        <w:ind w:firstLineChars="200" w:firstLine="562"/>
        <w:rPr>
          <w:rFonts w:ascii="宋体" w:eastAsia="宋体" w:hAnsi="宋体" w:cs="宋体"/>
          <w:b/>
          <w:bCs/>
          <w:sz w:val="28"/>
          <w:szCs w:val="28"/>
        </w:rPr>
      </w:pPr>
      <w:r>
        <w:rPr>
          <w:rFonts w:ascii="宋体" w:eastAsia="宋体" w:hAnsi="宋体" w:cs="宋体"/>
          <w:b/>
          <w:bCs/>
          <w:sz w:val="28"/>
          <w:szCs w:val="28"/>
        </w:rPr>
        <w:t>公司董事会、监事会及董事、监事、高级管理人员保证半年度报告内容的真实、准确、完整，不存在虚假记载、误导性陈述或者重大遗漏，并承担个别和连带的法律责任。</w:t>
      </w:r>
    </w:p>
    <w:p w:rsidR="007F3A90" w:rsidRDefault="00CC38FA">
      <w:pPr>
        <w:spacing w:line="560" w:lineRule="exact"/>
        <w:ind w:firstLineChars="200" w:firstLine="562"/>
        <w:rPr>
          <w:rFonts w:ascii="宋体" w:eastAsia="宋体" w:hAnsi="宋体" w:cs="宋体"/>
          <w:b/>
          <w:bCs/>
          <w:sz w:val="28"/>
          <w:szCs w:val="28"/>
        </w:rPr>
      </w:pPr>
      <w:r>
        <w:rPr>
          <w:rFonts w:ascii="宋体" w:eastAsia="宋体" w:hAnsi="宋体" w:cs="宋体"/>
          <w:b/>
          <w:bCs/>
          <w:sz w:val="28"/>
          <w:szCs w:val="28"/>
        </w:rPr>
        <w:t>公司负责人官炳政、主管会计工作负责人张垚及会计机构负责人(会计主管人员)廖永健声明：保证本半年度报告中财务报告的真实、准确、完整。</w:t>
      </w:r>
    </w:p>
    <w:p w:rsidR="007F3A90" w:rsidRDefault="00CC38FA">
      <w:pPr>
        <w:spacing w:line="560" w:lineRule="exact"/>
        <w:ind w:firstLineChars="200" w:firstLine="562"/>
        <w:rPr>
          <w:rFonts w:ascii="宋体" w:eastAsia="宋体" w:hAnsi="宋体" w:cs="宋体"/>
          <w:b/>
          <w:bCs/>
          <w:sz w:val="28"/>
          <w:szCs w:val="28"/>
        </w:rPr>
      </w:pPr>
      <w:r>
        <w:rPr>
          <w:rFonts w:ascii="宋体" w:eastAsia="宋体" w:hAnsi="宋体" w:cs="宋体"/>
          <w:b/>
          <w:bCs/>
          <w:sz w:val="28"/>
          <w:szCs w:val="28"/>
        </w:rPr>
        <w:t>所有董事均已出席了审议本次半年报的董事会会议。</w:t>
      </w:r>
    </w:p>
    <w:p w:rsidR="00CC38FA" w:rsidRDefault="00CC38FA">
      <w:pPr>
        <w:pStyle w:val="a3"/>
        <w:spacing w:line="560" w:lineRule="atLeast"/>
        <w:ind w:firstLine="480"/>
        <w:divId w:val="1994748193"/>
        <w:rPr>
          <w:b/>
          <w:bCs/>
          <w:sz w:val="28"/>
          <w:szCs w:val="28"/>
        </w:rPr>
      </w:pPr>
      <w:r>
        <w:rPr>
          <w:rFonts w:hint="eastAsia"/>
          <w:b/>
          <w:bCs/>
          <w:sz w:val="28"/>
          <w:szCs w:val="28"/>
        </w:rPr>
        <w:t>公司2024年半年度报告中所涉及的未来计划、发展战略等前瞻性陈述不构成公司对投资者的实质性承诺，敬请投资者及相关人士均对此保持足够的风险认识，并且应当理解计划、预测与承诺之间的差异，注意投资风险。</w:t>
      </w:r>
    </w:p>
    <w:p w:rsidR="00CC38FA" w:rsidRDefault="00CC38FA">
      <w:pPr>
        <w:pStyle w:val="a3"/>
        <w:spacing w:line="560" w:lineRule="atLeast"/>
        <w:ind w:firstLine="480"/>
        <w:divId w:val="966811305"/>
        <w:rPr>
          <w:b/>
          <w:bCs/>
          <w:sz w:val="28"/>
          <w:szCs w:val="28"/>
        </w:rPr>
      </w:pPr>
      <w:r>
        <w:rPr>
          <w:rFonts w:hint="eastAsia"/>
          <w:b/>
          <w:bCs/>
          <w:sz w:val="28"/>
          <w:szCs w:val="28"/>
        </w:rPr>
        <w:t>公司可能存在的风险因素请查阅本报告“第三节管理层讨论与分析”中</w:t>
      </w:r>
    </w:p>
    <w:p w:rsidR="00CC38FA" w:rsidRDefault="00CC38FA">
      <w:pPr>
        <w:pStyle w:val="a3"/>
        <w:spacing w:line="560" w:lineRule="atLeast"/>
        <w:ind w:firstLine="480"/>
        <w:divId w:val="966811305"/>
        <w:rPr>
          <w:b/>
          <w:bCs/>
          <w:sz w:val="28"/>
          <w:szCs w:val="28"/>
        </w:rPr>
      </w:pPr>
      <w:r>
        <w:rPr>
          <w:rFonts w:hint="eastAsia"/>
          <w:b/>
          <w:bCs/>
          <w:sz w:val="28"/>
          <w:szCs w:val="28"/>
        </w:rPr>
        <w:t>“十、公司面临的风险和应对措施”相关内容。</w:t>
      </w:r>
    </w:p>
    <w:p w:rsidR="007F3A90" w:rsidRDefault="00CC38FA">
      <w:pPr>
        <w:spacing w:line="560" w:lineRule="exact"/>
        <w:ind w:firstLineChars="200" w:firstLine="562"/>
        <w:rPr>
          <w:rFonts w:ascii="宋体" w:eastAsia="宋体" w:hAnsi="宋体" w:cs="宋体"/>
          <w:b/>
          <w:bCs/>
          <w:sz w:val="28"/>
          <w:szCs w:val="28"/>
        </w:rPr>
      </w:pPr>
      <w:r>
        <w:rPr>
          <w:rFonts w:ascii="宋体" w:eastAsia="宋体" w:hAnsi="宋体" w:cs="宋体"/>
          <w:b/>
          <w:bCs/>
          <w:sz w:val="28"/>
          <w:szCs w:val="28"/>
        </w:rPr>
        <w:t>公司计划不派发现金红利，不送红股，不以公积金转增股本。</w:t>
      </w:r>
    </w:p>
    <w:p w:rsidR="007F3A90" w:rsidRDefault="00CC38FA">
      <w:r>
        <w:br w:type="page"/>
      </w:r>
    </w:p>
    <w:p w:rsidR="007F3A90" w:rsidRDefault="00CC38FA">
      <w:pPr>
        <w:spacing w:line="720" w:lineRule="exact"/>
        <w:jc w:val="center"/>
        <w:rPr>
          <w:rFonts w:ascii="宋体" w:eastAsia="宋体" w:hAnsi="宋体" w:cs="宋体"/>
          <w:b/>
          <w:bCs/>
          <w:sz w:val="36"/>
          <w:szCs w:val="36"/>
        </w:rPr>
      </w:pPr>
      <w:r>
        <w:rPr>
          <w:rFonts w:ascii="宋体" w:eastAsia="宋体" w:hAnsi="宋体" w:cs="宋体"/>
          <w:b/>
          <w:bCs/>
          <w:sz w:val="36"/>
          <w:szCs w:val="36"/>
        </w:rPr>
        <w:lastRenderedPageBreak/>
        <w:t>目录</w:t>
      </w:r>
    </w:p>
    <w:p w:rsidR="007F3A90" w:rsidRPr="00DE7C3A" w:rsidRDefault="00CC38FA">
      <w:pPr>
        <w:pStyle w:val="1"/>
        <w:tabs>
          <w:tab w:val="left" w:leader="dot" w:pos="9469"/>
        </w:tabs>
        <w:rPr>
          <w:noProof/>
          <w:sz w:val="24"/>
          <w:szCs w:val="24"/>
        </w:rPr>
      </w:pPr>
      <w:r w:rsidRPr="00DE7C3A">
        <w:rPr>
          <w:sz w:val="24"/>
          <w:szCs w:val="24"/>
        </w:rPr>
        <w:fldChar w:fldCharType="begin"/>
      </w:r>
      <w:r w:rsidRPr="00DE7C3A">
        <w:rPr>
          <w:sz w:val="24"/>
          <w:szCs w:val="24"/>
        </w:rPr>
        <w:instrText xml:space="preserve"> </w:instrText>
      </w:r>
      <w:r w:rsidRPr="00DE7C3A">
        <w:rPr>
          <w:rFonts w:ascii="宋体" w:eastAsia="宋体" w:hAnsi="宋体" w:hint="eastAsia"/>
          <w:sz w:val="24"/>
          <w:szCs w:val="24"/>
        </w:rPr>
        <w:instrText>TOC \o "1-2" \h \z \u</w:instrText>
      </w:r>
      <w:r w:rsidRPr="00DE7C3A">
        <w:rPr>
          <w:sz w:val="24"/>
          <w:szCs w:val="24"/>
        </w:rPr>
        <w:instrText xml:space="preserve"> </w:instrText>
      </w:r>
      <w:r w:rsidRPr="00DE7C3A">
        <w:rPr>
          <w:sz w:val="24"/>
          <w:szCs w:val="24"/>
        </w:rPr>
        <w:fldChar w:fldCharType="separate"/>
      </w:r>
      <w:hyperlink w:anchor="_Toc988889" w:history="1">
        <w:r w:rsidRPr="00DE7C3A">
          <w:rPr>
            <w:rFonts w:ascii="宋体" w:eastAsia="宋体" w:hAnsi="宋体" w:hint="eastAsia"/>
            <w:b/>
            <w:bCs/>
            <w:noProof/>
            <w:sz w:val="24"/>
            <w:szCs w:val="24"/>
          </w:rPr>
          <w:t>第一节 重要提示、目录和释义</w:t>
        </w:r>
        <w:r w:rsidRPr="00DE7C3A">
          <w:rPr>
            <w:noProof/>
            <w:webHidden/>
            <w:sz w:val="24"/>
            <w:szCs w:val="24"/>
          </w:rPr>
          <w:tab/>
        </w:r>
      </w:hyperlink>
      <w:r w:rsidR="00DE7C3A" w:rsidRPr="00DE7C3A">
        <w:rPr>
          <w:noProof/>
          <w:sz w:val="24"/>
          <w:szCs w:val="24"/>
        </w:rPr>
        <w:t>3</w:t>
      </w:r>
    </w:p>
    <w:p w:rsidR="007F3A90" w:rsidRPr="00DE7C3A" w:rsidRDefault="0096199D">
      <w:pPr>
        <w:pStyle w:val="1"/>
        <w:tabs>
          <w:tab w:val="left" w:leader="dot" w:pos="9469"/>
        </w:tabs>
        <w:rPr>
          <w:noProof/>
          <w:sz w:val="24"/>
          <w:szCs w:val="24"/>
        </w:rPr>
      </w:pPr>
      <w:hyperlink w:anchor="_Toc988890" w:history="1">
        <w:r w:rsidR="00CC38FA" w:rsidRPr="00DE7C3A">
          <w:rPr>
            <w:rFonts w:ascii="宋体" w:eastAsia="宋体" w:hAnsi="宋体" w:hint="eastAsia"/>
            <w:b/>
            <w:bCs/>
            <w:noProof/>
            <w:sz w:val="24"/>
            <w:szCs w:val="24"/>
          </w:rPr>
          <w:t>第二节 公司简介和主要财务指标</w:t>
        </w:r>
        <w:r w:rsidR="00CC38FA" w:rsidRPr="00DE7C3A">
          <w:rPr>
            <w:noProof/>
            <w:webHidden/>
            <w:sz w:val="24"/>
            <w:szCs w:val="24"/>
          </w:rPr>
          <w:tab/>
        </w:r>
      </w:hyperlink>
      <w:r w:rsidR="00DE7C3A" w:rsidRPr="00DE7C3A">
        <w:rPr>
          <w:noProof/>
          <w:sz w:val="24"/>
          <w:szCs w:val="24"/>
        </w:rPr>
        <w:t>6</w:t>
      </w:r>
    </w:p>
    <w:p w:rsidR="007F3A90" w:rsidRPr="00DE7C3A" w:rsidRDefault="0096199D">
      <w:pPr>
        <w:pStyle w:val="1"/>
        <w:tabs>
          <w:tab w:val="left" w:leader="dot" w:pos="9469"/>
        </w:tabs>
        <w:rPr>
          <w:noProof/>
          <w:sz w:val="24"/>
          <w:szCs w:val="24"/>
        </w:rPr>
      </w:pPr>
      <w:hyperlink w:anchor="_Toc988902" w:history="1">
        <w:r w:rsidR="00CC38FA" w:rsidRPr="00DE7C3A">
          <w:rPr>
            <w:rFonts w:ascii="宋体" w:eastAsia="宋体" w:hAnsi="宋体" w:hint="eastAsia"/>
            <w:b/>
            <w:bCs/>
            <w:noProof/>
            <w:sz w:val="24"/>
            <w:szCs w:val="24"/>
          </w:rPr>
          <w:t>第三节 管理层讨论与分析</w:t>
        </w:r>
        <w:r w:rsidR="00CC38FA" w:rsidRPr="00DE7C3A">
          <w:rPr>
            <w:noProof/>
            <w:webHidden/>
            <w:sz w:val="24"/>
            <w:szCs w:val="24"/>
          </w:rPr>
          <w:tab/>
        </w:r>
      </w:hyperlink>
      <w:r w:rsidR="00DE7C3A" w:rsidRPr="00DE7C3A">
        <w:rPr>
          <w:noProof/>
          <w:sz w:val="24"/>
          <w:szCs w:val="24"/>
        </w:rPr>
        <w:t>9</w:t>
      </w:r>
    </w:p>
    <w:p w:rsidR="007F3A90" w:rsidRPr="00DE7C3A" w:rsidRDefault="0096199D">
      <w:pPr>
        <w:pStyle w:val="1"/>
        <w:tabs>
          <w:tab w:val="left" w:leader="dot" w:pos="9469"/>
        </w:tabs>
        <w:rPr>
          <w:noProof/>
          <w:sz w:val="24"/>
          <w:szCs w:val="24"/>
        </w:rPr>
      </w:pPr>
      <w:hyperlink w:anchor="_Toc988930" w:history="1">
        <w:r w:rsidR="00CC38FA" w:rsidRPr="00DE7C3A">
          <w:rPr>
            <w:rFonts w:ascii="宋体" w:eastAsia="宋体" w:hAnsi="宋体" w:hint="eastAsia"/>
            <w:b/>
            <w:bCs/>
            <w:noProof/>
            <w:sz w:val="24"/>
            <w:szCs w:val="24"/>
          </w:rPr>
          <w:t>第四节 公司治理</w:t>
        </w:r>
        <w:r w:rsidR="00CC38FA" w:rsidRPr="00DE7C3A">
          <w:rPr>
            <w:noProof/>
            <w:webHidden/>
            <w:sz w:val="24"/>
            <w:szCs w:val="24"/>
          </w:rPr>
          <w:tab/>
        </w:r>
      </w:hyperlink>
      <w:r w:rsidR="00DE7C3A" w:rsidRPr="00DE7C3A">
        <w:rPr>
          <w:noProof/>
          <w:sz w:val="24"/>
          <w:szCs w:val="24"/>
        </w:rPr>
        <w:t>19</w:t>
      </w:r>
    </w:p>
    <w:p w:rsidR="007F3A90" w:rsidRPr="00DE7C3A" w:rsidRDefault="0096199D">
      <w:pPr>
        <w:pStyle w:val="1"/>
        <w:tabs>
          <w:tab w:val="left" w:leader="dot" w:pos="9469"/>
        </w:tabs>
        <w:rPr>
          <w:noProof/>
          <w:sz w:val="24"/>
          <w:szCs w:val="24"/>
        </w:rPr>
      </w:pPr>
      <w:hyperlink w:anchor="_Toc988940" w:history="1">
        <w:r w:rsidR="00CC38FA" w:rsidRPr="00DE7C3A">
          <w:rPr>
            <w:rFonts w:ascii="宋体" w:eastAsia="宋体" w:hAnsi="宋体" w:hint="eastAsia"/>
            <w:b/>
            <w:bCs/>
            <w:noProof/>
            <w:sz w:val="24"/>
            <w:szCs w:val="24"/>
          </w:rPr>
          <w:t>第五节 环境和社会责任</w:t>
        </w:r>
        <w:r w:rsidR="00CC38FA" w:rsidRPr="00DE7C3A">
          <w:rPr>
            <w:noProof/>
            <w:webHidden/>
            <w:sz w:val="24"/>
            <w:szCs w:val="24"/>
          </w:rPr>
          <w:tab/>
        </w:r>
      </w:hyperlink>
      <w:r w:rsidR="00DE7C3A" w:rsidRPr="00DE7C3A">
        <w:rPr>
          <w:noProof/>
          <w:sz w:val="24"/>
          <w:szCs w:val="24"/>
        </w:rPr>
        <w:t>21</w:t>
      </w:r>
    </w:p>
    <w:p w:rsidR="007F3A90" w:rsidRPr="00DE7C3A" w:rsidRDefault="0096199D">
      <w:pPr>
        <w:pStyle w:val="1"/>
        <w:tabs>
          <w:tab w:val="left" w:leader="dot" w:pos="9469"/>
        </w:tabs>
        <w:rPr>
          <w:noProof/>
          <w:sz w:val="24"/>
          <w:szCs w:val="24"/>
        </w:rPr>
      </w:pPr>
      <w:hyperlink w:anchor="_Toc988943" w:history="1">
        <w:r w:rsidR="00CC38FA" w:rsidRPr="00DE7C3A">
          <w:rPr>
            <w:rFonts w:ascii="宋体" w:eastAsia="宋体" w:hAnsi="宋体" w:hint="eastAsia"/>
            <w:b/>
            <w:bCs/>
            <w:noProof/>
            <w:sz w:val="24"/>
            <w:szCs w:val="24"/>
          </w:rPr>
          <w:t>第六节 重要事项</w:t>
        </w:r>
        <w:r w:rsidR="00CC38FA" w:rsidRPr="00DE7C3A">
          <w:rPr>
            <w:noProof/>
            <w:webHidden/>
            <w:sz w:val="24"/>
            <w:szCs w:val="24"/>
          </w:rPr>
          <w:tab/>
        </w:r>
      </w:hyperlink>
      <w:r w:rsidR="00DE7C3A" w:rsidRPr="00DE7C3A">
        <w:rPr>
          <w:noProof/>
          <w:sz w:val="24"/>
          <w:szCs w:val="24"/>
        </w:rPr>
        <w:t>28</w:t>
      </w:r>
    </w:p>
    <w:p w:rsidR="007F3A90" w:rsidRPr="00DE7C3A" w:rsidRDefault="0096199D">
      <w:pPr>
        <w:pStyle w:val="1"/>
        <w:tabs>
          <w:tab w:val="left" w:leader="dot" w:pos="9469"/>
        </w:tabs>
        <w:rPr>
          <w:noProof/>
          <w:sz w:val="24"/>
          <w:szCs w:val="24"/>
        </w:rPr>
      </w:pPr>
      <w:hyperlink w:anchor="_Toc988972" w:history="1">
        <w:r w:rsidR="00CC38FA" w:rsidRPr="00DE7C3A">
          <w:rPr>
            <w:rFonts w:ascii="宋体" w:eastAsia="宋体" w:hAnsi="宋体" w:hint="eastAsia"/>
            <w:b/>
            <w:bCs/>
            <w:noProof/>
            <w:sz w:val="24"/>
            <w:szCs w:val="24"/>
          </w:rPr>
          <w:t>第七节 股份变动及股东情况</w:t>
        </w:r>
        <w:r w:rsidR="00CC38FA" w:rsidRPr="00DE7C3A">
          <w:rPr>
            <w:noProof/>
            <w:webHidden/>
            <w:sz w:val="24"/>
            <w:szCs w:val="24"/>
          </w:rPr>
          <w:tab/>
        </w:r>
      </w:hyperlink>
      <w:r w:rsidR="00DE7C3A" w:rsidRPr="00DE7C3A">
        <w:rPr>
          <w:noProof/>
          <w:sz w:val="24"/>
          <w:szCs w:val="24"/>
        </w:rPr>
        <w:t>40</w:t>
      </w:r>
    </w:p>
    <w:p w:rsidR="007F3A90" w:rsidRPr="00DE7C3A" w:rsidRDefault="0096199D">
      <w:pPr>
        <w:pStyle w:val="1"/>
        <w:tabs>
          <w:tab w:val="left" w:leader="dot" w:pos="9469"/>
        </w:tabs>
        <w:rPr>
          <w:noProof/>
          <w:sz w:val="24"/>
          <w:szCs w:val="24"/>
        </w:rPr>
      </w:pPr>
      <w:hyperlink w:anchor="_Toc988980" w:history="1">
        <w:r w:rsidR="00CC38FA" w:rsidRPr="00DE7C3A">
          <w:rPr>
            <w:rFonts w:ascii="宋体" w:eastAsia="宋体" w:hAnsi="宋体" w:hint="eastAsia"/>
            <w:b/>
            <w:bCs/>
            <w:noProof/>
            <w:sz w:val="24"/>
            <w:szCs w:val="24"/>
          </w:rPr>
          <w:t>第八节 优先股相关情况</w:t>
        </w:r>
        <w:r w:rsidR="00CC38FA" w:rsidRPr="00DE7C3A">
          <w:rPr>
            <w:noProof/>
            <w:webHidden/>
            <w:sz w:val="24"/>
            <w:szCs w:val="24"/>
          </w:rPr>
          <w:tab/>
        </w:r>
      </w:hyperlink>
      <w:r w:rsidR="00DE7C3A" w:rsidRPr="00DE7C3A">
        <w:rPr>
          <w:noProof/>
          <w:sz w:val="24"/>
          <w:szCs w:val="24"/>
        </w:rPr>
        <w:t>45</w:t>
      </w:r>
    </w:p>
    <w:p w:rsidR="007F3A90" w:rsidRPr="00DE7C3A" w:rsidRDefault="0096199D">
      <w:pPr>
        <w:pStyle w:val="1"/>
        <w:tabs>
          <w:tab w:val="left" w:leader="dot" w:pos="9469"/>
        </w:tabs>
        <w:rPr>
          <w:noProof/>
          <w:sz w:val="24"/>
          <w:szCs w:val="24"/>
        </w:rPr>
      </w:pPr>
      <w:hyperlink w:anchor="_Toc988981" w:history="1">
        <w:r w:rsidR="00CC38FA" w:rsidRPr="00DE7C3A">
          <w:rPr>
            <w:rFonts w:ascii="宋体" w:eastAsia="宋体" w:hAnsi="宋体" w:hint="eastAsia"/>
            <w:b/>
            <w:bCs/>
            <w:noProof/>
            <w:sz w:val="24"/>
            <w:szCs w:val="24"/>
          </w:rPr>
          <w:t>第九节 债券相关情况</w:t>
        </w:r>
        <w:r w:rsidR="00CC38FA" w:rsidRPr="00DE7C3A">
          <w:rPr>
            <w:noProof/>
            <w:webHidden/>
            <w:sz w:val="24"/>
            <w:szCs w:val="24"/>
          </w:rPr>
          <w:tab/>
        </w:r>
      </w:hyperlink>
      <w:r w:rsidR="00DE7C3A" w:rsidRPr="00DE7C3A">
        <w:rPr>
          <w:noProof/>
          <w:sz w:val="24"/>
          <w:szCs w:val="24"/>
        </w:rPr>
        <w:t>46</w:t>
      </w:r>
    </w:p>
    <w:p w:rsidR="007F3A90" w:rsidRPr="00DE7C3A" w:rsidRDefault="0096199D">
      <w:pPr>
        <w:pStyle w:val="1"/>
        <w:tabs>
          <w:tab w:val="left" w:leader="dot" w:pos="9469"/>
        </w:tabs>
        <w:rPr>
          <w:noProof/>
          <w:sz w:val="24"/>
          <w:szCs w:val="24"/>
        </w:rPr>
      </w:pPr>
      <w:hyperlink w:anchor="_Toc988982" w:history="1">
        <w:r w:rsidR="00CC38FA" w:rsidRPr="00DE7C3A">
          <w:rPr>
            <w:rFonts w:ascii="宋体" w:eastAsia="宋体" w:hAnsi="宋体" w:hint="eastAsia"/>
            <w:b/>
            <w:bCs/>
            <w:noProof/>
            <w:sz w:val="24"/>
            <w:szCs w:val="24"/>
          </w:rPr>
          <w:t>第十节 财务报告</w:t>
        </w:r>
        <w:r w:rsidR="00CC38FA" w:rsidRPr="00DE7C3A">
          <w:rPr>
            <w:noProof/>
            <w:webHidden/>
            <w:sz w:val="24"/>
            <w:szCs w:val="24"/>
          </w:rPr>
          <w:tab/>
        </w:r>
      </w:hyperlink>
      <w:r w:rsidR="00CC38FA" w:rsidRPr="00DE7C3A">
        <w:rPr>
          <w:sz w:val="24"/>
          <w:szCs w:val="24"/>
        </w:rPr>
        <w:fldChar w:fldCharType="end"/>
      </w:r>
      <w:r w:rsidR="00DE7C3A" w:rsidRPr="00DE7C3A">
        <w:rPr>
          <w:sz w:val="24"/>
          <w:szCs w:val="24"/>
        </w:rPr>
        <w:t>47</w:t>
      </w:r>
    </w:p>
    <w:p w:rsidR="007F3A90" w:rsidRDefault="00CC38FA">
      <w:r>
        <w:br w:type="page"/>
      </w:r>
    </w:p>
    <w:p w:rsidR="007F3A90" w:rsidRDefault="00CC38FA">
      <w:pPr>
        <w:spacing w:line="640" w:lineRule="exact"/>
        <w:jc w:val="center"/>
        <w:rPr>
          <w:rFonts w:ascii="宋体" w:eastAsia="宋体" w:hAnsi="宋体" w:cs="宋体"/>
          <w:b/>
          <w:bCs/>
          <w:sz w:val="32"/>
          <w:szCs w:val="32"/>
        </w:rPr>
      </w:pPr>
      <w:r>
        <w:rPr>
          <w:rFonts w:ascii="宋体" w:eastAsia="宋体" w:hAnsi="宋体" w:cs="宋体"/>
          <w:b/>
          <w:bCs/>
          <w:sz w:val="32"/>
          <w:szCs w:val="32"/>
        </w:rPr>
        <w:lastRenderedPageBreak/>
        <w:t>备查文件目录</w:t>
      </w:r>
    </w:p>
    <w:p w:rsidR="00CC38FA" w:rsidRDefault="00CC38FA">
      <w:pPr>
        <w:pStyle w:val="a3"/>
        <w:spacing w:line="560" w:lineRule="atLeast"/>
        <w:divId w:val="210044409"/>
        <w:rPr>
          <w:sz w:val="18"/>
          <w:szCs w:val="18"/>
        </w:rPr>
      </w:pPr>
      <w:r>
        <w:rPr>
          <w:rFonts w:hint="eastAsia"/>
          <w:sz w:val="18"/>
          <w:szCs w:val="18"/>
        </w:rPr>
        <w:t>一、载有公司负责人、主管会计工作负责人、会计机构负责人签名并盖章的财务报表。</w:t>
      </w:r>
    </w:p>
    <w:p w:rsidR="00CC38FA" w:rsidRDefault="00CC38FA">
      <w:pPr>
        <w:pStyle w:val="a3"/>
        <w:spacing w:line="560" w:lineRule="atLeast"/>
        <w:divId w:val="210044409"/>
        <w:rPr>
          <w:sz w:val="18"/>
          <w:szCs w:val="18"/>
        </w:rPr>
      </w:pPr>
      <w:r>
        <w:rPr>
          <w:rFonts w:hint="eastAsia"/>
          <w:sz w:val="18"/>
          <w:szCs w:val="18"/>
        </w:rPr>
        <w:t>二、报告期内在中国证监会指定网站上公开披露过的所有公司文件的正本及公告的原稿。</w:t>
      </w:r>
    </w:p>
    <w:p w:rsidR="00CC38FA" w:rsidRDefault="00CC38FA">
      <w:pPr>
        <w:pStyle w:val="a3"/>
        <w:spacing w:line="560" w:lineRule="atLeast"/>
        <w:divId w:val="210044409"/>
        <w:rPr>
          <w:sz w:val="18"/>
          <w:szCs w:val="18"/>
        </w:rPr>
      </w:pPr>
      <w:r>
        <w:rPr>
          <w:rFonts w:hint="eastAsia"/>
          <w:sz w:val="18"/>
          <w:szCs w:val="18"/>
        </w:rPr>
        <w:t>三、载有董事长官炳政先生签名的2024年半年度报告文件原件。</w:t>
      </w:r>
    </w:p>
    <w:p w:rsidR="00CC38FA" w:rsidRDefault="00CC38FA">
      <w:pPr>
        <w:pStyle w:val="a3"/>
        <w:spacing w:line="560" w:lineRule="atLeast"/>
        <w:divId w:val="210044409"/>
        <w:rPr>
          <w:sz w:val="18"/>
          <w:szCs w:val="18"/>
        </w:rPr>
      </w:pPr>
      <w:r>
        <w:rPr>
          <w:rFonts w:hint="eastAsia"/>
          <w:sz w:val="18"/>
          <w:szCs w:val="18"/>
        </w:rPr>
        <w:t>四、以上备查文件的备置地点：公司证券部。</w:t>
      </w:r>
    </w:p>
    <w:p w:rsidR="007F3A90" w:rsidRDefault="00CC38FA">
      <w:r>
        <w:br w:type="page"/>
      </w:r>
    </w:p>
    <w:p w:rsidR="007F3A90" w:rsidRDefault="00CC38FA">
      <w:pPr>
        <w:spacing w:before="40" w:after="40" w:line="640" w:lineRule="exact"/>
        <w:jc w:val="center"/>
        <w:rPr>
          <w:rFonts w:ascii="宋体" w:eastAsia="宋体" w:hAnsi="宋体" w:cs="宋体"/>
          <w:b/>
          <w:bCs/>
          <w:sz w:val="32"/>
          <w:szCs w:val="32"/>
        </w:rPr>
      </w:pPr>
      <w:r>
        <w:rPr>
          <w:rFonts w:ascii="宋体" w:eastAsia="宋体" w:hAnsi="宋体" w:cs="宋体"/>
          <w:b/>
          <w:bCs/>
          <w:sz w:val="32"/>
          <w:szCs w:val="32"/>
        </w:rPr>
        <w:lastRenderedPageBreak/>
        <w:t>释义</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319"/>
        <w:gridCol w:w="1000"/>
        <w:gridCol w:w="4320"/>
      </w:tblGrid>
      <w:tr w:rsidR="007F3A90">
        <w:trPr>
          <w:trHeight w:val="240"/>
        </w:trPr>
        <w:tc>
          <w:tcPr>
            <w:tcW w:w="432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释义项</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释义内容</w:t>
            </w:r>
          </w:p>
        </w:tc>
      </w:tr>
      <w:tr w:rsidR="007F3A90">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本公司/公司/母公司/软控</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软控股份有限公司</w:t>
            </w:r>
          </w:p>
        </w:tc>
      </w:tr>
      <w:tr w:rsidR="007F3A90">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会计师事务所/注册会计师</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中兴华会计师事务所（特殊普通合伙）</w:t>
            </w:r>
          </w:p>
        </w:tc>
      </w:tr>
      <w:tr w:rsidR="007F3A90">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《公司法》</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《中华人民共和国公司法》</w:t>
            </w:r>
          </w:p>
        </w:tc>
      </w:tr>
      <w:tr w:rsidR="007F3A90">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《证券法》</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《中华人民共和国证券法》</w:t>
            </w:r>
          </w:p>
        </w:tc>
      </w:tr>
      <w:tr w:rsidR="007F3A90">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《公司章程》</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《软控股份有限公司章程》</w:t>
            </w:r>
          </w:p>
        </w:tc>
      </w:tr>
      <w:tr w:rsidR="007F3A90">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中国证监会</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中国证券监督管理委员会</w:t>
            </w:r>
          </w:p>
        </w:tc>
      </w:tr>
      <w:tr w:rsidR="007F3A90">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深交所</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深圳证券交易所</w:t>
            </w:r>
          </w:p>
        </w:tc>
      </w:tr>
      <w:tr w:rsidR="007F3A90">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RFID</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射频识别</w:t>
            </w:r>
          </w:p>
        </w:tc>
      </w:tr>
      <w:tr w:rsidR="007F3A90">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报告期</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2024年1月1日至2024年6月30日</w:t>
            </w:r>
          </w:p>
        </w:tc>
      </w:tr>
      <w:tr w:rsidR="007F3A90">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元/万元</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人民币元/万元</w:t>
            </w:r>
          </w:p>
        </w:tc>
      </w:tr>
      <w:tr w:rsidR="007F3A90">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软控机电</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r>
      <w:tr w:rsidR="007F3A90">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益凯/益凯新材料</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益凯新材料有限公司</w:t>
            </w:r>
          </w:p>
        </w:tc>
      </w:tr>
      <w:tr w:rsidR="007F3A90">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抚顺伊科思</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抚顺伊科思新材料有限公司</w:t>
            </w:r>
          </w:p>
        </w:tc>
      </w:tr>
      <w:tr w:rsidR="007F3A90">
        <w:trPr>
          <w:trHeight w:val="240"/>
        </w:trPr>
        <w:tc>
          <w:tcPr>
            <w:tcW w:w="43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盘锦伊科思</w:t>
            </w:r>
          </w:p>
        </w:tc>
        <w:tc>
          <w:tcPr>
            <w:tcW w:w="10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3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盘锦伊科思新材料有限公司</w:t>
            </w:r>
          </w:p>
        </w:tc>
      </w:tr>
    </w:tbl>
    <w:p w:rsidR="007F3A90" w:rsidRDefault="00CC38FA">
      <w:r>
        <w:br w:type="page"/>
      </w:r>
    </w:p>
    <w:p w:rsidR="007F3A90" w:rsidRDefault="00CC38FA">
      <w:pPr>
        <w:pStyle w:val="headingh1"/>
        <w:spacing w:before="340" w:after="330" w:line="773" w:lineRule="exact"/>
        <w:jc w:val="center"/>
        <w:rPr>
          <w:rFonts w:ascii="宋体" w:eastAsia="宋体" w:hAnsi="宋体" w:cs="宋体"/>
          <w:b/>
          <w:bCs/>
          <w:sz w:val="32"/>
          <w:szCs w:val="32"/>
        </w:rPr>
      </w:pPr>
      <w:bookmarkStart w:id="1" w:name="_Toc988890"/>
      <w:r>
        <w:rPr>
          <w:rFonts w:ascii="宋体" w:eastAsia="宋体" w:hAnsi="宋体" w:cs="宋体"/>
          <w:b/>
          <w:bCs/>
          <w:sz w:val="32"/>
          <w:szCs w:val="32"/>
        </w:rPr>
        <w:lastRenderedPageBreak/>
        <w:t>第二节 公司简介和主要财务指标</w:t>
      </w:r>
      <w:bookmarkEnd w:id="1"/>
    </w:p>
    <w:p w:rsidR="007F3A90" w:rsidRDefault="00CC38FA">
      <w:pPr>
        <w:pStyle w:val="2"/>
        <w:spacing w:before="300" w:after="300" w:line="320" w:lineRule="exact"/>
        <w:rPr>
          <w:rFonts w:ascii="宋体" w:eastAsia="宋体" w:hAnsi="宋体" w:cs="宋体"/>
          <w:b/>
          <w:bCs/>
          <w:sz w:val="24"/>
          <w:szCs w:val="24"/>
        </w:rPr>
      </w:pPr>
      <w:bookmarkStart w:id="2" w:name="_Toc988891"/>
      <w:r>
        <w:rPr>
          <w:rFonts w:ascii="宋体" w:eastAsia="宋体" w:hAnsi="宋体" w:cs="宋体"/>
          <w:b/>
          <w:bCs/>
          <w:sz w:val="24"/>
          <w:szCs w:val="24"/>
        </w:rPr>
        <w:t>一、公司简介</w:t>
      </w:r>
      <w:bookmarkEnd w:id="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660"/>
        <w:gridCol w:w="2159"/>
        <w:gridCol w:w="2410"/>
        <w:gridCol w:w="2410"/>
      </w:tblGrid>
      <w:tr w:rsidR="007F3A90" w:rsidTr="0038435D">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股票简称</w:t>
            </w:r>
          </w:p>
        </w:tc>
        <w:tc>
          <w:tcPr>
            <w:tcW w:w="21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软控股份</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股票代码</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002073</w:t>
            </w:r>
          </w:p>
        </w:tc>
      </w:tr>
      <w:tr w:rsidR="007F3A90" w:rsidTr="0038435D">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股票上市证券交易所</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深圳证券交易所</w:t>
            </w:r>
          </w:p>
        </w:tc>
      </w:tr>
      <w:tr w:rsidR="007F3A90" w:rsidTr="0038435D">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公司的中文名称</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软控股份有限公司</w:t>
            </w:r>
          </w:p>
        </w:tc>
      </w:tr>
      <w:tr w:rsidR="007F3A90" w:rsidTr="0038435D">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公司的中文简称（如有）</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软控股份</w:t>
            </w:r>
          </w:p>
        </w:tc>
      </w:tr>
      <w:tr w:rsidR="007F3A90" w:rsidTr="0038435D">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公司的外文名称（如有）</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MESNAC Co.,Ltd.</w:t>
            </w:r>
          </w:p>
        </w:tc>
      </w:tr>
      <w:tr w:rsidR="007F3A90" w:rsidTr="0038435D">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公司的外文名称缩写（如有）</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MESNAC</w:t>
            </w:r>
          </w:p>
        </w:tc>
      </w:tr>
      <w:tr w:rsidR="007F3A90" w:rsidTr="0038435D">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公司的法定代表人</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官炳政</w:t>
            </w:r>
          </w:p>
        </w:tc>
      </w:tr>
    </w:tbl>
    <w:p w:rsidR="007F3A90" w:rsidRDefault="00CC38FA">
      <w:pPr>
        <w:pStyle w:val="2"/>
        <w:spacing w:before="300" w:after="300" w:line="320" w:lineRule="exact"/>
        <w:rPr>
          <w:rFonts w:ascii="宋体" w:eastAsia="宋体" w:hAnsi="宋体" w:cs="宋体"/>
          <w:b/>
          <w:bCs/>
          <w:sz w:val="24"/>
          <w:szCs w:val="24"/>
        </w:rPr>
      </w:pPr>
      <w:bookmarkStart w:id="3" w:name="_Toc988892"/>
      <w:r>
        <w:rPr>
          <w:rFonts w:ascii="宋体" w:eastAsia="宋体" w:hAnsi="宋体" w:cs="宋体"/>
          <w:b/>
          <w:bCs/>
          <w:sz w:val="24"/>
          <w:szCs w:val="24"/>
        </w:rPr>
        <w:t>二、联系人和联系方式</w:t>
      </w:r>
      <w:bookmarkEnd w:id="3"/>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660"/>
        <w:gridCol w:w="3544"/>
        <w:gridCol w:w="3435"/>
      </w:tblGrid>
      <w:tr w:rsidR="007F3A90" w:rsidTr="0038435D">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董事会秘书</w:t>
            </w:r>
          </w:p>
        </w:tc>
        <w:tc>
          <w:tcPr>
            <w:tcW w:w="343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证券事务代表</w:t>
            </w:r>
          </w:p>
        </w:tc>
      </w:tr>
      <w:tr w:rsidR="007F3A90" w:rsidTr="0038435D">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姓名</w:t>
            </w:r>
          </w:p>
        </w:tc>
        <w:tc>
          <w:tcPr>
            <w:tcW w:w="354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张垚</w:t>
            </w:r>
          </w:p>
        </w:tc>
        <w:tc>
          <w:tcPr>
            <w:tcW w:w="34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孙志慧</w:t>
            </w:r>
          </w:p>
        </w:tc>
      </w:tr>
      <w:tr w:rsidR="007F3A90" w:rsidTr="0038435D">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联系地址</w:t>
            </w:r>
          </w:p>
        </w:tc>
        <w:tc>
          <w:tcPr>
            <w:tcW w:w="354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山东省青岛市郑州路43号</w:t>
            </w:r>
          </w:p>
        </w:tc>
        <w:tc>
          <w:tcPr>
            <w:tcW w:w="34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山东省青岛市郑州路43号</w:t>
            </w:r>
          </w:p>
        </w:tc>
      </w:tr>
      <w:tr w:rsidR="007F3A90" w:rsidTr="0038435D">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电话</w:t>
            </w:r>
          </w:p>
        </w:tc>
        <w:tc>
          <w:tcPr>
            <w:tcW w:w="354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0532-84012387</w:t>
            </w:r>
          </w:p>
        </w:tc>
        <w:tc>
          <w:tcPr>
            <w:tcW w:w="34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0532-84012387</w:t>
            </w:r>
          </w:p>
        </w:tc>
      </w:tr>
      <w:tr w:rsidR="007F3A90" w:rsidTr="0038435D">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传真</w:t>
            </w:r>
          </w:p>
        </w:tc>
        <w:tc>
          <w:tcPr>
            <w:tcW w:w="354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0532-84011517</w:t>
            </w:r>
          </w:p>
        </w:tc>
        <w:tc>
          <w:tcPr>
            <w:tcW w:w="34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0532-84011517</w:t>
            </w:r>
          </w:p>
        </w:tc>
      </w:tr>
      <w:tr w:rsidR="007F3A90" w:rsidTr="0038435D">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电子信箱</w:t>
            </w:r>
          </w:p>
        </w:tc>
        <w:tc>
          <w:tcPr>
            <w:tcW w:w="354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zhangyao@mesnac.com</w:t>
            </w:r>
          </w:p>
        </w:tc>
        <w:tc>
          <w:tcPr>
            <w:tcW w:w="34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sunzh@mesnac.com</w:t>
            </w:r>
          </w:p>
        </w:tc>
      </w:tr>
    </w:tbl>
    <w:p w:rsidR="007F3A90" w:rsidRDefault="00CC38FA">
      <w:pPr>
        <w:pStyle w:val="2"/>
        <w:spacing w:before="300" w:after="300" w:line="320" w:lineRule="exact"/>
        <w:rPr>
          <w:rFonts w:ascii="宋体" w:eastAsia="宋体" w:hAnsi="宋体" w:cs="宋体"/>
          <w:b/>
          <w:bCs/>
          <w:sz w:val="24"/>
          <w:szCs w:val="24"/>
        </w:rPr>
      </w:pPr>
      <w:bookmarkStart w:id="4" w:name="_Toc988893"/>
      <w:r>
        <w:rPr>
          <w:rFonts w:ascii="宋体" w:eastAsia="宋体" w:hAnsi="宋体" w:cs="宋体"/>
          <w:b/>
          <w:bCs/>
          <w:sz w:val="24"/>
          <w:szCs w:val="24"/>
        </w:rPr>
        <w:t>三、其他情况</w:t>
      </w:r>
      <w:bookmarkEnd w:id="4"/>
    </w:p>
    <w:p w:rsidR="007F3A90" w:rsidRDefault="00CC38FA">
      <w:pPr>
        <w:pStyle w:val="3"/>
        <w:spacing w:line="280" w:lineRule="exact"/>
        <w:jc w:val="left"/>
        <w:rPr>
          <w:rFonts w:ascii="宋体" w:hAnsi="宋体" w:cs="宋体"/>
          <w:b/>
          <w:bCs/>
        </w:rPr>
      </w:pPr>
      <w:bookmarkStart w:id="5" w:name="_Toc988894"/>
      <w:r>
        <w:rPr>
          <w:rFonts w:ascii="宋体" w:hAnsi="宋体" w:cs="宋体"/>
          <w:b/>
          <w:bCs/>
        </w:rPr>
        <w:t>1、公司联系方式</w:t>
      </w:r>
      <w:bookmarkEnd w:id="5"/>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公司注册地址、公司办公地址及其邮政编码、公司网址、电子信箱等在报告期是否变化</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公司注册地址、公司办公地址及其邮政编码、公司网址、电子信箱等在报告期无变化，具体可参见2023年年报。</w:t>
      </w:r>
    </w:p>
    <w:p w:rsidR="007F3A90" w:rsidRDefault="00CC38FA">
      <w:pPr>
        <w:pStyle w:val="3"/>
        <w:spacing w:line="280" w:lineRule="exact"/>
        <w:jc w:val="left"/>
        <w:rPr>
          <w:rFonts w:ascii="宋体" w:hAnsi="宋体" w:cs="宋体"/>
          <w:b/>
          <w:bCs/>
        </w:rPr>
      </w:pPr>
      <w:bookmarkStart w:id="6" w:name="_Toc988895"/>
      <w:r>
        <w:rPr>
          <w:rFonts w:ascii="宋体" w:hAnsi="宋体" w:cs="宋体"/>
          <w:b/>
          <w:bCs/>
        </w:rPr>
        <w:t>2、信息披露及备置地点</w:t>
      </w:r>
      <w:bookmarkEnd w:id="6"/>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信息披露及备置地点在报告期是否变化</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公司披露半年度报告的证券交易所网站和媒体名称及网址，公司半年度报告备置地在报告期无变化，具体可参见2023年年报。</w:t>
      </w:r>
    </w:p>
    <w:p w:rsidR="007F3A90" w:rsidRDefault="00CC38FA">
      <w:pPr>
        <w:pStyle w:val="3"/>
        <w:spacing w:line="280" w:lineRule="exact"/>
        <w:jc w:val="left"/>
        <w:rPr>
          <w:rFonts w:ascii="宋体" w:hAnsi="宋体" w:cs="宋体"/>
          <w:b/>
          <w:bCs/>
        </w:rPr>
      </w:pPr>
      <w:bookmarkStart w:id="7" w:name="_Toc988896"/>
      <w:r>
        <w:rPr>
          <w:rFonts w:ascii="宋体" w:hAnsi="宋体" w:cs="宋体"/>
          <w:b/>
          <w:bCs/>
        </w:rPr>
        <w:t>3、其他有关资料</w:t>
      </w:r>
      <w:bookmarkEnd w:id="7"/>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其他有关资料在报告期是否变更情况</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pStyle w:val="2"/>
        <w:spacing w:before="300" w:after="300" w:line="320" w:lineRule="exact"/>
        <w:rPr>
          <w:rFonts w:ascii="宋体" w:eastAsia="宋体" w:hAnsi="宋体" w:cs="宋体"/>
          <w:b/>
          <w:bCs/>
          <w:sz w:val="24"/>
          <w:szCs w:val="24"/>
        </w:rPr>
      </w:pPr>
      <w:bookmarkStart w:id="8" w:name="_Toc988897"/>
      <w:r>
        <w:rPr>
          <w:rFonts w:ascii="宋体" w:eastAsia="宋体" w:hAnsi="宋体" w:cs="宋体"/>
          <w:b/>
          <w:bCs/>
          <w:sz w:val="24"/>
          <w:szCs w:val="24"/>
        </w:rPr>
        <w:t>四、主要会计数据和财务指标</w:t>
      </w:r>
      <w:bookmarkEnd w:id="8"/>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公司是否需追溯调整或重述以前年度会计数据</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 xml:space="preserve">□是 </w:t>
      </w:r>
      <w:r>
        <w:rPr>
          <w:rFonts w:ascii="宋体" w:eastAsia="宋体" w:hAnsi="宋体" w:cs="宋体"/>
          <w:sz w:val="18"/>
          <w:szCs w:val="18"/>
        </w:rPr>
        <w:sym w:font="Wingdings 2" w:char="F052"/>
      </w:r>
      <w:r>
        <w:rPr>
          <w:rFonts w:ascii="宋体" w:eastAsia="宋体" w:hAnsi="宋体" w:cs="宋体"/>
          <w:sz w:val="18"/>
          <w:szCs w:val="18"/>
        </w:rPr>
        <w:t>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27"/>
        <w:gridCol w:w="2126"/>
        <w:gridCol w:w="1876"/>
        <w:gridCol w:w="2410"/>
      </w:tblGrid>
      <w:tr w:rsidR="007F3A90" w:rsidTr="0038435D">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w:t>
            </w:r>
          </w:p>
        </w:tc>
        <w:tc>
          <w:tcPr>
            <w:tcW w:w="1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上年同期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本报告期比上年同期增减</w:t>
            </w:r>
          </w:p>
        </w:tc>
      </w:tr>
      <w:tr w:rsidR="007F3A90" w:rsidTr="0038435D">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营业收入（元）</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3,225,052,250.95</w:t>
            </w:r>
          </w:p>
        </w:tc>
        <w:tc>
          <w:tcPr>
            <w:tcW w:w="1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2,440,711,765.46</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32.14%</w:t>
            </w:r>
          </w:p>
        </w:tc>
      </w:tr>
      <w:tr w:rsidR="007F3A90" w:rsidTr="0038435D">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191,979,291.47</w:t>
            </w:r>
          </w:p>
        </w:tc>
        <w:tc>
          <w:tcPr>
            <w:tcW w:w="1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95,178,037.53</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101.71%</w:t>
            </w:r>
          </w:p>
        </w:tc>
      </w:tr>
      <w:tr w:rsidR="007F3A90" w:rsidTr="0038435D">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165,621,451.80</w:t>
            </w:r>
          </w:p>
        </w:tc>
        <w:tc>
          <w:tcPr>
            <w:tcW w:w="1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60,579,092.17</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173.40%</w:t>
            </w:r>
          </w:p>
        </w:tc>
      </w:tr>
      <w:tr w:rsidR="007F3A90" w:rsidTr="0038435D">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经营活动产生的现金流量净额（元）</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257,413,216.57</w:t>
            </w:r>
          </w:p>
        </w:tc>
        <w:tc>
          <w:tcPr>
            <w:tcW w:w="1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213,356,592.20</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20.65%</w:t>
            </w:r>
          </w:p>
        </w:tc>
      </w:tr>
      <w:tr w:rsidR="007F3A90" w:rsidTr="0038435D">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基本每股收益（元/股）</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0.1896</w:t>
            </w:r>
          </w:p>
        </w:tc>
        <w:tc>
          <w:tcPr>
            <w:tcW w:w="1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0.0982</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93.08%</w:t>
            </w:r>
          </w:p>
        </w:tc>
      </w:tr>
      <w:tr w:rsidR="007F3A90" w:rsidTr="0038435D">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稀释每股收益（元/股）</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0.1983</w:t>
            </w:r>
          </w:p>
        </w:tc>
        <w:tc>
          <w:tcPr>
            <w:tcW w:w="1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0.1001</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98.10%</w:t>
            </w:r>
          </w:p>
        </w:tc>
      </w:tr>
      <w:tr w:rsidR="007F3A90" w:rsidTr="0038435D">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加权平均净资产收益率</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3.62%</w:t>
            </w:r>
          </w:p>
        </w:tc>
        <w:tc>
          <w:tcPr>
            <w:tcW w:w="1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1.94%</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1.68%</w:t>
            </w:r>
          </w:p>
        </w:tc>
      </w:tr>
      <w:tr w:rsidR="007F3A90" w:rsidTr="0038435D">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本报告期末</w:t>
            </w:r>
          </w:p>
        </w:tc>
        <w:tc>
          <w:tcPr>
            <w:tcW w:w="1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上年度末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本报告期末比上年度末增减</w:t>
            </w:r>
          </w:p>
        </w:tc>
      </w:tr>
      <w:tr w:rsidR="007F3A90" w:rsidTr="0038435D">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总资产（元）</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16,911,247,601.43</w:t>
            </w:r>
          </w:p>
        </w:tc>
        <w:tc>
          <w:tcPr>
            <w:tcW w:w="1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15,961,879,130.52</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5.95%</w:t>
            </w:r>
          </w:p>
        </w:tc>
      </w:tr>
      <w:tr w:rsidR="007F3A90" w:rsidTr="0038435D">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归属于上市公司股东的净资产（元）</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5,452,280,240.72</w:t>
            </w:r>
          </w:p>
        </w:tc>
        <w:tc>
          <w:tcPr>
            <w:tcW w:w="1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5,287,960,374.22</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3.11%</w:t>
            </w:r>
          </w:p>
        </w:tc>
      </w:tr>
    </w:tbl>
    <w:p w:rsidR="007F3A90" w:rsidRDefault="00CC38FA">
      <w:pPr>
        <w:pStyle w:val="2"/>
        <w:spacing w:before="300" w:after="300" w:line="320" w:lineRule="exact"/>
        <w:rPr>
          <w:rFonts w:ascii="宋体" w:eastAsia="宋体" w:hAnsi="宋体" w:cs="宋体"/>
          <w:b/>
          <w:bCs/>
          <w:sz w:val="24"/>
          <w:szCs w:val="24"/>
        </w:rPr>
      </w:pPr>
      <w:bookmarkStart w:id="9" w:name="_Toc988898"/>
      <w:r>
        <w:rPr>
          <w:rFonts w:ascii="宋体" w:eastAsia="宋体" w:hAnsi="宋体" w:cs="宋体"/>
          <w:b/>
          <w:bCs/>
          <w:sz w:val="24"/>
          <w:szCs w:val="24"/>
        </w:rPr>
        <w:t>五、境内外会计准则下会计数据差异</w:t>
      </w:r>
      <w:bookmarkEnd w:id="9"/>
    </w:p>
    <w:p w:rsidR="007F3A90" w:rsidRDefault="00CC38FA">
      <w:pPr>
        <w:pStyle w:val="3"/>
        <w:spacing w:line="280" w:lineRule="exact"/>
        <w:jc w:val="left"/>
        <w:rPr>
          <w:rFonts w:ascii="宋体" w:hAnsi="宋体" w:cs="宋体"/>
          <w:b/>
          <w:bCs/>
        </w:rPr>
      </w:pPr>
      <w:bookmarkStart w:id="10" w:name="_Toc988899"/>
      <w:r>
        <w:rPr>
          <w:rFonts w:ascii="宋体" w:hAnsi="宋体" w:cs="宋体"/>
          <w:b/>
          <w:bCs/>
        </w:rPr>
        <w:t>1、同时按照国际会计准则与按照中国会计准则披露的财务报告中净利润和净资产差异情况</w:t>
      </w:r>
      <w:bookmarkEnd w:id="10"/>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公司报告期不存在按照国际会计准则与按照中国会计准则披露的财务报告中净利润和净资产差异情况。</w:t>
      </w:r>
    </w:p>
    <w:p w:rsidR="007F3A90" w:rsidRDefault="00CC38FA">
      <w:pPr>
        <w:pStyle w:val="3"/>
        <w:spacing w:line="280" w:lineRule="exact"/>
        <w:jc w:val="left"/>
        <w:rPr>
          <w:rFonts w:ascii="宋体" w:hAnsi="宋体" w:cs="宋体"/>
          <w:b/>
          <w:bCs/>
        </w:rPr>
      </w:pPr>
      <w:bookmarkStart w:id="11" w:name="_Toc988900"/>
      <w:r>
        <w:rPr>
          <w:rFonts w:ascii="宋体" w:hAnsi="宋体" w:cs="宋体"/>
          <w:b/>
          <w:bCs/>
        </w:rPr>
        <w:t>2、同时按照境外会计准则与按照中国会计准则披露的财务报告中净利润和净资产差异情况</w:t>
      </w:r>
      <w:bookmarkEnd w:id="11"/>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公司报告期不存在按照境外会计准则与按照中国会计准则披露的财务报告中净利润和净资产差异情况。</w:t>
      </w:r>
    </w:p>
    <w:p w:rsidR="007F3A90" w:rsidRDefault="00CC38FA">
      <w:pPr>
        <w:pStyle w:val="2"/>
        <w:spacing w:before="300" w:after="300" w:line="320" w:lineRule="exact"/>
        <w:rPr>
          <w:rFonts w:ascii="宋体" w:eastAsia="宋体" w:hAnsi="宋体" w:cs="宋体"/>
          <w:b/>
          <w:bCs/>
          <w:sz w:val="24"/>
          <w:szCs w:val="24"/>
        </w:rPr>
      </w:pPr>
      <w:bookmarkStart w:id="12" w:name="_Toc988901"/>
      <w:r>
        <w:rPr>
          <w:rFonts w:ascii="宋体" w:eastAsia="宋体" w:hAnsi="宋体" w:cs="宋体"/>
          <w:b/>
          <w:bCs/>
          <w:sz w:val="24"/>
          <w:szCs w:val="24"/>
        </w:rPr>
        <w:t>六、非经常性损益项目及金额</w:t>
      </w:r>
      <w:bookmarkEnd w:id="12"/>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652"/>
        <w:gridCol w:w="2268"/>
        <w:gridCol w:w="3719"/>
      </w:tblGrid>
      <w:tr w:rsidR="007F3A90" w:rsidTr="0038435D">
        <w:trPr>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jc w:val="center"/>
              <w:rPr>
                <w:rFonts w:ascii="宋体" w:eastAsia="宋体" w:hAnsi="宋体" w:cs="宋体"/>
                <w:sz w:val="18"/>
                <w:szCs w:val="18"/>
              </w:rPr>
            </w:pPr>
            <w:r>
              <w:rPr>
                <w:rFonts w:ascii="宋体" w:eastAsia="宋体" w:hAnsi="宋体" w:cs="宋体"/>
                <w:sz w:val="18"/>
                <w:szCs w:val="18"/>
              </w:rPr>
              <w:t>金额</w:t>
            </w:r>
          </w:p>
        </w:tc>
        <w:tc>
          <w:tcPr>
            <w:tcW w:w="371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jc w:val="center"/>
              <w:rPr>
                <w:rFonts w:ascii="宋体" w:eastAsia="宋体" w:hAnsi="宋体" w:cs="宋体"/>
                <w:sz w:val="18"/>
                <w:szCs w:val="18"/>
              </w:rPr>
            </w:pPr>
            <w:r>
              <w:rPr>
                <w:rFonts w:ascii="宋体" w:eastAsia="宋体" w:hAnsi="宋体" w:cs="宋体"/>
                <w:sz w:val="18"/>
                <w:szCs w:val="18"/>
              </w:rPr>
              <w:t>说明</w:t>
            </w:r>
          </w:p>
        </w:tc>
      </w:tr>
      <w:tr w:rsidR="007F3A90" w:rsidTr="0038435D">
        <w:trPr>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非流动性资产处置损益（包括已计提资产减值准备的冲销部分）</w:t>
            </w:r>
          </w:p>
        </w:tc>
        <w:tc>
          <w:tcPr>
            <w:tcW w:w="22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-3,379,723.58</w:t>
            </w:r>
          </w:p>
        </w:tc>
        <w:tc>
          <w:tcPr>
            <w:tcW w:w="371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rsidTr="0038435D">
        <w:trPr>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22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18,373,066.37</w:t>
            </w:r>
          </w:p>
        </w:tc>
        <w:tc>
          <w:tcPr>
            <w:tcW w:w="371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rsidTr="0038435D">
        <w:trPr>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委托他人投资或管理资产的损益</w:t>
            </w:r>
          </w:p>
        </w:tc>
        <w:tc>
          <w:tcPr>
            <w:tcW w:w="22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9,608,510.35</w:t>
            </w:r>
          </w:p>
        </w:tc>
        <w:tc>
          <w:tcPr>
            <w:tcW w:w="371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本期变动主要是由于理财收益增多所致</w:t>
            </w:r>
            <w:r w:rsidR="006F2C65">
              <w:rPr>
                <w:rFonts w:ascii="宋体" w:eastAsia="宋体" w:hAnsi="宋体" w:cs="宋体" w:hint="eastAsia"/>
                <w:sz w:val="18"/>
                <w:szCs w:val="18"/>
              </w:rPr>
              <w:t>。</w:t>
            </w:r>
          </w:p>
        </w:tc>
      </w:tr>
      <w:tr w:rsidR="007F3A90" w:rsidTr="0038435D">
        <w:trPr>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单独进行减值测试的应收款项减值准备转回</w:t>
            </w:r>
          </w:p>
        </w:tc>
        <w:tc>
          <w:tcPr>
            <w:tcW w:w="22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6,531,944.21</w:t>
            </w:r>
          </w:p>
        </w:tc>
        <w:tc>
          <w:tcPr>
            <w:tcW w:w="371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本期变动主要是由于收回前期单项计提应收账款所致</w:t>
            </w:r>
            <w:r w:rsidR="006F2C65">
              <w:rPr>
                <w:rFonts w:ascii="宋体" w:eastAsia="宋体" w:hAnsi="宋体" w:cs="宋体" w:hint="eastAsia"/>
                <w:sz w:val="18"/>
                <w:szCs w:val="18"/>
              </w:rPr>
              <w:t>。</w:t>
            </w:r>
          </w:p>
        </w:tc>
      </w:tr>
      <w:tr w:rsidR="007F3A90" w:rsidTr="0038435D">
        <w:trPr>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债务重组损益</w:t>
            </w:r>
          </w:p>
        </w:tc>
        <w:tc>
          <w:tcPr>
            <w:tcW w:w="22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-184,591.13</w:t>
            </w:r>
          </w:p>
        </w:tc>
        <w:tc>
          <w:tcPr>
            <w:tcW w:w="371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本期变动主要是由于与客户进行的债权债务重组行为减少所致。</w:t>
            </w:r>
          </w:p>
        </w:tc>
      </w:tr>
      <w:tr w:rsidR="007F3A90" w:rsidTr="0038435D">
        <w:trPr>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22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2,647,036.51</w:t>
            </w:r>
          </w:p>
        </w:tc>
        <w:tc>
          <w:tcPr>
            <w:tcW w:w="371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rsidTr="0038435D">
        <w:trPr>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减：所得税影响额</w:t>
            </w:r>
          </w:p>
        </w:tc>
        <w:tc>
          <w:tcPr>
            <w:tcW w:w="22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5,098,961.41</w:t>
            </w:r>
          </w:p>
        </w:tc>
        <w:tc>
          <w:tcPr>
            <w:tcW w:w="371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rsidTr="0038435D">
        <w:trPr>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200" w:firstLine="360"/>
              <w:rPr>
                <w:rFonts w:ascii="宋体" w:eastAsia="宋体" w:hAnsi="宋体" w:cs="宋体"/>
                <w:sz w:val="18"/>
                <w:szCs w:val="18"/>
              </w:rPr>
            </w:pPr>
            <w:r>
              <w:rPr>
                <w:rFonts w:ascii="宋体" w:eastAsia="宋体" w:hAnsi="宋体" w:cs="宋体"/>
                <w:sz w:val="18"/>
                <w:szCs w:val="18"/>
              </w:rPr>
              <w:t>少数股东权益影响额（税后）</w:t>
            </w:r>
          </w:p>
        </w:tc>
        <w:tc>
          <w:tcPr>
            <w:tcW w:w="22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2,139,441.65</w:t>
            </w:r>
          </w:p>
        </w:tc>
        <w:tc>
          <w:tcPr>
            <w:tcW w:w="371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rsidTr="0038435D">
        <w:trPr>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合计</w:t>
            </w:r>
          </w:p>
        </w:tc>
        <w:tc>
          <w:tcPr>
            <w:tcW w:w="22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26,357,839.67</w:t>
            </w:r>
          </w:p>
        </w:tc>
        <w:tc>
          <w:tcPr>
            <w:tcW w:w="371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公司不存在其他符合非经常性损益定义的损益项目的具体情况。</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公司不存在将《公开发行证券的公司信息披露解释性公告第1号——非经常性损益》中列举的非经常性损益项目界定为经常性损益的项目的情形。</w:t>
      </w:r>
    </w:p>
    <w:p w:rsidR="007F3A90" w:rsidRDefault="00CC38FA">
      <w:r>
        <w:br w:type="page"/>
      </w:r>
    </w:p>
    <w:p w:rsidR="007F3A90" w:rsidRDefault="00CC38FA">
      <w:pPr>
        <w:pStyle w:val="headingh1"/>
        <w:spacing w:before="340" w:after="330" w:line="773" w:lineRule="exact"/>
        <w:jc w:val="center"/>
        <w:rPr>
          <w:rFonts w:ascii="宋体" w:eastAsia="宋体" w:hAnsi="宋体" w:cs="宋体"/>
          <w:b/>
          <w:bCs/>
          <w:sz w:val="32"/>
          <w:szCs w:val="32"/>
        </w:rPr>
      </w:pPr>
      <w:bookmarkStart w:id="13" w:name="_Toc988902"/>
      <w:r>
        <w:rPr>
          <w:rFonts w:ascii="宋体" w:eastAsia="宋体" w:hAnsi="宋体" w:cs="宋体"/>
          <w:b/>
          <w:bCs/>
          <w:sz w:val="32"/>
          <w:szCs w:val="32"/>
        </w:rPr>
        <w:lastRenderedPageBreak/>
        <w:t>第三节 管理层讨论与分析</w:t>
      </w:r>
      <w:bookmarkEnd w:id="13"/>
    </w:p>
    <w:p w:rsidR="007F3A90" w:rsidRDefault="00CC38FA">
      <w:pPr>
        <w:pStyle w:val="2"/>
        <w:spacing w:before="300" w:after="300" w:line="320" w:lineRule="exact"/>
        <w:rPr>
          <w:rFonts w:ascii="宋体" w:eastAsia="宋体" w:hAnsi="宋体" w:cs="宋体"/>
          <w:b/>
          <w:bCs/>
          <w:sz w:val="24"/>
          <w:szCs w:val="24"/>
        </w:rPr>
      </w:pPr>
      <w:bookmarkStart w:id="14" w:name="_Toc988903"/>
      <w:r>
        <w:rPr>
          <w:rFonts w:ascii="宋体" w:eastAsia="宋体" w:hAnsi="宋体" w:cs="宋体"/>
          <w:b/>
          <w:bCs/>
          <w:sz w:val="24"/>
          <w:szCs w:val="24"/>
        </w:rPr>
        <w:t>一、报告期内公司从事的主要业务</w:t>
      </w:r>
      <w:bookmarkEnd w:id="14"/>
    </w:p>
    <w:p w:rsidR="00CC38FA" w:rsidRDefault="00CC38FA">
      <w:pPr>
        <w:pStyle w:val="a3"/>
        <w:spacing w:before="40" w:beforeAutospacing="0" w:after="40" w:afterAutospacing="0"/>
        <w:divId w:val="896356424"/>
        <w:rPr>
          <w:rFonts w:ascii="Calibri" w:hAnsi="Calibri" w:cs="Calibri"/>
          <w:sz w:val="21"/>
          <w:szCs w:val="21"/>
        </w:rPr>
      </w:pPr>
      <w:r>
        <w:rPr>
          <w:rFonts w:cs="Calibri" w:hint="eastAsia"/>
          <w:sz w:val="18"/>
          <w:szCs w:val="18"/>
        </w:rPr>
        <w:t>（一）主营业务、主要产品及行业地位</w:t>
      </w:r>
    </w:p>
    <w:p w:rsidR="00CC38FA" w:rsidRDefault="00CC38FA">
      <w:pPr>
        <w:pStyle w:val="a3"/>
        <w:spacing w:before="40" w:beforeAutospacing="0" w:after="40" w:afterAutospacing="0"/>
        <w:ind w:firstLine="360"/>
        <w:divId w:val="896356424"/>
        <w:rPr>
          <w:rFonts w:ascii="Calibri" w:hAnsi="Calibri" w:cs="Calibri"/>
          <w:sz w:val="21"/>
          <w:szCs w:val="21"/>
        </w:rPr>
      </w:pPr>
      <w:r>
        <w:rPr>
          <w:rFonts w:cs="Calibri" w:hint="eastAsia"/>
          <w:sz w:val="18"/>
          <w:szCs w:val="18"/>
        </w:rPr>
        <w:t>报告期内，公司主营业务未发生重大变化。</w:t>
      </w:r>
    </w:p>
    <w:p w:rsidR="00CC38FA" w:rsidRDefault="00CC38FA">
      <w:pPr>
        <w:pStyle w:val="a3"/>
        <w:spacing w:before="40" w:beforeAutospacing="0" w:after="40" w:afterAutospacing="0"/>
        <w:ind w:firstLine="360"/>
        <w:divId w:val="896356424"/>
        <w:rPr>
          <w:rFonts w:ascii="Calibri" w:hAnsi="Calibri" w:cs="Calibri"/>
          <w:sz w:val="21"/>
          <w:szCs w:val="21"/>
        </w:rPr>
      </w:pPr>
      <w:r>
        <w:rPr>
          <w:rFonts w:cs="Calibri" w:hint="eastAsia"/>
          <w:sz w:val="18"/>
          <w:szCs w:val="18"/>
        </w:rPr>
        <w:t>公司致力于橡胶行业应用软件、信息化装备的研发与创新，为轮胎企业提供软硬结合、管控一体的智能化整体解决方案，推动工业智能化发展，并广泛涉足物联网、</w:t>
      </w:r>
      <w:r>
        <w:rPr>
          <w:rFonts w:ascii="Times New Roman" w:hAnsi="Times New Roman" w:cs="Times New Roman"/>
          <w:sz w:val="18"/>
          <w:szCs w:val="18"/>
        </w:rPr>
        <w:t>RFID</w:t>
      </w:r>
      <w:r>
        <w:rPr>
          <w:rFonts w:cs="Calibri" w:hint="eastAsia"/>
          <w:sz w:val="18"/>
          <w:szCs w:val="18"/>
        </w:rPr>
        <w:t>、橡胶新材料等领域。多年来，公司搭建了多个行业级的综合技术研发平台，先后承建了国家橡胶与轮胎工程技术研究中心、轮胎先进装备与关键材料国家工程研究中心以及数字化橡胶轮胎装备国际联合研究中心，推动橡胶工业智能化发展。截至目前，公司已形成较完整的产品链，能够为轮胎生产的配料、密炼、压延、裁断、成型、硫化、检测、立体仓库各个环节提供智能化装备及系统软件服务。《欧洲橡胶杂志》（</w:t>
      </w:r>
      <w:r>
        <w:rPr>
          <w:rFonts w:ascii="Times New Roman" w:hAnsi="Times New Roman" w:cs="Times New Roman"/>
          <w:sz w:val="18"/>
          <w:szCs w:val="18"/>
        </w:rPr>
        <w:t>ERJ</w:t>
      </w:r>
      <w:r>
        <w:rPr>
          <w:rFonts w:cs="Calibri" w:hint="eastAsia"/>
          <w:sz w:val="18"/>
          <w:szCs w:val="18"/>
        </w:rPr>
        <w:t>）公布了</w:t>
      </w:r>
      <w:r>
        <w:rPr>
          <w:rFonts w:ascii="Times New Roman" w:hAnsi="Times New Roman" w:cs="Times New Roman"/>
          <w:sz w:val="18"/>
          <w:szCs w:val="18"/>
        </w:rPr>
        <w:t>2023</w:t>
      </w:r>
      <w:r>
        <w:rPr>
          <w:rFonts w:cs="Calibri" w:hint="eastAsia"/>
          <w:sz w:val="18"/>
          <w:szCs w:val="18"/>
        </w:rPr>
        <w:t>年全球橡胶机械企业排行榜，公司位居全球第一位。</w:t>
      </w:r>
    </w:p>
    <w:p w:rsidR="00CC38FA" w:rsidRDefault="00CC38FA">
      <w:pPr>
        <w:pStyle w:val="a3"/>
        <w:spacing w:before="40" w:beforeAutospacing="0" w:after="40" w:afterAutospacing="0"/>
        <w:ind w:firstLine="360"/>
        <w:divId w:val="896356424"/>
        <w:rPr>
          <w:rFonts w:ascii="Calibri" w:hAnsi="Calibri" w:cs="Calibri"/>
          <w:sz w:val="21"/>
          <w:szCs w:val="21"/>
        </w:rPr>
      </w:pPr>
      <w:r>
        <w:rPr>
          <w:rFonts w:cs="Calibri" w:hint="eastAsia"/>
          <w:sz w:val="18"/>
          <w:szCs w:val="18"/>
        </w:rPr>
        <w:t>公司致力于化学炼胶项目，新型化学炼胶工程化技术的成功开发，颠覆了橡胶行业百年以来一直沿用的橡胶与填料物理干法混炼方式，突破了橡胶材料领域传统的经典磨耗理论，并打破了困扰世界轮胎行业多年的</w:t>
      </w:r>
      <w:r>
        <w:rPr>
          <w:rFonts w:ascii="Times New Roman" w:hAnsi="Times New Roman" w:cs="Times New Roman"/>
          <w:sz w:val="18"/>
          <w:szCs w:val="18"/>
        </w:rPr>
        <w:t>“</w:t>
      </w:r>
      <w:r>
        <w:rPr>
          <w:rFonts w:cs="Calibri" w:hint="eastAsia"/>
          <w:sz w:val="18"/>
          <w:szCs w:val="18"/>
        </w:rPr>
        <w:t>魔鬼三角</w:t>
      </w:r>
      <w:r>
        <w:rPr>
          <w:rFonts w:ascii="Times New Roman" w:hAnsi="Times New Roman" w:cs="Times New Roman"/>
          <w:sz w:val="18"/>
          <w:szCs w:val="18"/>
        </w:rPr>
        <w:t>”</w:t>
      </w:r>
      <w:r>
        <w:rPr>
          <w:rFonts w:cs="Calibri" w:hint="eastAsia"/>
          <w:sz w:val="18"/>
          <w:szCs w:val="18"/>
        </w:rPr>
        <w:t>定律。益凯新材料将继续以提高化学炼胶工程化装置产能利用率为下阶段发展目标，并以此工艺为核心，深入轮胎橡胶领域，面向全球市场客户，深化市场应用。同时，未来将积极探索该工艺在其它化工领域的应用可行性。通过打造多元化业务，强化公司抵御未来不可预测的各类风险的能力。</w:t>
      </w:r>
    </w:p>
    <w:p w:rsidR="00CC38FA" w:rsidRDefault="00CC38FA">
      <w:pPr>
        <w:pStyle w:val="a3"/>
        <w:spacing w:before="40" w:beforeAutospacing="0" w:after="40" w:afterAutospacing="0"/>
        <w:divId w:val="896356424"/>
        <w:rPr>
          <w:rFonts w:ascii="Calibri" w:hAnsi="Calibri" w:cs="Calibri"/>
          <w:sz w:val="21"/>
          <w:szCs w:val="21"/>
        </w:rPr>
      </w:pPr>
      <w:r>
        <w:rPr>
          <w:rFonts w:cs="Calibri" w:hint="eastAsia"/>
          <w:sz w:val="18"/>
          <w:szCs w:val="18"/>
        </w:rPr>
        <w:t>（二）主要经营模式</w:t>
      </w:r>
    </w:p>
    <w:p w:rsidR="00CC38FA" w:rsidRDefault="00CC38FA">
      <w:pPr>
        <w:pStyle w:val="a3"/>
        <w:spacing w:before="40" w:beforeAutospacing="0" w:after="40" w:afterAutospacing="0"/>
        <w:ind w:firstLine="360"/>
        <w:divId w:val="896356424"/>
        <w:rPr>
          <w:rFonts w:ascii="Calibri" w:hAnsi="Calibri" w:cs="Calibri"/>
          <w:sz w:val="21"/>
          <w:szCs w:val="21"/>
        </w:rPr>
      </w:pPr>
      <w:r>
        <w:rPr>
          <w:rFonts w:cs="Calibri" w:hint="eastAsia"/>
          <w:sz w:val="18"/>
          <w:szCs w:val="18"/>
        </w:rPr>
        <w:t>公司致力于</w:t>
      </w:r>
      <w:r>
        <w:rPr>
          <w:rFonts w:ascii="Times New Roman" w:hAnsi="Times New Roman" w:cs="Times New Roman"/>
          <w:sz w:val="18"/>
          <w:szCs w:val="18"/>
        </w:rPr>
        <w:t>“</w:t>
      </w:r>
      <w:r>
        <w:rPr>
          <w:rFonts w:cs="Calibri" w:hint="eastAsia"/>
          <w:sz w:val="18"/>
          <w:szCs w:val="18"/>
        </w:rPr>
        <w:t>产学研</w:t>
      </w:r>
      <w:r>
        <w:rPr>
          <w:rFonts w:ascii="Times New Roman" w:hAnsi="Times New Roman" w:cs="Times New Roman"/>
          <w:sz w:val="18"/>
          <w:szCs w:val="18"/>
        </w:rPr>
        <w:t>”</w:t>
      </w:r>
      <w:r>
        <w:rPr>
          <w:rFonts w:cs="Calibri" w:hint="eastAsia"/>
          <w:sz w:val="18"/>
          <w:szCs w:val="18"/>
        </w:rPr>
        <w:t>相结合的发展模式，重视新产品的研发，通过高效、规范的信息化发展流程，不断提升生产装备制造基地的水平和效率，同时在加强市场销售和售后服务的同时，保持对经营管理方面的深入探索，逐步形成了产、供、销高效衔接的经营模式。</w:t>
      </w:r>
    </w:p>
    <w:p w:rsidR="00CC38FA" w:rsidRDefault="00CC38FA">
      <w:pPr>
        <w:pStyle w:val="a3"/>
        <w:spacing w:before="40" w:beforeAutospacing="0" w:after="40" w:afterAutospacing="0"/>
        <w:divId w:val="896356424"/>
        <w:rPr>
          <w:rFonts w:ascii="Calibri" w:hAnsi="Calibri" w:cs="Calibri"/>
          <w:sz w:val="21"/>
          <w:szCs w:val="21"/>
        </w:rPr>
      </w:pPr>
      <w:r>
        <w:rPr>
          <w:rFonts w:cs="Calibri" w:hint="eastAsia"/>
          <w:sz w:val="18"/>
          <w:szCs w:val="18"/>
        </w:rPr>
        <w:t>（三）业绩分析</w:t>
      </w:r>
    </w:p>
    <w:p w:rsidR="00CC38FA" w:rsidRDefault="00CC38FA">
      <w:pPr>
        <w:pStyle w:val="a3"/>
        <w:spacing w:before="0" w:beforeAutospacing="0" w:after="0" w:afterAutospacing="0"/>
        <w:ind w:firstLine="420"/>
        <w:divId w:val="896356424"/>
        <w:rPr>
          <w:rFonts w:ascii="Calibri" w:hAnsi="Calibri" w:cs="Calibri"/>
          <w:sz w:val="21"/>
          <w:szCs w:val="21"/>
        </w:rPr>
      </w:pPr>
      <w:r>
        <w:rPr>
          <w:rFonts w:cs="Calibri" w:hint="eastAsia"/>
          <w:sz w:val="18"/>
          <w:szCs w:val="18"/>
        </w:rPr>
        <w:t>报告期内，面对国际、国内经济形势呈现出多方面的复杂变化和挑战，公司继续在行业内稳步前进，市场签单完成率高，客户结构持续优化</w:t>
      </w:r>
      <w:r>
        <w:rPr>
          <w:rFonts w:cs="Calibri" w:hint="eastAsia"/>
          <w:sz w:val="18"/>
          <w:szCs w:val="18"/>
          <w:shd w:val="clear" w:color="auto" w:fill="FFFFFF"/>
        </w:rPr>
        <w:t>。报告期内，公司实现营业收入3,225,052,250.95元，较上年同期增长32.14%；营业利润238,836,668.25元，较上年同期增长71.30%%；利润总额239,642,313.41元，较上年同期增长78.50%。</w:t>
      </w:r>
    </w:p>
    <w:p w:rsidR="007F3A90" w:rsidRDefault="00CC38FA">
      <w:pPr>
        <w:pStyle w:val="2"/>
        <w:spacing w:before="300" w:after="300" w:line="320" w:lineRule="exact"/>
        <w:rPr>
          <w:rFonts w:ascii="宋体" w:eastAsia="宋体" w:hAnsi="宋体" w:cs="宋体"/>
          <w:b/>
          <w:bCs/>
          <w:sz w:val="24"/>
          <w:szCs w:val="24"/>
        </w:rPr>
      </w:pPr>
      <w:bookmarkStart w:id="15" w:name="_Toc988904"/>
      <w:r>
        <w:rPr>
          <w:rFonts w:ascii="宋体" w:eastAsia="宋体" w:hAnsi="宋体" w:cs="宋体"/>
          <w:b/>
          <w:bCs/>
          <w:sz w:val="24"/>
          <w:szCs w:val="24"/>
        </w:rPr>
        <w:t>二、核心竞争力分析</w:t>
      </w:r>
      <w:bookmarkEnd w:id="15"/>
    </w:p>
    <w:p w:rsidR="00CC38FA" w:rsidRDefault="00CC38FA">
      <w:pPr>
        <w:pStyle w:val="a3"/>
        <w:divId w:val="1862890205"/>
        <w:rPr>
          <w:sz w:val="18"/>
          <w:szCs w:val="18"/>
        </w:rPr>
      </w:pPr>
      <w:r>
        <w:rPr>
          <w:rFonts w:hint="eastAsia"/>
          <w:sz w:val="18"/>
          <w:szCs w:val="18"/>
        </w:rPr>
        <w:t>1、研发创新优势</w:t>
      </w:r>
      <w:r>
        <w:rPr>
          <w:rFonts w:hint="eastAsia"/>
          <w:sz w:val="18"/>
          <w:szCs w:val="18"/>
        </w:rPr>
        <w:br/>
        <w:t xml:space="preserve">  公司搭建了以中国、美国、斯洛伐克为中心的全球研发体系，是国家创新型企业、国家技术创新示范企业、国家工业品牌示范企业、中国十大创新软件企业、资源节约型环境友好型企业，承建国家橡胶与轮胎工程技术研究中心、轮胎先进装备与关键材料工程研究中心、山东省橡胶与轮胎技术创新中心，拥有数字化橡胶轮胎装备国际联合研究中心、国家认定企业技术中心、博士后科研工作站，入选国家智能制造系统解决方案供应商、国家工信部绿色工厂，“半钢子午线轮胎成型机”荣获国家制造业单项冠军产品，拥有专利1900余项，获得国家科技进步奖1项、省部级科技奖励36项，起草国际标准5项、国家及行业标准87项，团体标准14项，承担国家各部委科技项目71项。 </w:t>
      </w:r>
      <w:r>
        <w:rPr>
          <w:rFonts w:hint="eastAsia"/>
          <w:sz w:val="18"/>
          <w:szCs w:val="18"/>
        </w:rPr>
        <w:br/>
        <w:t>2、市场品牌优势</w:t>
      </w:r>
      <w:r>
        <w:rPr>
          <w:rFonts w:hint="eastAsia"/>
          <w:sz w:val="18"/>
          <w:szCs w:val="18"/>
        </w:rPr>
        <w:br/>
        <w:t>  公司近年来持续稳步地推进中高端和国际化的战略，目前公司的营销网络已遍布欧、美、亚、非等多个国家和地区，海外本土化的技术和服务团队建设卓有成效，可辐射全球60多个国家和地区的500多家客户，并与众多高端轮胎企业建立了战略合作伙伴关系，客户对公司的认可和信任日益加深。公司在单机智能化、车间智能化和轮胎工厂智能化以及整体智能制造等方面的能力和水平不断提升。公司积极推进数字化、智能化设备的设计、制造与生产，突破高端市场，并根据国家“一带一路”战略，积极开拓海外市场，建立良好的合作伙伴关系。公司的品牌已为国内外中高端客户所熟悉，且售后服务品质已经为广大客户高度认可。</w:t>
      </w:r>
      <w:r>
        <w:rPr>
          <w:rFonts w:hint="eastAsia"/>
          <w:sz w:val="18"/>
          <w:szCs w:val="18"/>
        </w:rPr>
        <w:br/>
      </w:r>
      <w:r>
        <w:rPr>
          <w:rFonts w:hint="eastAsia"/>
          <w:sz w:val="18"/>
          <w:szCs w:val="18"/>
        </w:rPr>
        <w:lastRenderedPageBreak/>
        <w:t>3、核心加工制造能力</w:t>
      </w:r>
      <w:r>
        <w:rPr>
          <w:rFonts w:hint="eastAsia"/>
          <w:sz w:val="18"/>
          <w:szCs w:val="18"/>
        </w:rPr>
        <w:br/>
        <w:t>  公司先后建立了国际先进水平的信息化装备制造基地，物料输送与配料中心，并配备先进的数字化加工设备及精密测量器具，拥有经中国合格评定国家认可委员会认定的计量理化检测中心，有力保障产品的研发和加工制造的精度与质量。充分运用先进的信息化管理手段，推进执行国际化标准，严格控制研发、设计、加工、装配等各个环节。同时与供应商深入合作，将公司先进的经营模式、管理模式与供应商的特点结合起来，实现各方的共同发展。</w:t>
      </w:r>
      <w:r>
        <w:rPr>
          <w:rFonts w:hint="eastAsia"/>
          <w:sz w:val="18"/>
          <w:szCs w:val="18"/>
        </w:rPr>
        <w:br/>
        <w:t>4、智能制造的优势</w:t>
      </w:r>
      <w:r>
        <w:rPr>
          <w:rFonts w:hint="eastAsia"/>
          <w:sz w:val="18"/>
          <w:szCs w:val="18"/>
        </w:rPr>
        <w:br/>
        <w:t>  公司是全球领先轮胎生产整体解决方案提供商，产品覆盖轮胎生产全工序。依托成熟的全球研发体系、先进的智能化手段，大量的项目实践，以标准引领智能制造，提供从智能装备到智能工厂的个性化、多维度解决方案，助力用户实现品质制造、简化管理、降本增效、绿色环保。公司以模块化为基础，围绕重点项目、关键课题推进研发平台建设，强抓制程质量与供应质量，建立精细化管控样板，提升产品品质。</w:t>
      </w:r>
      <w:r>
        <w:rPr>
          <w:rFonts w:hint="eastAsia"/>
          <w:sz w:val="18"/>
          <w:szCs w:val="18"/>
        </w:rPr>
        <w:br/>
        <w:t>5、良好的企业文化和管理优势</w:t>
      </w:r>
      <w:r>
        <w:rPr>
          <w:rFonts w:hint="eastAsia"/>
          <w:sz w:val="18"/>
          <w:szCs w:val="18"/>
        </w:rPr>
        <w:br/>
        <w:t>  公司拥有完整的梯队化管理团队，高级管理人员拥有丰富的项目与行业经验，中级管理人员具有充足的活力与动力，具备良好的创新精神与奋斗精神。20余年来骨干成员较为稳定，对公司的发展和战略规划的延续起到了至关重要的作用。公司上市后，良好的企业文化、价值观与战略布局，吸引了一批行业内的知名与专业人士作为事业合伙人加入，共谋发展。公司的各项制度与员工关怀举措，都为优化员工结构、提升员工效能、保证公司的团队优势做出了必要的贡献。</w:t>
      </w:r>
    </w:p>
    <w:p w:rsidR="007F3A90" w:rsidRDefault="00CC38FA">
      <w:pPr>
        <w:pStyle w:val="2"/>
        <w:spacing w:before="300" w:after="300" w:line="320" w:lineRule="exact"/>
        <w:rPr>
          <w:rFonts w:ascii="宋体" w:eastAsia="宋体" w:hAnsi="宋体" w:cs="宋体"/>
          <w:b/>
          <w:bCs/>
          <w:sz w:val="24"/>
          <w:szCs w:val="24"/>
        </w:rPr>
      </w:pPr>
      <w:bookmarkStart w:id="16" w:name="_Toc988905"/>
      <w:r>
        <w:rPr>
          <w:rFonts w:ascii="宋体" w:eastAsia="宋体" w:hAnsi="宋体" w:cs="宋体"/>
          <w:b/>
          <w:bCs/>
          <w:sz w:val="24"/>
          <w:szCs w:val="24"/>
        </w:rPr>
        <w:t>三、主营业务分析</w:t>
      </w:r>
      <w:bookmarkEnd w:id="16"/>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概述</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参见“一、报告期内公司从事的主要业务”相关内容。</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主要财务数据同比变动情况</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271"/>
        <w:gridCol w:w="2585"/>
      </w:tblGrid>
      <w:tr w:rsidR="007F3A90" w:rsidTr="0038435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上年同期</w:t>
            </w:r>
          </w:p>
        </w:tc>
        <w:tc>
          <w:tcPr>
            <w:tcW w:w="12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c>
          <w:tcPr>
            <w:tcW w:w="258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变动原因</w:t>
            </w:r>
          </w:p>
        </w:tc>
      </w:tr>
      <w:tr w:rsidR="007F3A90" w:rsidTr="0038435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3,225,052,250.95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2,440,711,765.46</w:t>
            </w:r>
          </w:p>
        </w:tc>
        <w:tc>
          <w:tcPr>
            <w:tcW w:w="12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32.14%</w:t>
            </w:r>
          </w:p>
        </w:tc>
        <w:tc>
          <w:tcPr>
            <w:tcW w:w="25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主要是相较于上年同期，本期业务规模增长。</w:t>
            </w:r>
          </w:p>
        </w:tc>
      </w:tr>
      <w:tr w:rsidR="007F3A90" w:rsidTr="0038435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营业成本</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2,485,954,258.11</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1,850,236,471.78</w:t>
            </w:r>
          </w:p>
        </w:tc>
        <w:tc>
          <w:tcPr>
            <w:tcW w:w="12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34.36%</w:t>
            </w:r>
          </w:p>
        </w:tc>
        <w:tc>
          <w:tcPr>
            <w:tcW w:w="25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主要是相较于上年同期，本期业务规模增长。</w:t>
            </w:r>
          </w:p>
        </w:tc>
      </w:tr>
      <w:tr w:rsidR="007F3A90" w:rsidTr="0038435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销售费用</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81,209,341.68</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60,129,917.93</w:t>
            </w:r>
          </w:p>
        </w:tc>
        <w:tc>
          <w:tcPr>
            <w:tcW w:w="12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35.06%</w:t>
            </w:r>
          </w:p>
        </w:tc>
        <w:tc>
          <w:tcPr>
            <w:tcW w:w="25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主要是由于本报告期内销售人员市场活动较同期增加所致。</w:t>
            </w:r>
          </w:p>
        </w:tc>
      </w:tr>
      <w:tr w:rsidR="007F3A90" w:rsidTr="0038435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管理费用</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240,967,475.75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206,042,533.03</w:t>
            </w:r>
          </w:p>
        </w:tc>
        <w:tc>
          <w:tcPr>
            <w:tcW w:w="12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16.95%</w:t>
            </w:r>
          </w:p>
        </w:tc>
        <w:tc>
          <w:tcPr>
            <w:tcW w:w="258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rsidTr="0038435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财务费用</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20,774,756.67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41,976,754.03</w:t>
            </w:r>
          </w:p>
        </w:tc>
        <w:tc>
          <w:tcPr>
            <w:tcW w:w="12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-50.51%</w:t>
            </w:r>
          </w:p>
        </w:tc>
        <w:tc>
          <w:tcPr>
            <w:tcW w:w="25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主要是由于汇兑损益变动所致。</w:t>
            </w:r>
          </w:p>
        </w:tc>
      </w:tr>
      <w:tr w:rsidR="007F3A90" w:rsidTr="0038435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所得税费用</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13,405,195.66</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10,748,488.09</w:t>
            </w:r>
          </w:p>
        </w:tc>
        <w:tc>
          <w:tcPr>
            <w:tcW w:w="12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24.72%</w:t>
            </w:r>
          </w:p>
        </w:tc>
        <w:tc>
          <w:tcPr>
            <w:tcW w:w="258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rsidTr="0038435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研发投入</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180,404,430.95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146,551,535.39</w:t>
            </w:r>
          </w:p>
        </w:tc>
        <w:tc>
          <w:tcPr>
            <w:tcW w:w="12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23.10%</w:t>
            </w:r>
          </w:p>
        </w:tc>
        <w:tc>
          <w:tcPr>
            <w:tcW w:w="258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rsidTr="0038435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257,413,216.57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213,356,592.20</w:t>
            </w:r>
          </w:p>
        </w:tc>
        <w:tc>
          <w:tcPr>
            <w:tcW w:w="12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20.65%</w:t>
            </w:r>
          </w:p>
        </w:tc>
        <w:tc>
          <w:tcPr>
            <w:tcW w:w="258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rsidTr="0038435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-842,369,778.97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-918,411,714.95</w:t>
            </w:r>
          </w:p>
        </w:tc>
        <w:tc>
          <w:tcPr>
            <w:tcW w:w="12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8.28%</w:t>
            </w:r>
          </w:p>
        </w:tc>
        <w:tc>
          <w:tcPr>
            <w:tcW w:w="258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rsidTr="0038435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9,538,244.90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92,066,249.67</w:t>
            </w:r>
          </w:p>
        </w:tc>
        <w:tc>
          <w:tcPr>
            <w:tcW w:w="12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-89.64%</w:t>
            </w:r>
          </w:p>
        </w:tc>
        <w:tc>
          <w:tcPr>
            <w:tcW w:w="25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主要是由于本期偿还借款增多导致。</w:t>
            </w:r>
          </w:p>
        </w:tc>
      </w:tr>
      <w:tr w:rsidR="007F3A90" w:rsidTr="0038435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现金及现金等价物净增加额</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-577,037,493.91</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-616,065,601.77</w:t>
            </w:r>
          </w:p>
        </w:tc>
        <w:tc>
          <w:tcPr>
            <w:tcW w:w="12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6.34%</w:t>
            </w:r>
          </w:p>
        </w:tc>
        <w:tc>
          <w:tcPr>
            <w:tcW w:w="258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公司报告期利润构成或利润来源发生重大变动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公司报告期利润构成或利润来源没有发生重大变动。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营业收入构成</w:t>
      </w:r>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lastRenderedPageBreak/>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84"/>
        <w:gridCol w:w="1985"/>
        <w:gridCol w:w="1701"/>
        <w:gridCol w:w="1984"/>
        <w:gridCol w:w="1559"/>
        <w:gridCol w:w="1026"/>
      </w:tblGrid>
      <w:tr w:rsidR="007F3A90" w:rsidTr="0038435D">
        <w:trPr>
          <w:trHeight w:val="240"/>
        </w:trPr>
        <w:tc>
          <w:tcPr>
            <w:tcW w:w="138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368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w:t>
            </w:r>
          </w:p>
        </w:tc>
        <w:tc>
          <w:tcPr>
            <w:tcW w:w="354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上年同期</w:t>
            </w:r>
          </w:p>
        </w:tc>
        <w:tc>
          <w:tcPr>
            <w:tcW w:w="102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r>
      <w:tr w:rsidR="007F3A90" w:rsidTr="0038435D">
        <w:trPr>
          <w:trHeight w:val="240"/>
        </w:trPr>
        <w:tc>
          <w:tcPr>
            <w:tcW w:w="138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占营业收入比重</w:t>
            </w:r>
          </w:p>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占营业收入比重</w:t>
            </w:r>
          </w:p>
        </w:tc>
        <w:tc>
          <w:tcPr>
            <w:tcW w:w="102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rsidTr="0038435D">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营业收入合计</w:t>
            </w:r>
          </w:p>
        </w:tc>
        <w:tc>
          <w:tcPr>
            <w:tcW w:w="19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3,225,052,250.95</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right"/>
              <w:rPr>
                <w:rFonts w:ascii="宋体" w:eastAsia="宋体" w:hAnsi="宋体" w:cs="宋体"/>
                <w:sz w:val="18"/>
                <w:szCs w:val="18"/>
                <w:shd w:val="clear" w:color="auto" w:fill="D3D3D3"/>
              </w:rPr>
            </w:pPr>
            <w:r>
              <w:rPr>
                <w:rFonts w:ascii="宋体" w:eastAsia="宋体" w:hAnsi="宋体" w:cs="宋体"/>
                <w:sz w:val="18"/>
                <w:szCs w:val="18"/>
                <w:shd w:val="clear" w:color="auto" w:fill="D3D3D3"/>
              </w:rPr>
              <w:t>100%</w:t>
            </w:r>
          </w:p>
        </w:tc>
        <w:tc>
          <w:tcPr>
            <w:tcW w:w="19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2,440,711,765.46</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right"/>
              <w:rPr>
                <w:rFonts w:ascii="宋体" w:eastAsia="宋体" w:hAnsi="宋体" w:cs="宋体"/>
                <w:sz w:val="18"/>
                <w:szCs w:val="18"/>
                <w:shd w:val="clear" w:color="auto" w:fill="D3D3D3"/>
              </w:rPr>
            </w:pPr>
            <w:r>
              <w:rPr>
                <w:rFonts w:ascii="宋体" w:eastAsia="宋体" w:hAnsi="宋体" w:cs="宋体"/>
                <w:sz w:val="18"/>
                <w:szCs w:val="18"/>
                <w:shd w:val="clear" w:color="auto" w:fill="D3D3D3"/>
              </w:rPr>
              <w:t>100%</w:t>
            </w:r>
          </w:p>
        </w:tc>
        <w:tc>
          <w:tcPr>
            <w:tcW w:w="10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32.14%</w:t>
            </w:r>
          </w:p>
        </w:tc>
      </w:tr>
      <w:tr w:rsidR="007F3A90">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分行业</w:t>
            </w:r>
          </w:p>
        </w:tc>
      </w:tr>
      <w:tr w:rsidR="007F3A90" w:rsidTr="0038435D">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软件业</w:t>
            </w:r>
          </w:p>
        </w:tc>
        <w:tc>
          <w:tcPr>
            <w:tcW w:w="19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105,214,189.79</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3.26%</w:t>
            </w:r>
          </w:p>
        </w:tc>
        <w:tc>
          <w:tcPr>
            <w:tcW w:w="19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104,312,629.57</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4.27%</w:t>
            </w:r>
          </w:p>
        </w:tc>
        <w:tc>
          <w:tcPr>
            <w:tcW w:w="10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0.86%</w:t>
            </w:r>
          </w:p>
        </w:tc>
      </w:tr>
      <w:tr w:rsidR="007F3A90" w:rsidTr="0038435D">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制造及安装业</w:t>
            </w:r>
          </w:p>
        </w:tc>
        <w:tc>
          <w:tcPr>
            <w:tcW w:w="19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3,119,838,061.16</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96.74%</w:t>
            </w:r>
          </w:p>
        </w:tc>
        <w:tc>
          <w:tcPr>
            <w:tcW w:w="19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2,336,399,135.89</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95.73%</w:t>
            </w:r>
          </w:p>
        </w:tc>
        <w:tc>
          <w:tcPr>
            <w:tcW w:w="10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33.53%</w:t>
            </w:r>
          </w:p>
        </w:tc>
      </w:tr>
      <w:tr w:rsidR="007F3A90">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分产品</w:t>
            </w:r>
          </w:p>
        </w:tc>
      </w:tr>
      <w:tr w:rsidR="007F3A90" w:rsidTr="0038435D">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橡胶装备系统</w:t>
            </w:r>
          </w:p>
        </w:tc>
        <w:tc>
          <w:tcPr>
            <w:tcW w:w="19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2,186,672,205.07</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67.80%</w:t>
            </w:r>
          </w:p>
        </w:tc>
        <w:tc>
          <w:tcPr>
            <w:tcW w:w="19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1,648,760,285.60</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67.55%</w:t>
            </w:r>
          </w:p>
        </w:tc>
        <w:tc>
          <w:tcPr>
            <w:tcW w:w="10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32.63%</w:t>
            </w:r>
          </w:p>
        </w:tc>
      </w:tr>
      <w:tr w:rsidR="007F3A90" w:rsidTr="0038435D">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橡胶新材料</w:t>
            </w:r>
          </w:p>
        </w:tc>
        <w:tc>
          <w:tcPr>
            <w:tcW w:w="19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1,026,164,310.89</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31.82%</w:t>
            </w:r>
          </w:p>
        </w:tc>
        <w:tc>
          <w:tcPr>
            <w:tcW w:w="19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781,430,356.76</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32.02%</w:t>
            </w:r>
          </w:p>
        </w:tc>
        <w:tc>
          <w:tcPr>
            <w:tcW w:w="10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31.32%</w:t>
            </w:r>
          </w:p>
        </w:tc>
      </w:tr>
      <w:tr w:rsidR="007F3A90" w:rsidTr="0038435D">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w:t>
            </w:r>
          </w:p>
        </w:tc>
        <w:tc>
          <w:tcPr>
            <w:tcW w:w="19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12,215,734.99</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0.38%</w:t>
            </w:r>
          </w:p>
        </w:tc>
        <w:tc>
          <w:tcPr>
            <w:tcW w:w="19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10,521,123.10</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0.43%</w:t>
            </w:r>
          </w:p>
        </w:tc>
        <w:tc>
          <w:tcPr>
            <w:tcW w:w="10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16.11%</w:t>
            </w:r>
          </w:p>
        </w:tc>
      </w:tr>
      <w:tr w:rsidR="007F3A90">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分地区</w:t>
            </w:r>
          </w:p>
        </w:tc>
      </w:tr>
      <w:tr w:rsidR="007F3A90" w:rsidTr="0038435D">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国内</w:t>
            </w:r>
          </w:p>
        </w:tc>
        <w:tc>
          <w:tcPr>
            <w:tcW w:w="19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2,549,016,926.87</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79.04%</w:t>
            </w:r>
          </w:p>
        </w:tc>
        <w:tc>
          <w:tcPr>
            <w:tcW w:w="19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1,711,801,194.91</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70.14%</w:t>
            </w:r>
          </w:p>
        </w:tc>
        <w:tc>
          <w:tcPr>
            <w:tcW w:w="10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48.91%</w:t>
            </w:r>
          </w:p>
        </w:tc>
      </w:tr>
      <w:tr w:rsidR="007F3A90" w:rsidTr="0038435D">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国外</w:t>
            </w:r>
          </w:p>
        </w:tc>
        <w:tc>
          <w:tcPr>
            <w:tcW w:w="19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676,035,324.08</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20.96%</w:t>
            </w:r>
          </w:p>
        </w:tc>
        <w:tc>
          <w:tcPr>
            <w:tcW w:w="19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728,910,570.55</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29.86%</w:t>
            </w:r>
          </w:p>
        </w:tc>
        <w:tc>
          <w:tcPr>
            <w:tcW w:w="10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-7.25%</w:t>
            </w:r>
          </w:p>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占公司营业收入或营业利润10%以上的行业、产品或地区情况</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708"/>
        <w:gridCol w:w="1701"/>
        <w:gridCol w:w="851"/>
        <w:gridCol w:w="1417"/>
        <w:gridCol w:w="1418"/>
        <w:gridCol w:w="1167"/>
      </w:tblGrid>
      <w:tr w:rsidR="007F3A90" w:rsidTr="00924AF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70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毛利率</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营业收入比上年同期增减</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营业成本比上年同期增减</w:t>
            </w:r>
          </w:p>
        </w:tc>
        <w:tc>
          <w:tcPr>
            <w:tcW w:w="116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毛利率比上年同期增减</w:t>
            </w:r>
          </w:p>
        </w:tc>
      </w:tr>
      <w:tr w:rsidR="007F3A90">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分行业</w:t>
            </w:r>
          </w:p>
        </w:tc>
      </w:tr>
      <w:tr w:rsidR="007F3A90" w:rsidTr="00924AF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软件业</w:t>
            </w:r>
          </w:p>
        </w:tc>
        <w:tc>
          <w:tcPr>
            <w:tcW w:w="170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105,214,189.79</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2,550,179.95</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97.58%</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0.86%</w:t>
            </w: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-19.40%</w:t>
            </w:r>
          </w:p>
        </w:tc>
        <w:tc>
          <w:tcPr>
            <w:tcW w:w="116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0.61%</w:t>
            </w:r>
          </w:p>
        </w:tc>
      </w:tr>
      <w:tr w:rsidR="007F3A90" w:rsidTr="00924AF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制造及安装业</w:t>
            </w:r>
          </w:p>
        </w:tc>
        <w:tc>
          <w:tcPr>
            <w:tcW w:w="170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3,119,838,061.16</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2,483,404,078.16</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20.40%</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33.53%</w:t>
            </w: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34.45%</w:t>
            </w:r>
          </w:p>
        </w:tc>
        <w:tc>
          <w:tcPr>
            <w:tcW w:w="116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-0.54%</w:t>
            </w:r>
          </w:p>
        </w:tc>
      </w:tr>
      <w:tr w:rsidR="007F3A90">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分产品</w:t>
            </w:r>
          </w:p>
        </w:tc>
      </w:tr>
      <w:tr w:rsidR="007F3A90" w:rsidTr="00924AF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橡胶装备系统</w:t>
            </w:r>
          </w:p>
        </w:tc>
        <w:tc>
          <w:tcPr>
            <w:tcW w:w="170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2,186,672,205.07</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1,612,056,364.00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26.28%</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32.63%</w:t>
            </w: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39.27%</w:t>
            </w:r>
          </w:p>
        </w:tc>
        <w:tc>
          <w:tcPr>
            <w:tcW w:w="116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-3.52%</w:t>
            </w:r>
          </w:p>
        </w:tc>
      </w:tr>
      <w:tr w:rsidR="007F3A90" w:rsidTr="00924AF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橡胶新材料</w:t>
            </w:r>
          </w:p>
        </w:tc>
        <w:tc>
          <w:tcPr>
            <w:tcW w:w="170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1,026,164,310.89</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867,449,727.23</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15.47%</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31.32%</w:t>
            </w: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26.13%</w:t>
            </w:r>
          </w:p>
        </w:tc>
        <w:tc>
          <w:tcPr>
            <w:tcW w:w="116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3.48%</w:t>
            </w:r>
          </w:p>
        </w:tc>
      </w:tr>
      <w:tr w:rsidR="007F3A90" w:rsidTr="00924AF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w:t>
            </w:r>
          </w:p>
        </w:tc>
        <w:tc>
          <w:tcPr>
            <w:tcW w:w="170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12,215,734.99</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6,448,166.88</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47.21%</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16.11%</w:t>
            </w: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30.57%</w:t>
            </w:r>
          </w:p>
        </w:tc>
        <w:tc>
          <w:tcPr>
            <w:tcW w:w="116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-5.85%</w:t>
            </w:r>
          </w:p>
        </w:tc>
      </w:tr>
      <w:tr w:rsidR="007F3A90">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分地区</w:t>
            </w:r>
          </w:p>
        </w:tc>
      </w:tr>
      <w:tr w:rsidR="007F3A90" w:rsidTr="00924AF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国内</w:t>
            </w:r>
          </w:p>
        </w:tc>
        <w:tc>
          <w:tcPr>
            <w:tcW w:w="170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2,549,016,926.87</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2,018,772,479.09</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20.80%</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48.91%</w:t>
            </w: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46.96%</w:t>
            </w:r>
          </w:p>
        </w:tc>
        <w:tc>
          <w:tcPr>
            <w:tcW w:w="116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1.05%</w:t>
            </w:r>
          </w:p>
        </w:tc>
      </w:tr>
      <w:tr w:rsidR="007F3A90" w:rsidTr="00924AF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国外</w:t>
            </w:r>
          </w:p>
        </w:tc>
        <w:tc>
          <w:tcPr>
            <w:tcW w:w="170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676,035,324.08</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467,181,779.02</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30.89%</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-7.25%</w:t>
            </w: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-1.97%</w:t>
            </w:r>
          </w:p>
        </w:tc>
        <w:tc>
          <w:tcPr>
            <w:tcW w:w="116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-3.72%</w:t>
            </w:r>
          </w:p>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公司主营业务数据统计口径在报告期发生调整的情况下，公司最近1期按报告期末口径调整后的主营业务数据</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pStyle w:val="2"/>
        <w:spacing w:before="300" w:after="300" w:line="320" w:lineRule="exact"/>
        <w:rPr>
          <w:rFonts w:ascii="宋体" w:eastAsia="宋体" w:hAnsi="宋体" w:cs="宋体"/>
          <w:b/>
          <w:bCs/>
          <w:sz w:val="24"/>
          <w:szCs w:val="24"/>
        </w:rPr>
      </w:pPr>
      <w:bookmarkStart w:id="17" w:name="_Toc988906"/>
      <w:r>
        <w:rPr>
          <w:rFonts w:ascii="宋体" w:eastAsia="宋体" w:hAnsi="宋体" w:cs="宋体"/>
          <w:b/>
          <w:bCs/>
          <w:sz w:val="24"/>
          <w:szCs w:val="24"/>
        </w:rPr>
        <w:t>四、非主营业务分析</w:t>
      </w:r>
      <w:bookmarkEnd w:id="17"/>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68"/>
        <w:gridCol w:w="1701"/>
        <w:gridCol w:w="1559"/>
        <w:gridCol w:w="2835"/>
        <w:gridCol w:w="1876"/>
      </w:tblGrid>
      <w:tr w:rsidR="007F3A90" w:rsidTr="00924AFE">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占利润总额比例</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形成原因说明</w:t>
            </w:r>
          </w:p>
        </w:tc>
        <w:tc>
          <w:tcPr>
            <w:tcW w:w="1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是否具有可持续性</w:t>
            </w:r>
          </w:p>
        </w:tc>
      </w:tr>
      <w:tr w:rsidR="007F3A90" w:rsidTr="00924AFE">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投资收益</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11,134,065.32</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4.65%</w:t>
            </w:r>
          </w:p>
        </w:tc>
        <w:tc>
          <w:tcPr>
            <w:tcW w:w="28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主要系理财收益、权益法核算联营企业盈利</w:t>
            </w:r>
          </w:p>
        </w:tc>
        <w:tc>
          <w:tcPr>
            <w:tcW w:w="1876" w:type="dxa"/>
            <w:tcBorders>
              <w:top w:val="single" w:sz="2" w:space="0" w:color="auto"/>
              <w:left w:val="single" w:sz="2" w:space="0" w:color="auto"/>
              <w:bottom w:val="single" w:sz="2" w:space="0" w:color="auto"/>
              <w:right w:val="single" w:sz="2" w:space="0" w:color="auto"/>
            </w:tcBorders>
            <w:vAlign w:val="center"/>
          </w:tcPr>
          <w:p w:rsidR="007F3A90" w:rsidRDefault="00CC38FA" w:rsidP="00924AFE">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7F3A90" w:rsidTr="00924AFE">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资产减值</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-34,181,672.68</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-14.26%</w:t>
            </w:r>
          </w:p>
        </w:tc>
        <w:tc>
          <w:tcPr>
            <w:tcW w:w="28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主要系原材料和在产品计提减值</w:t>
            </w:r>
          </w:p>
        </w:tc>
        <w:tc>
          <w:tcPr>
            <w:tcW w:w="1876" w:type="dxa"/>
            <w:tcBorders>
              <w:top w:val="single" w:sz="2" w:space="0" w:color="auto"/>
              <w:left w:val="single" w:sz="2" w:space="0" w:color="auto"/>
              <w:bottom w:val="single" w:sz="2" w:space="0" w:color="auto"/>
              <w:right w:val="single" w:sz="2" w:space="0" w:color="auto"/>
            </w:tcBorders>
            <w:vAlign w:val="center"/>
          </w:tcPr>
          <w:p w:rsidR="007F3A90" w:rsidRDefault="00CC38FA" w:rsidP="00924AFE">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7F3A90" w:rsidTr="00924AFE">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营业外收入</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8,141,811.19</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3.40%</w:t>
            </w:r>
          </w:p>
        </w:tc>
        <w:tc>
          <w:tcPr>
            <w:tcW w:w="28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主要系罚款收入</w:t>
            </w:r>
          </w:p>
        </w:tc>
        <w:tc>
          <w:tcPr>
            <w:tcW w:w="1876" w:type="dxa"/>
            <w:tcBorders>
              <w:top w:val="single" w:sz="2" w:space="0" w:color="auto"/>
              <w:left w:val="single" w:sz="2" w:space="0" w:color="auto"/>
              <w:bottom w:val="single" w:sz="2" w:space="0" w:color="auto"/>
              <w:right w:val="single" w:sz="2" w:space="0" w:color="auto"/>
            </w:tcBorders>
            <w:vAlign w:val="center"/>
          </w:tcPr>
          <w:p w:rsidR="007F3A90" w:rsidRDefault="00CC38FA" w:rsidP="00924AFE">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7F3A90" w:rsidTr="00924AFE">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营业外支出</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7,336,166.03</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3.06%</w:t>
            </w:r>
          </w:p>
        </w:tc>
        <w:tc>
          <w:tcPr>
            <w:tcW w:w="28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主要系罚款支出、资产报废处置</w:t>
            </w:r>
          </w:p>
        </w:tc>
        <w:tc>
          <w:tcPr>
            <w:tcW w:w="1876" w:type="dxa"/>
            <w:tcBorders>
              <w:top w:val="single" w:sz="2" w:space="0" w:color="auto"/>
              <w:left w:val="single" w:sz="2" w:space="0" w:color="auto"/>
              <w:bottom w:val="single" w:sz="2" w:space="0" w:color="auto"/>
              <w:right w:val="single" w:sz="2" w:space="0" w:color="auto"/>
            </w:tcBorders>
            <w:vAlign w:val="center"/>
          </w:tcPr>
          <w:p w:rsidR="007F3A90" w:rsidRDefault="00CC38FA" w:rsidP="00924AFE">
            <w:pPr>
              <w:spacing w:line="240" w:lineRule="exact"/>
              <w:jc w:val="center"/>
              <w:rPr>
                <w:rFonts w:ascii="宋体" w:eastAsia="宋体" w:hAnsi="宋体" w:cs="宋体"/>
                <w:sz w:val="18"/>
                <w:szCs w:val="18"/>
              </w:rPr>
            </w:pPr>
            <w:r>
              <w:rPr>
                <w:rFonts w:ascii="宋体" w:eastAsia="宋体" w:hAnsi="宋体" w:cs="宋体"/>
                <w:sz w:val="18"/>
                <w:szCs w:val="18"/>
              </w:rPr>
              <w:t>否</w:t>
            </w:r>
          </w:p>
        </w:tc>
      </w:tr>
      <w:tr w:rsidR="007F3A90" w:rsidTr="00924AFE">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其他收益</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40,334,645.09</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16.83%</w:t>
            </w:r>
          </w:p>
        </w:tc>
        <w:tc>
          <w:tcPr>
            <w:tcW w:w="28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主要系与企业日常活动相关的政府补助</w:t>
            </w:r>
          </w:p>
        </w:tc>
        <w:tc>
          <w:tcPr>
            <w:tcW w:w="1876" w:type="dxa"/>
            <w:tcBorders>
              <w:top w:val="single" w:sz="2" w:space="0" w:color="auto"/>
              <w:left w:val="single" w:sz="2" w:space="0" w:color="auto"/>
              <w:bottom w:val="single" w:sz="2" w:space="0" w:color="auto"/>
              <w:right w:val="single" w:sz="2" w:space="0" w:color="auto"/>
            </w:tcBorders>
            <w:vAlign w:val="center"/>
          </w:tcPr>
          <w:p w:rsidR="007F3A90" w:rsidRDefault="00CC38FA" w:rsidP="00924AFE">
            <w:pPr>
              <w:spacing w:line="240" w:lineRule="exact"/>
              <w:jc w:val="center"/>
              <w:rPr>
                <w:rFonts w:ascii="宋体" w:eastAsia="宋体" w:hAnsi="宋体" w:cs="宋体"/>
                <w:sz w:val="18"/>
                <w:szCs w:val="18"/>
              </w:rPr>
            </w:pPr>
            <w:r>
              <w:rPr>
                <w:rFonts w:ascii="宋体" w:eastAsia="宋体" w:hAnsi="宋体" w:cs="宋体"/>
                <w:sz w:val="18"/>
                <w:szCs w:val="18"/>
              </w:rPr>
              <w:t>是</w:t>
            </w:r>
          </w:p>
        </w:tc>
      </w:tr>
      <w:tr w:rsidR="007F3A90" w:rsidTr="00924AFE">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信用减值损失</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22,885,913.60</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9.55%</w:t>
            </w:r>
          </w:p>
        </w:tc>
        <w:tc>
          <w:tcPr>
            <w:tcW w:w="28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本期计提的各类坏账准备</w:t>
            </w:r>
          </w:p>
        </w:tc>
        <w:tc>
          <w:tcPr>
            <w:tcW w:w="1876" w:type="dxa"/>
            <w:tcBorders>
              <w:top w:val="single" w:sz="2" w:space="0" w:color="auto"/>
              <w:left w:val="single" w:sz="2" w:space="0" w:color="auto"/>
              <w:bottom w:val="single" w:sz="2" w:space="0" w:color="auto"/>
              <w:right w:val="single" w:sz="2" w:space="0" w:color="auto"/>
            </w:tcBorders>
            <w:vAlign w:val="center"/>
          </w:tcPr>
          <w:p w:rsidR="007F3A90" w:rsidRDefault="00CC38FA" w:rsidP="00924AFE">
            <w:pPr>
              <w:spacing w:line="240" w:lineRule="exact"/>
              <w:jc w:val="center"/>
              <w:rPr>
                <w:rFonts w:ascii="宋体" w:eastAsia="宋体" w:hAnsi="宋体" w:cs="宋体"/>
                <w:sz w:val="18"/>
                <w:szCs w:val="18"/>
              </w:rPr>
            </w:pPr>
            <w:r>
              <w:rPr>
                <w:rFonts w:ascii="宋体" w:eastAsia="宋体" w:hAnsi="宋体" w:cs="宋体"/>
                <w:sz w:val="18"/>
                <w:szCs w:val="18"/>
              </w:rPr>
              <w:t>是</w:t>
            </w:r>
          </w:p>
        </w:tc>
      </w:tr>
    </w:tbl>
    <w:p w:rsidR="007F3A90" w:rsidRDefault="00CC38FA">
      <w:pPr>
        <w:pStyle w:val="2"/>
        <w:spacing w:before="300" w:after="300" w:line="320" w:lineRule="exact"/>
        <w:rPr>
          <w:rFonts w:ascii="宋体" w:eastAsia="宋体" w:hAnsi="宋体" w:cs="宋体"/>
          <w:b/>
          <w:bCs/>
          <w:sz w:val="24"/>
          <w:szCs w:val="24"/>
        </w:rPr>
      </w:pPr>
      <w:bookmarkStart w:id="18" w:name="_Toc988907"/>
      <w:r>
        <w:rPr>
          <w:rFonts w:ascii="宋体" w:eastAsia="宋体" w:hAnsi="宋体" w:cs="宋体"/>
          <w:b/>
          <w:bCs/>
          <w:sz w:val="24"/>
          <w:szCs w:val="24"/>
        </w:rPr>
        <w:lastRenderedPageBreak/>
        <w:t>五、资产及负债状况分析</w:t>
      </w:r>
      <w:bookmarkEnd w:id="18"/>
    </w:p>
    <w:p w:rsidR="007F3A90" w:rsidRDefault="00CC38FA">
      <w:pPr>
        <w:pStyle w:val="3"/>
        <w:spacing w:line="280" w:lineRule="exact"/>
        <w:jc w:val="left"/>
        <w:rPr>
          <w:rFonts w:ascii="宋体" w:hAnsi="宋体" w:cs="宋体"/>
          <w:b/>
          <w:bCs/>
        </w:rPr>
      </w:pPr>
      <w:bookmarkStart w:id="19" w:name="_Toc988908"/>
      <w:r>
        <w:rPr>
          <w:rFonts w:ascii="宋体" w:hAnsi="宋体" w:cs="宋体"/>
          <w:b/>
          <w:bCs/>
        </w:rPr>
        <w:t>1、资产构成重大变动情况</w:t>
      </w:r>
      <w:bookmarkEnd w:id="19"/>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526"/>
        <w:gridCol w:w="1701"/>
        <w:gridCol w:w="904"/>
        <w:gridCol w:w="1789"/>
        <w:gridCol w:w="851"/>
        <w:gridCol w:w="850"/>
        <w:gridCol w:w="2018"/>
      </w:tblGrid>
      <w:tr w:rsidR="007F3A90" w:rsidTr="00924AFE">
        <w:trPr>
          <w:trHeight w:val="240"/>
        </w:trPr>
        <w:tc>
          <w:tcPr>
            <w:tcW w:w="152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260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本报告期末</w:t>
            </w:r>
          </w:p>
        </w:tc>
        <w:tc>
          <w:tcPr>
            <w:tcW w:w="264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上年末</w:t>
            </w:r>
          </w:p>
        </w:tc>
        <w:tc>
          <w:tcPr>
            <w:tcW w:w="8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比重增减</w:t>
            </w:r>
          </w:p>
        </w:tc>
        <w:tc>
          <w:tcPr>
            <w:tcW w:w="20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重大变动说明</w:t>
            </w:r>
          </w:p>
        </w:tc>
      </w:tr>
      <w:tr w:rsidR="007F3A90" w:rsidTr="00924AFE">
        <w:trPr>
          <w:trHeight w:val="240"/>
        </w:trPr>
        <w:tc>
          <w:tcPr>
            <w:tcW w:w="152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90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占总资产比例</w:t>
            </w:r>
          </w:p>
        </w:tc>
        <w:tc>
          <w:tcPr>
            <w:tcW w:w="178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占总资产比例</w:t>
            </w:r>
          </w:p>
        </w:tc>
        <w:tc>
          <w:tcPr>
            <w:tcW w:w="8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201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rsidTr="00924AFE">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2,781,989,016.21</w:t>
            </w:r>
          </w:p>
        </w:tc>
        <w:tc>
          <w:tcPr>
            <w:tcW w:w="9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16.45%</w:t>
            </w:r>
          </w:p>
        </w:tc>
        <w:tc>
          <w:tcPr>
            <w:tcW w:w="178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2,955,647,872.55</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18.52%</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-2.07%</w:t>
            </w:r>
          </w:p>
        </w:tc>
        <w:tc>
          <w:tcPr>
            <w:tcW w:w="20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主要是报告期内公司偿还部分到期银行贷款所致。</w:t>
            </w:r>
          </w:p>
        </w:tc>
      </w:tr>
      <w:tr w:rsidR="007F3A90" w:rsidTr="00924AFE">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应收账款</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1,022,691,912.82</w:t>
            </w:r>
          </w:p>
        </w:tc>
        <w:tc>
          <w:tcPr>
            <w:tcW w:w="9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6.05%</w:t>
            </w:r>
          </w:p>
        </w:tc>
        <w:tc>
          <w:tcPr>
            <w:tcW w:w="178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1,165,564,469.53</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7.30%</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-1.25%</w:t>
            </w:r>
          </w:p>
        </w:tc>
        <w:tc>
          <w:tcPr>
            <w:tcW w:w="201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rsidTr="00924AFE">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存货</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5,991,782,652.80</w:t>
            </w:r>
          </w:p>
        </w:tc>
        <w:tc>
          <w:tcPr>
            <w:tcW w:w="9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35.43%</w:t>
            </w:r>
          </w:p>
        </w:tc>
        <w:tc>
          <w:tcPr>
            <w:tcW w:w="178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5,673,274,874.12</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35.54%</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-0.11%</w:t>
            </w:r>
          </w:p>
        </w:tc>
        <w:tc>
          <w:tcPr>
            <w:tcW w:w="201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rsidTr="00924AFE">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长期股权投资</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129,927,009.97</w:t>
            </w:r>
          </w:p>
        </w:tc>
        <w:tc>
          <w:tcPr>
            <w:tcW w:w="9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0.77%</w:t>
            </w:r>
          </w:p>
        </w:tc>
        <w:tc>
          <w:tcPr>
            <w:tcW w:w="178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128,164,823.58</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0.80%</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201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rsidTr="00924AFE">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2,189,862,681.41</w:t>
            </w:r>
          </w:p>
        </w:tc>
        <w:tc>
          <w:tcPr>
            <w:tcW w:w="9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12.95%</w:t>
            </w:r>
          </w:p>
        </w:tc>
        <w:tc>
          <w:tcPr>
            <w:tcW w:w="178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2,221,675,441.56</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13.92%</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-0.97%</w:t>
            </w:r>
          </w:p>
        </w:tc>
        <w:tc>
          <w:tcPr>
            <w:tcW w:w="20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主要是由于折旧计提导致。</w:t>
            </w:r>
          </w:p>
        </w:tc>
      </w:tr>
      <w:tr w:rsidR="007F3A90" w:rsidTr="00924AFE">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在建工程</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611,329,854.86</w:t>
            </w:r>
          </w:p>
        </w:tc>
        <w:tc>
          <w:tcPr>
            <w:tcW w:w="9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3.61%</w:t>
            </w:r>
          </w:p>
        </w:tc>
        <w:tc>
          <w:tcPr>
            <w:tcW w:w="178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580,504,540.03</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3.64%</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201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rsidTr="00924AFE">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使用权资产</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63,964,309.44</w:t>
            </w:r>
          </w:p>
        </w:tc>
        <w:tc>
          <w:tcPr>
            <w:tcW w:w="9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0.38%</w:t>
            </w:r>
          </w:p>
        </w:tc>
        <w:tc>
          <w:tcPr>
            <w:tcW w:w="178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46,236,259.58</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0.29%</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0.09%</w:t>
            </w:r>
          </w:p>
        </w:tc>
        <w:tc>
          <w:tcPr>
            <w:tcW w:w="20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主要是由于新增厂房租赁所致。</w:t>
            </w:r>
          </w:p>
        </w:tc>
      </w:tr>
      <w:tr w:rsidR="007F3A90" w:rsidTr="00924AFE">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短期借款</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592,118,303.64</w:t>
            </w:r>
          </w:p>
        </w:tc>
        <w:tc>
          <w:tcPr>
            <w:tcW w:w="9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3.50%</w:t>
            </w:r>
          </w:p>
        </w:tc>
        <w:tc>
          <w:tcPr>
            <w:tcW w:w="178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688,978,350.00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4.32%</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-0.82%</w:t>
            </w:r>
          </w:p>
        </w:tc>
        <w:tc>
          <w:tcPr>
            <w:tcW w:w="201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rsidTr="00924AFE">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合同负债</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4,711,091,039.57</w:t>
            </w:r>
          </w:p>
        </w:tc>
        <w:tc>
          <w:tcPr>
            <w:tcW w:w="9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27.86%</w:t>
            </w:r>
          </w:p>
        </w:tc>
        <w:tc>
          <w:tcPr>
            <w:tcW w:w="178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4,168,545,556.67</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26.12%</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1.74%</w:t>
            </w:r>
          </w:p>
        </w:tc>
        <w:tc>
          <w:tcPr>
            <w:tcW w:w="20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主要是由于业务规模增长，预收客户款项较多所致。</w:t>
            </w:r>
          </w:p>
        </w:tc>
      </w:tr>
      <w:tr w:rsidR="007F3A90" w:rsidTr="00924AFE">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长期借款</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837,091,888.63</w:t>
            </w:r>
          </w:p>
        </w:tc>
        <w:tc>
          <w:tcPr>
            <w:tcW w:w="9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4.95%</w:t>
            </w:r>
          </w:p>
        </w:tc>
        <w:tc>
          <w:tcPr>
            <w:tcW w:w="178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943,004,370.30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5.91%</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-0.96%</w:t>
            </w:r>
          </w:p>
        </w:tc>
        <w:tc>
          <w:tcPr>
            <w:tcW w:w="201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rsidTr="00924AFE">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租赁负债</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51,705,620.70</w:t>
            </w:r>
          </w:p>
        </w:tc>
        <w:tc>
          <w:tcPr>
            <w:tcW w:w="9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0.31%</w:t>
            </w:r>
          </w:p>
        </w:tc>
        <w:tc>
          <w:tcPr>
            <w:tcW w:w="178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29,234,874.64</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0.18%</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0.13%</w:t>
            </w:r>
          </w:p>
        </w:tc>
        <w:tc>
          <w:tcPr>
            <w:tcW w:w="201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rsidTr="00924AFE">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交易性金融资产</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1,396,034,804.90</w:t>
            </w:r>
          </w:p>
        </w:tc>
        <w:tc>
          <w:tcPr>
            <w:tcW w:w="9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8.26%</w:t>
            </w:r>
          </w:p>
        </w:tc>
        <w:tc>
          <w:tcPr>
            <w:tcW w:w="178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650,001,001.00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4.07%</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4.19%</w:t>
            </w:r>
          </w:p>
        </w:tc>
        <w:tc>
          <w:tcPr>
            <w:tcW w:w="20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主要是由于上半年购入较多理财所致。</w:t>
            </w:r>
          </w:p>
        </w:tc>
      </w:tr>
      <w:tr w:rsidR="007F3A90" w:rsidTr="00924AFE">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应收款项融资</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156,150,232.08</w:t>
            </w:r>
          </w:p>
        </w:tc>
        <w:tc>
          <w:tcPr>
            <w:tcW w:w="9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0.92%</w:t>
            </w:r>
          </w:p>
        </w:tc>
        <w:tc>
          <w:tcPr>
            <w:tcW w:w="178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176,770,743.91</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1.11%</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-0.19%</w:t>
            </w:r>
          </w:p>
        </w:tc>
        <w:tc>
          <w:tcPr>
            <w:tcW w:w="201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rsidTr="00924AFE">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应付票据</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1,195,844,675.14</w:t>
            </w:r>
          </w:p>
        </w:tc>
        <w:tc>
          <w:tcPr>
            <w:tcW w:w="9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7.07%</w:t>
            </w:r>
          </w:p>
        </w:tc>
        <w:tc>
          <w:tcPr>
            <w:tcW w:w="178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1,242,093,084.11</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7.78%</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-0.71%</w:t>
            </w:r>
          </w:p>
        </w:tc>
        <w:tc>
          <w:tcPr>
            <w:tcW w:w="201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rsidTr="00924AFE">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预付款项</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344,408,132.66</w:t>
            </w:r>
          </w:p>
        </w:tc>
        <w:tc>
          <w:tcPr>
            <w:tcW w:w="9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2.04%</w:t>
            </w:r>
          </w:p>
        </w:tc>
        <w:tc>
          <w:tcPr>
            <w:tcW w:w="178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176,284,198.51</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1.10%</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0.94%</w:t>
            </w:r>
          </w:p>
        </w:tc>
        <w:tc>
          <w:tcPr>
            <w:tcW w:w="20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主要是由于业务规模增长，预付材料款增多所致。</w:t>
            </w:r>
          </w:p>
        </w:tc>
      </w:tr>
      <w:tr w:rsidR="007F3A90" w:rsidTr="00924AFE">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其他应收款</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67,007,367.71</w:t>
            </w:r>
          </w:p>
        </w:tc>
        <w:tc>
          <w:tcPr>
            <w:tcW w:w="9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0.40%</w:t>
            </w:r>
          </w:p>
        </w:tc>
        <w:tc>
          <w:tcPr>
            <w:tcW w:w="178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45,788,981.72</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0.29%</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0.11%</w:t>
            </w:r>
          </w:p>
        </w:tc>
        <w:tc>
          <w:tcPr>
            <w:tcW w:w="20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主要是本期保证金增加所致。</w:t>
            </w:r>
          </w:p>
        </w:tc>
      </w:tr>
      <w:tr w:rsidR="007F3A90" w:rsidTr="00924AFE">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其他非流动资产</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71,136,258.96</w:t>
            </w:r>
          </w:p>
        </w:tc>
        <w:tc>
          <w:tcPr>
            <w:tcW w:w="9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0.42%</w:t>
            </w:r>
          </w:p>
        </w:tc>
        <w:tc>
          <w:tcPr>
            <w:tcW w:w="178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35,795,813.60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0.22%</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0.20%</w:t>
            </w:r>
          </w:p>
        </w:tc>
        <w:tc>
          <w:tcPr>
            <w:tcW w:w="20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主要是预付工程设备类款项重分类增加所致。</w:t>
            </w:r>
          </w:p>
        </w:tc>
      </w:tr>
      <w:tr w:rsidR="007F3A90" w:rsidTr="00924AFE">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其他流动负债</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513,890,708.23</w:t>
            </w:r>
          </w:p>
        </w:tc>
        <w:tc>
          <w:tcPr>
            <w:tcW w:w="9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3.04%</w:t>
            </w:r>
          </w:p>
        </w:tc>
        <w:tc>
          <w:tcPr>
            <w:tcW w:w="178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565,062,731.97</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3.54%</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-0.50%</w:t>
            </w:r>
          </w:p>
        </w:tc>
        <w:tc>
          <w:tcPr>
            <w:tcW w:w="201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bl>
    <w:p w:rsidR="007F3A90" w:rsidRDefault="00CC38FA">
      <w:pPr>
        <w:pStyle w:val="3"/>
        <w:spacing w:line="280" w:lineRule="exact"/>
        <w:jc w:val="left"/>
        <w:rPr>
          <w:rFonts w:ascii="宋体" w:hAnsi="宋体" w:cs="宋体"/>
          <w:b/>
          <w:bCs/>
        </w:rPr>
      </w:pPr>
      <w:bookmarkStart w:id="20" w:name="_Toc988909"/>
      <w:r>
        <w:rPr>
          <w:rFonts w:ascii="宋体" w:hAnsi="宋体" w:cs="宋体"/>
          <w:b/>
          <w:bCs/>
        </w:rPr>
        <w:t>2、主要境外资产情况</w:t>
      </w:r>
      <w:bookmarkEnd w:id="20"/>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pStyle w:val="3"/>
        <w:spacing w:line="280" w:lineRule="exact"/>
        <w:jc w:val="left"/>
        <w:rPr>
          <w:rFonts w:ascii="宋体" w:hAnsi="宋体" w:cs="宋体"/>
          <w:b/>
          <w:bCs/>
        </w:rPr>
      </w:pPr>
      <w:bookmarkStart w:id="21" w:name="_Toc988910"/>
      <w:r>
        <w:rPr>
          <w:rFonts w:ascii="宋体" w:hAnsi="宋体" w:cs="宋体"/>
          <w:b/>
          <w:bCs/>
        </w:rPr>
        <w:t>3、以公允价值计量的资产和负债</w:t>
      </w:r>
      <w:bookmarkEnd w:id="21"/>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7F3A9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本期公允价值变动损益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本期计提的减值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本期购买金额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本期出售金额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期末数</w:t>
            </w:r>
          </w:p>
        </w:tc>
      </w:tr>
      <w:tr w:rsidR="007F3A9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lastRenderedPageBreak/>
              <w:t>金融资产</w:t>
            </w:r>
          </w:p>
        </w:tc>
        <w:tc>
          <w:tcPr>
            <w:tcW w:w="8568"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1.交易性金融资产（不含衍生金融资产）</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650,001,001.00</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1,750,000,000.00</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1,003,966,196.10</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1,396,034,804.90</w:t>
            </w:r>
          </w:p>
        </w:tc>
      </w:tr>
      <w:tr w:rsidR="007F3A9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3.其他债权投资</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50,165,616.44</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50,165,616.44</w:t>
            </w:r>
          </w:p>
        </w:tc>
      </w:tr>
      <w:tr w:rsidR="007F3A9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4.其他权益工具投资</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482,323,893.45</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-15,735,588.30</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23,486,245.25</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443,102,059.90</w:t>
            </w:r>
          </w:p>
        </w:tc>
      </w:tr>
      <w:tr w:rsidR="007F3A9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金融资产小计</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1,182,490,510.89</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-15,735,588.30</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1,750,000,000.00</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1,027,452,441.35</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1,889,302,481.24</w:t>
            </w:r>
          </w:p>
        </w:tc>
      </w:tr>
      <w:tr w:rsidR="007F3A9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应收款项融资</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176,770,743.91</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156,150,232.08</w:t>
            </w:r>
          </w:p>
        </w:tc>
      </w:tr>
      <w:tr w:rsidR="007F3A9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上述合计</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1,359,261,254.80</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-15,735,588.30</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1,750,000,000.00</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1,027,452,441.35</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2,045,452,713.32</w:t>
            </w:r>
          </w:p>
        </w:tc>
      </w:tr>
      <w:tr w:rsidR="007F3A9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金融负债</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其他变动的内容</w:t>
      </w:r>
    </w:p>
    <w:p w:rsidR="007F3A90" w:rsidRPr="00F276DB" w:rsidRDefault="00F276DB">
      <w:pPr>
        <w:rPr>
          <w:rFonts w:ascii="宋体" w:eastAsia="宋体" w:hAnsi="宋体" w:cs="宋体"/>
          <w:sz w:val="18"/>
          <w:szCs w:val="18"/>
        </w:rPr>
      </w:pPr>
      <w:r w:rsidRPr="00F276DB">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报告期内公司主要资产计量属性是否发生重大变化</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7F3A90" w:rsidRDefault="00CC38FA">
      <w:pPr>
        <w:pStyle w:val="3"/>
        <w:spacing w:line="280" w:lineRule="exact"/>
        <w:jc w:val="left"/>
        <w:rPr>
          <w:rFonts w:ascii="宋体" w:hAnsi="宋体" w:cs="宋体"/>
          <w:b/>
          <w:bCs/>
        </w:rPr>
      </w:pPr>
      <w:bookmarkStart w:id="22" w:name="_Toc988911"/>
      <w:r>
        <w:rPr>
          <w:rFonts w:ascii="宋体" w:hAnsi="宋体" w:cs="宋体"/>
          <w:b/>
          <w:bCs/>
        </w:rPr>
        <w:t>4、截至报告期末的资产权利受限情况</w:t>
      </w:r>
      <w:bookmarkEnd w:id="22"/>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0"/>
        <w:gridCol w:w="4615"/>
        <w:gridCol w:w="3513"/>
      </w:tblGrid>
      <w:tr w:rsidR="00CC38FA" w:rsidTr="00154FC9">
        <w:trPr>
          <w:divId w:val="1602831985"/>
          <w:trHeight w:val="250"/>
        </w:trPr>
        <w:tc>
          <w:tcPr>
            <w:tcW w:w="1380" w:type="dxa"/>
            <w:shd w:val="clear" w:color="auto" w:fill="D3D3D3"/>
            <w:tcMar>
              <w:top w:w="0" w:type="dxa"/>
              <w:left w:w="0" w:type="dxa"/>
              <w:bottom w:w="0" w:type="dxa"/>
              <w:right w:w="0" w:type="dxa"/>
            </w:tcMar>
            <w:vAlign w:val="center"/>
            <w:hideMark/>
          </w:tcPr>
          <w:p w:rsidR="00CC38FA" w:rsidRDefault="00CC38FA">
            <w:pPr>
              <w:pStyle w:val="a3"/>
              <w:spacing w:before="0" w:beforeAutospacing="0" w:after="0" w:afterAutospacing="0"/>
              <w:jc w:val="center"/>
              <w:textAlignment w:val="center"/>
              <w:rPr>
                <w:rFonts w:ascii="Times New Roman" w:hAnsi="Times New Roman" w:cs="Times New Roman"/>
                <w:sz w:val="21"/>
                <w:szCs w:val="21"/>
              </w:rPr>
            </w:pPr>
            <w:r>
              <w:rPr>
                <w:rFonts w:cs="Times New Roman" w:hint="eastAsia"/>
                <w:color w:val="000000"/>
                <w:sz w:val="18"/>
                <w:szCs w:val="18"/>
              </w:rPr>
              <w:t>项目</w:t>
            </w:r>
          </w:p>
        </w:tc>
        <w:tc>
          <w:tcPr>
            <w:tcW w:w="4615" w:type="dxa"/>
            <w:shd w:val="clear" w:color="auto" w:fill="D3D3D3"/>
            <w:tcMar>
              <w:top w:w="0" w:type="dxa"/>
              <w:left w:w="0" w:type="dxa"/>
              <w:bottom w:w="0" w:type="dxa"/>
              <w:right w:w="0" w:type="dxa"/>
            </w:tcMar>
            <w:vAlign w:val="center"/>
            <w:hideMark/>
          </w:tcPr>
          <w:p w:rsidR="00CC38FA" w:rsidRDefault="00CC38FA">
            <w:pPr>
              <w:pStyle w:val="a3"/>
              <w:spacing w:before="0" w:beforeAutospacing="0" w:after="0" w:afterAutospacing="0"/>
              <w:jc w:val="center"/>
              <w:textAlignment w:val="center"/>
              <w:rPr>
                <w:rFonts w:ascii="Times New Roman" w:hAnsi="Times New Roman" w:cs="Times New Roman"/>
                <w:sz w:val="21"/>
                <w:szCs w:val="21"/>
              </w:rPr>
            </w:pPr>
            <w:r>
              <w:rPr>
                <w:rFonts w:cs="Times New Roman" w:hint="eastAsia"/>
                <w:color w:val="000000"/>
                <w:sz w:val="18"/>
                <w:szCs w:val="18"/>
              </w:rPr>
              <w:t>期末账面价值(元)</w:t>
            </w:r>
          </w:p>
        </w:tc>
        <w:tc>
          <w:tcPr>
            <w:tcW w:w="3513" w:type="dxa"/>
            <w:shd w:val="clear" w:color="auto" w:fill="D3D3D3"/>
            <w:tcMar>
              <w:top w:w="0" w:type="dxa"/>
              <w:left w:w="0" w:type="dxa"/>
              <w:bottom w:w="0" w:type="dxa"/>
              <w:right w:w="0" w:type="dxa"/>
            </w:tcMar>
            <w:vAlign w:val="center"/>
            <w:hideMark/>
          </w:tcPr>
          <w:p w:rsidR="00CC38FA" w:rsidRDefault="00CC38FA">
            <w:pPr>
              <w:pStyle w:val="a3"/>
              <w:spacing w:before="0" w:beforeAutospacing="0" w:after="0" w:afterAutospacing="0"/>
              <w:jc w:val="center"/>
              <w:textAlignment w:val="center"/>
              <w:rPr>
                <w:rFonts w:ascii="Times New Roman" w:hAnsi="Times New Roman" w:cs="Times New Roman"/>
                <w:sz w:val="21"/>
                <w:szCs w:val="21"/>
              </w:rPr>
            </w:pPr>
            <w:r>
              <w:rPr>
                <w:rFonts w:cs="Times New Roman" w:hint="eastAsia"/>
                <w:color w:val="000000"/>
                <w:sz w:val="18"/>
                <w:szCs w:val="18"/>
              </w:rPr>
              <w:t>受限原因</w:t>
            </w:r>
          </w:p>
        </w:tc>
      </w:tr>
      <w:tr w:rsidR="00CC38FA" w:rsidTr="00154FC9">
        <w:trPr>
          <w:divId w:val="1602831985"/>
          <w:trHeight w:val="250"/>
        </w:trPr>
        <w:tc>
          <w:tcPr>
            <w:tcW w:w="1380" w:type="dxa"/>
            <w:shd w:val="clear" w:color="auto" w:fill="D3D3D3"/>
            <w:tcMar>
              <w:top w:w="0" w:type="dxa"/>
              <w:left w:w="0" w:type="dxa"/>
              <w:bottom w:w="0" w:type="dxa"/>
              <w:right w:w="0" w:type="dxa"/>
            </w:tcMar>
            <w:vAlign w:val="center"/>
            <w:hideMark/>
          </w:tcPr>
          <w:p w:rsidR="00CC38FA" w:rsidRDefault="00CC38FA">
            <w:pPr>
              <w:pStyle w:val="a3"/>
              <w:spacing w:before="0" w:beforeAutospacing="0" w:after="0" w:afterAutospacing="0"/>
              <w:textAlignment w:val="center"/>
              <w:rPr>
                <w:rFonts w:ascii="Times New Roman" w:hAnsi="Times New Roman" w:cs="Times New Roman"/>
                <w:sz w:val="21"/>
                <w:szCs w:val="21"/>
              </w:rPr>
            </w:pPr>
            <w:r>
              <w:rPr>
                <w:rFonts w:cs="Times New Roman" w:hint="eastAsia"/>
                <w:color w:val="000000"/>
                <w:sz w:val="18"/>
                <w:szCs w:val="18"/>
              </w:rPr>
              <w:t>货币资金</w:t>
            </w:r>
          </w:p>
        </w:tc>
        <w:tc>
          <w:tcPr>
            <w:tcW w:w="4615" w:type="dxa"/>
            <w:shd w:val="clear" w:color="auto" w:fill="FFFFFF"/>
            <w:tcMar>
              <w:top w:w="0" w:type="dxa"/>
              <w:left w:w="0" w:type="dxa"/>
              <w:bottom w:w="0" w:type="dxa"/>
              <w:right w:w="0" w:type="dxa"/>
            </w:tcMar>
            <w:vAlign w:val="center"/>
            <w:hideMark/>
          </w:tcPr>
          <w:p w:rsidR="00CC38FA" w:rsidRDefault="00CC38FA">
            <w:pPr>
              <w:pStyle w:val="a3"/>
              <w:spacing w:before="0" w:beforeAutospacing="0" w:after="0" w:afterAutospacing="0"/>
              <w:jc w:val="right"/>
              <w:textAlignment w:val="center"/>
              <w:rPr>
                <w:rFonts w:ascii="Times New Roman" w:hAnsi="Times New Roman" w:cs="Times New Roman"/>
                <w:sz w:val="21"/>
                <w:szCs w:val="21"/>
              </w:rPr>
            </w:pPr>
            <w:r>
              <w:rPr>
                <w:rFonts w:cs="Times New Roman" w:hint="eastAsia"/>
                <w:color w:val="000000"/>
                <w:sz w:val="18"/>
                <w:szCs w:val="18"/>
              </w:rPr>
              <w:t>        1,704,729,974.56</w:t>
            </w:r>
          </w:p>
        </w:tc>
        <w:tc>
          <w:tcPr>
            <w:tcW w:w="3513" w:type="dxa"/>
            <w:shd w:val="clear" w:color="auto" w:fill="FFFFFF"/>
            <w:tcMar>
              <w:top w:w="0" w:type="dxa"/>
              <w:left w:w="0" w:type="dxa"/>
              <w:bottom w:w="0" w:type="dxa"/>
              <w:right w:w="0" w:type="dxa"/>
            </w:tcMar>
            <w:vAlign w:val="center"/>
            <w:hideMark/>
          </w:tcPr>
          <w:p w:rsidR="00CC38FA" w:rsidRDefault="00CC38FA">
            <w:pPr>
              <w:pStyle w:val="a3"/>
              <w:spacing w:before="0" w:beforeAutospacing="0" w:after="0" w:afterAutospacing="0"/>
              <w:jc w:val="center"/>
              <w:textAlignment w:val="center"/>
              <w:rPr>
                <w:rFonts w:ascii="Times New Roman" w:hAnsi="Times New Roman" w:cs="Times New Roman"/>
                <w:sz w:val="21"/>
                <w:szCs w:val="21"/>
              </w:rPr>
            </w:pPr>
            <w:r>
              <w:rPr>
                <w:rFonts w:cs="Times New Roman" w:hint="eastAsia"/>
                <w:color w:val="000000"/>
                <w:sz w:val="18"/>
                <w:szCs w:val="18"/>
              </w:rPr>
              <w:t>保证金</w:t>
            </w:r>
          </w:p>
        </w:tc>
      </w:tr>
      <w:tr w:rsidR="00CC38FA" w:rsidTr="00154FC9">
        <w:trPr>
          <w:divId w:val="1602831985"/>
          <w:trHeight w:val="250"/>
        </w:trPr>
        <w:tc>
          <w:tcPr>
            <w:tcW w:w="1380" w:type="dxa"/>
            <w:shd w:val="clear" w:color="auto" w:fill="D3D3D3"/>
            <w:tcMar>
              <w:top w:w="0" w:type="dxa"/>
              <w:left w:w="0" w:type="dxa"/>
              <w:bottom w:w="0" w:type="dxa"/>
              <w:right w:w="0" w:type="dxa"/>
            </w:tcMar>
            <w:vAlign w:val="center"/>
            <w:hideMark/>
          </w:tcPr>
          <w:p w:rsidR="00CC38FA" w:rsidRDefault="00CC38FA">
            <w:pPr>
              <w:pStyle w:val="a3"/>
              <w:spacing w:before="0" w:beforeAutospacing="0" w:after="0" w:afterAutospacing="0"/>
              <w:textAlignment w:val="center"/>
              <w:rPr>
                <w:rFonts w:ascii="Times New Roman" w:hAnsi="Times New Roman" w:cs="Times New Roman"/>
                <w:sz w:val="21"/>
                <w:szCs w:val="21"/>
              </w:rPr>
            </w:pPr>
            <w:r>
              <w:rPr>
                <w:rFonts w:cs="Times New Roman" w:hint="eastAsia"/>
                <w:color w:val="000000"/>
                <w:sz w:val="18"/>
                <w:szCs w:val="18"/>
              </w:rPr>
              <w:t>应收票据</w:t>
            </w:r>
          </w:p>
        </w:tc>
        <w:tc>
          <w:tcPr>
            <w:tcW w:w="4615" w:type="dxa"/>
            <w:shd w:val="clear" w:color="auto" w:fill="FFFFFF"/>
            <w:tcMar>
              <w:top w:w="0" w:type="dxa"/>
              <w:left w:w="0" w:type="dxa"/>
              <w:bottom w:w="0" w:type="dxa"/>
              <w:right w:w="0" w:type="dxa"/>
            </w:tcMar>
            <w:vAlign w:val="center"/>
            <w:hideMark/>
          </w:tcPr>
          <w:p w:rsidR="00CC38FA" w:rsidRDefault="00CC38FA">
            <w:pPr>
              <w:pStyle w:val="a3"/>
              <w:spacing w:before="0" w:beforeAutospacing="0" w:after="0" w:afterAutospacing="0"/>
              <w:jc w:val="right"/>
              <w:textAlignment w:val="center"/>
              <w:rPr>
                <w:rFonts w:ascii="Times New Roman" w:hAnsi="Times New Roman" w:cs="Times New Roman"/>
                <w:sz w:val="21"/>
                <w:szCs w:val="21"/>
              </w:rPr>
            </w:pPr>
            <w:r>
              <w:rPr>
                <w:rFonts w:cs="Times New Roman" w:hint="eastAsia"/>
                <w:color w:val="000000"/>
                <w:sz w:val="18"/>
                <w:szCs w:val="18"/>
              </w:rPr>
              <w:t>           544,989,342.85</w:t>
            </w:r>
          </w:p>
        </w:tc>
        <w:tc>
          <w:tcPr>
            <w:tcW w:w="3513" w:type="dxa"/>
            <w:shd w:val="clear" w:color="auto" w:fill="FFFFFF"/>
            <w:tcMar>
              <w:top w:w="0" w:type="dxa"/>
              <w:left w:w="0" w:type="dxa"/>
              <w:bottom w:w="0" w:type="dxa"/>
              <w:right w:w="0" w:type="dxa"/>
            </w:tcMar>
            <w:vAlign w:val="center"/>
            <w:hideMark/>
          </w:tcPr>
          <w:p w:rsidR="00CC38FA" w:rsidRDefault="00CC38FA">
            <w:pPr>
              <w:pStyle w:val="a3"/>
              <w:spacing w:before="0" w:beforeAutospacing="0" w:after="0" w:afterAutospacing="0"/>
              <w:jc w:val="center"/>
              <w:textAlignment w:val="center"/>
              <w:rPr>
                <w:rFonts w:ascii="Times New Roman" w:hAnsi="Times New Roman" w:cs="Times New Roman"/>
                <w:sz w:val="21"/>
                <w:szCs w:val="21"/>
              </w:rPr>
            </w:pPr>
            <w:r>
              <w:rPr>
                <w:rFonts w:cs="Times New Roman" w:hint="eastAsia"/>
                <w:color w:val="000000"/>
                <w:sz w:val="18"/>
                <w:szCs w:val="18"/>
              </w:rPr>
              <w:t>质押</w:t>
            </w:r>
          </w:p>
        </w:tc>
      </w:tr>
      <w:tr w:rsidR="00CC38FA" w:rsidTr="00154FC9">
        <w:trPr>
          <w:divId w:val="1602831985"/>
          <w:trHeight w:val="250"/>
        </w:trPr>
        <w:tc>
          <w:tcPr>
            <w:tcW w:w="1380" w:type="dxa"/>
            <w:shd w:val="clear" w:color="auto" w:fill="D3D3D3"/>
            <w:tcMar>
              <w:top w:w="0" w:type="dxa"/>
              <w:left w:w="0" w:type="dxa"/>
              <w:bottom w:w="0" w:type="dxa"/>
              <w:right w:w="0" w:type="dxa"/>
            </w:tcMar>
            <w:vAlign w:val="center"/>
            <w:hideMark/>
          </w:tcPr>
          <w:p w:rsidR="00CC38FA" w:rsidRDefault="00CC38FA">
            <w:pPr>
              <w:pStyle w:val="a3"/>
              <w:spacing w:before="0" w:beforeAutospacing="0" w:after="0" w:afterAutospacing="0"/>
              <w:textAlignment w:val="center"/>
              <w:rPr>
                <w:rFonts w:ascii="Times New Roman" w:hAnsi="Times New Roman" w:cs="Times New Roman"/>
                <w:sz w:val="21"/>
                <w:szCs w:val="21"/>
              </w:rPr>
            </w:pPr>
            <w:r>
              <w:rPr>
                <w:rFonts w:cs="Times New Roman" w:hint="eastAsia"/>
                <w:color w:val="000000"/>
                <w:sz w:val="18"/>
                <w:szCs w:val="18"/>
              </w:rPr>
              <w:t>固定资产</w:t>
            </w:r>
          </w:p>
        </w:tc>
        <w:tc>
          <w:tcPr>
            <w:tcW w:w="4615" w:type="dxa"/>
            <w:shd w:val="clear" w:color="auto" w:fill="FFFFFF"/>
            <w:tcMar>
              <w:top w:w="0" w:type="dxa"/>
              <w:left w:w="0" w:type="dxa"/>
              <w:bottom w:w="0" w:type="dxa"/>
              <w:right w:w="0" w:type="dxa"/>
            </w:tcMar>
            <w:vAlign w:val="center"/>
            <w:hideMark/>
          </w:tcPr>
          <w:p w:rsidR="00CC38FA" w:rsidRDefault="00CC38FA">
            <w:pPr>
              <w:pStyle w:val="a3"/>
              <w:spacing w:before="0" w:beforeAutospacing="0" w:after="0" w:afterAutospacing="0"/>
              <w:jc w:val="right"/>
              <w:textAlignment w:val="center"/>
              <w:rPr>
                <w:rFonts w:ascii="Times New Roman" w:hAnsi="Times New Roman" w:cs="Times New Roman"/>
                <w:sz w:val="21"/>
                <w:szCs w:val="21"/>
              </w:rPr>
            </w:pPr>
            <w:r>
              <w:rPr>
                <w:rFonts w:cs="Times New Roman" w:hint="eastAsia"/>
                <w:color w:val="000000"/>
                <w:sz w:val="18"/>
                <w:szCs w:val="18"/>
              </w:rPr>
              <w:t>           131,984,009.16</w:t>
            </w:r>
          </w:p>
        </w:tc>
        <w:tc>
          <w:tcPr>
            <w:tcW w:w="3513" w:type="dxa"/>
            <w:shd w:val="clear" w:color="auto" w:fill="FFFFFF"/>
            <w:tcMar>
              <w:top w:w="0" w:type="dxa"/>
              <w:left w:w="0" w:type="dxa"/>
              <w:bottom w:w="0" w:type="dxa"/>
              <w:right w:w="0" w:type="dxa"/>
            </w:tcMar>
            <w:vAlign w:val="center"/>
            <w:hideMark/>
          </w:tcPr>
          <w:p w:rsidR="00CC38FA" w:rsidRDefault="00CC38FA">
            <w:pPr>
              <w:pStyle w:val="a3"/>
              <w:spacing w:before="0" w:beforeAutospacing="0" w:after="0" w:afterAutospacing="0"/>
              <w:jc w:val="center"/>
              <w:textAlignment w:val="center"/>
              <w:rPr>
                <w:rFonts w:ascii="Times New Roman" w:hAnsi="Times New Roman" w:cs="Times New Roman"/>
                <w:sz w:val="21"/>
                <w:szCs w:val="21"/>
              </w:rPr>
            </w:pPr>
            <w:r>
              <w:rPr>
                <w:rFonts w:cs="Times New Roman" w:hint="eastAsia"/>
                <w:color w:val="000000"/>
                <w:sz w:val="18"/>
                <w:szCs w:val="18"/>
              </w:rPr>
              <w:t>抵押</w:t>
            </w:r>
          </w:p>
        </w:tc>
      </w:tr>
      <w:tr w:rsidR="00CC38FA" w:rsidTr="00154FC9">
        <w:trPr>
          <w:divId w:val="1602831985"/>
          <w:trHeight w:val="250"/>
        </w:trPr>
        <w:tc>
          <w:tcPr>
            <w:tcW w:w="1380" w:type="dxa"/>
            <w:shd w:val="clear" w:color="auto" w:fill="D3D3D3"/>
            <w:tcMar>
              <w:top w:w="0" w:type="dxa"/>
              <w:left w:w="0" w:type="dxa"/>
              <w:bottom w:w="0" w:type="dxa"/>
              <w:right w:w="0" w:type="dxa"/>
            </w:tcMar>
            <w:vAlign w:val="center"/>
            <w:hideMark/>
          </w:tcPr>
          <w:p w:rsidR="00CC38FA" w:rsidRDefault="00CC38FA">
            <w:pPr>
              <w:pStyle w:val="a3"/>
              <w:spacing w:before="0" w:beforeAutospacing="0" w:after="0" w:afterAutospacing="0"/>
              <w:textAlignment w:val="center"/>
              <w:rPr>
                <w:rFonts w:ascii="Times New Roman" w:hAnsi="Times New Roman" w:cs="Times New Roman"/>
                <w:sz w:val="21"/>
                <w:szCs w:val="21"/>
              </w:rPr>
            </w:pPr>
            <w:r>
              <w:rPr>
                <w:rFonts w:cs="Times New Roman" w:hint="eastAsia"/>
                <w:color w:val="000000"/>
                <w:sz w:val="18"/>
                <w:szCs w:val="18"/>
              </w:rPr>
              <w:t>无形资产</w:t>
            </w:r>
          </w:p>
        </w:tc>
        <w:tc>
          <w:tcPr>
            <w:tcW w:w="4615" w:type="dxa"/>
            <w:shd w:val="clear" w:color="auto" w:fill="FFFFFF"/>
            <w:tcMar>
              <w:top w:w="0" w:type="dxa"/>
              <w:left w:w="0" w:type="dxa"/>
              <w:bottom w:w="0" w:type="dxa"/>
              <w:right w:w="0" w:type="dxa"/>
            </w:tcMar>
            <w:vAlign w:val="center"/>
            <w:hideMark/>
          </w:tcPr>
          <w:p w:rsidR="00CC38FA" w:rsidRDefault="00CC38FA">
            <w:pPr>
              <w:pStyle w:val="a3"/>
              <w:spacing w:before="0" w:beforeAutospacing="0" w:after="0" w:afterAutospacing="0"/>
              <w:jc w:val="right"/>
              <w:textAlignment w:val="center"/>
              <w:rPr>
                <w:rFonts w:ascii="Times New Roman" w:hAnsi="Times New Roman" w:cs="Times New Roman"/>
                <w:sz w:val="21"/>
                <w:szCs w:val="21"/>
              </w:rPr>
            </w:pPr>
            <w:r>
              <w:rPr>
                <w:rFonts w:cs="Times New Roman" w:hint="eastAsia"/>
                <w:color w:val="000000"/>
                <w:sz w:val="18"/>
                <w:szCs w:val="18"/>
              </w:rPr>
              <w:t>           167,280,725.37</w:t>
            </w:r>
          </w:p>
        </w:tc>
        <w:tc>
          <w:tcPr>
            <w:tcW w:w="3513" w:type="dxa"/>
            <w:shd w:val="clear" w:color="auto" w:fill="FFFFFF"/>
            <w:tcMar>
              <w:top w:w="0" w:type="dxa"/>
              <w:left w:w="0" w:type="dxa"/>
              <w:bottom w:w="0" w:type="dxa"/>
              <w:right w:w="0" w:type="dxa"/>
            </w:tcMar>
            <w:vAlign w:val="center"/>
            <w:hideMark/>
          </w:tcPr>
          <w:p w:rsidR="00CC38FA" w:rsidRDefault="00CC38FA">
            <w:pPr>
              <w:pStyle w:val="a3"/>
              <w:spacing w:before="0" w:beforeAutospacing="0" w:after="0" w:afterAutospacing="0"/>
              <w:jc w:val="center"/>
              <w:textAlignment w:val="center"/>
              <w:rPr>
                <w:rFonts w:ascii="Times New Roman" w:hAnsi="Times New Roman" w:cs="Times New Roman"/>
                <w:sz w:val="21"/>
                <w:szCs w:val="21"/>
              </w:rPr>
            </w:pPr>
            <w:r>
              <w:rPr>
                <w:rFonts w:cs="Times New Roman" w:hint="eastAsia"/>
                <w:color w:val="000000"/>
                <w:sz w:val="18"/>
                <w:szCs w:val="18"/>
              </w:rPr>
              <w:t>抵押</w:t>
            </w:r>
          </w:p>
        </w:tc>
      </w:tr>
      <w:tr w:rsidR="00CC38FA" w:rsidTr="00154FC9">
        <w:trPr>
          <w:divId w:val="1602831985"/>
          <w:trHeight w:val="250"/>
        </w:trPr>
        <w:tc>
          <w:tcPr>
            <w:tcW w:w="1380" w:type="dxa"/>
            <w:shd w:val="clear" w:color="auto" w:fill="D3D3D3"/>
            <w:tcMar>
              <w:top w:w="0" w:type="dxa"/>
              <w:left w:w="0" w:type="dxa"/>
              <w:bottom w:w="0" w:type="dxa"/>
              <w:right w:w="0" w:type="dxa"/>
            </w:tcMar>
            <w:vAlign w:val="center"/>
            <w:hideMark/>
          </w:tcPr>
          <w:p w:rsidR="00CC38FA" w:rsidRDefault="00CC38FA">
            <w:pPr>
              <w:pStyle w:val="a3"/>
              <w:spacing w:before="0" w:beforeAutospacing="0" w:after="0" w:afterAutospacing="0"/>
              <w:textAlignment w:val="center"/>
              <w:rPr>
                <w:rFonts w:ascii="Times New Roman" w:hAnsi="Times New Roman" w:cs="Times New Roman"/>
                <w:sz w:val="21"/>
                <w:szCs w:val="21"/>
              </w:rPr>
            </w:pPr>
            <w:r>
              <w:rPr>
                <w:rFonts w:cs="Times New Roman" w:hint="eastAsia"/>
                <w:color w:val="000000"/>
                <w:sz w:val="18"/>
                <w:szCs w:val="18"/>
              </w:rPr>
              <w:t>合计</w:t>
            </w:r>
          </w:p>
        </w:tc>
        <w:tc>
          <w:tcPr>
            <w:tcW w:w="4615" w:type="dxa"/>
            <w:shd w:val="clear" w:color="auto" w:fill="FFFFFF"/>
            <w:tcMar>
              <w:top w:w="0" w:type="dxa"/>
              <w:left w:w="0" w:type="dxa"/>
              <w:bottom w:w="0" w:type="dxa"/>
              <w:right w:w="0" w:type="dxa"/>
            </w:tcMar>
            <w:vAlign w:val="center"/>
            <w:hideMark/>
          </w:tcPr>
          <w:p w:rsidR="00CC38FA" w:rsidRDefault="00CC38FA">
            <w:pPr>
              <w:pStyle w:val="a3"/>
              <w:spacing w:before="0" w:beforeAutospacing="0" w:after="0" w:afterAutospacing="0"/>
              <w:jc w:val="right"/>
              <w:textAlignment w:val="center"/>
              <w:rPr>
                <w:rFonts w:ascii="Times New Roman" w:hAnsi="Times New Roman" w:cs="Times New Roman"/>
                <w:sz w:val="21"/>
                <w:szCs w:val="21"/>
              </w:rPr>
            </w:pPr>
            <w:r>
              <w:rPr>
                <w:rFonts w:cs="Times New Roman" w:hint="eastAsia"/>
                <w:color w:val="000000"/>
                <w:sz w:val="18"/>
                <w:szCs w:val="18"/>
              </w:rPr>
              <w:t>        2,548,984,051.94</w:t>
            </w:r>
          </w:p>
        </w:tc>
        <w:tc>
          <w:tcPr>
            <w:tcW w:w="3513" w:type="dxa"/>
            <w:shd w:val="clear" w:color="auto" w:fill="D3D3D3"/>
            <w:tcMar>
              <w:top w:w="0" w:type="dxa"/>
              <w:left w:w="0" w:type="dxa"/>
              <w:bottom w:w="0" w:type="dxa"/>
              <w:right w:w="0" w:type="dxa"/>
            </w:tcMar>
            <w:vAlign w:val="center"/>
            <w:hideMark/>
          </w:tcPr>
          <w:p w:rsidR="00CC38FA" w:rsidRDefault="00CC38FA">
            <w:pPr>
              <w:pStyle w:val="a3"/>
              <w:spacing w:before="0" w:beforeAutospacing="0" w:after="0" w:afterAutospacing="0"/>
              <w:jc w:val="center"/>
              <w:textAlignment w:val="center"/>
              <w:rPr>
                <w:rFonts w:ascii="Times New Roman" w:hAnsi="Times New Roman" w:cs="Times New Roman"/>
                <w:sz w:val="21"/>
                <w:szCs w:val="21"/>
              </w:rPr>
            </w:pPr>
            <w:r>
              <w:rPr>
                <w:rFonts w:cs="Times New Roman" w:hint="eastAsia"/>
                <w:color w:val="000000"/>
                <w:sz w:val="18"/>
                <w:szCs w:val="18"/>
              </w:rPr>
              <w:t>--</w:t>
            </w:r>
          </w:p>
        </w:tc>
      </w:tr>
    </w:tbl>
    <w:p w:rsidR="007F3A90" w:rsidRDefault="00CC38FA">
      <w:pPr>
        <w:pStyle w:val="2"/>
        <w:spacing w:before="300" w:after="300" w:line="320" w:lineRule="exact"/>
        <w:rPr>
          <w:rFonts w:ascii="宋体" w:eastAsia="宋体" w:hAnsi="宋体" w:cs="宋体"/>
          <w:b/>
          <w:bCs/>
          <w:sz w:val="24"/>
          <w:szCs w:val="24"/>
        </w:rPr>
      </w:pPr>
      <w:bookmarkStart w:id="23" w:name="_Toc988912"/>
      <w:r>
        <w:rPr>
          <w:rFonts w:ascii="宋体" w:eastAsia="宋体" w:hAnsi="宋体" w:cs="宋体"/>
          <w:b/>
          <w:bCs/>
          <w:sz w:val="24"/>
          <w:szCs w:val="24"/>
        </w:rPr>
        <w:t>六、投资状况分析</w:t>
      </w:r>
      <w:bookmarkEnd w:id="23"/>
    </w:p>
    <w:p w:rsidR="007F3A90" w:rsidRDefault="00CC38FA">
      <w:pPr>
        <w:pStyle w:val="3"/>
        <w:spacing w:line="280" w:lineRule="exact"/>
        <w:jc w:val="left"/>
        <w:rPr>
          <w:rFonts w:ascii="宋体" w:hAnsi="宋体" w:cs="宋体"/>
          <w:b/>
          <w:bCs/>
        </w:rPr>
      </w:pPr>
      <w:bookmarkStart w:id="24" w:name="_Toc988913"/>
      <w:r>
        <w:rPr>
          <w:rFonts w:ascii="宋体" w:hAnsi="宋体" w:cs="宋体"/>
          <w:b/>
          <w:bCs/>
        </w:rPr>
        <w:t>1、总体情况</w:t>
      </w:r>
      <w:bookmarkEnd w:id="24"/>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报告期投资额（元）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上年同期投资额（元）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变动幅度</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1,000,000.00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9,000,000.00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-88.89%</w:t>
            </w:r>
          </w:p>
        </w:tc>
      </w:tr>
    </w:tbl>
    <w:p w:rsidR="007F3A90" w:rsidRDefault="00CC38FA">
      <w:pPr>
        <w:pStyle w:val="3"/>
        <w:spacing w:line="280" w:lineRule="exact"/>
        <w:jc w:val="left"/>
        <w:rPr>
          <w:rFonts w:ascii="宋体" w:hAnsi="宋体" w:cs="宋体"/>
          <w:b/>
          <w:bCs/>
        </w:rPr>
      </w:pPr>
      <w:bookmarkStart w:id="25" w:name="_Toc988914"/>
      <w:r>
        <w:rPr>
          <w:rFonts w:ascii="宋体" w:hAnsi="宋体" w:cs="宋体"/>
          <w:b/>
          <w:bCs/>
        </w:rPr>
        <w:t>2、报告期内获取的重大的股权投资情况</w:t>
      </w:r>
      <w:bookmarkEnd w:id="25"/>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pStyle w:val="3"/>
        <w:spacing w:line="280" w:lineRule="exact"/>
        <w:jc w:val="left"/>
        <w:rPr>
          <w:rFonts w:ascii="宋体" w:hAnsi="宋体" w:cs="宋体"/>
          <w:b/>
          <w:bCs/>
        </w:rPr>
      </w:pPr>
      <w:bookmarkStart w:id="26" w:name="_Toc988915"/>
      <w:r>
        <w:rPr>
          <w:rFonts w:ascii="宋体" w:hAnsi="宋体" w:cs="宋体"/>
          <w:b/>
          <w:bCs/>
        </w:rPr>
        <w:t>3、报告期内正在进行的重大的非股权投资情况</w:t>
      </w:r>
      <w:bookmarkEnd w:id="26"/>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pStyle w:val="3"/>
        <w:spacing w:line="280" w:lineRule="exact"/>
        <w:jc w:val="left"/>
        <w:rPr>
          <w:rFonts w:ascii="宋体" w:hAnsi="宋体" w:cs="宋体"/>
          <w:b/>
          <w:bCs/>
        </w:rPr>
      </w:pPr>
      <w:bookmarkStart w:id="27" w:name="_Toc988916"/>
      <w:r>
        <w:rPr>
          <w:rFonts w:ascii="宋体" w:hAnsi="宋体" w:cs="宋体"/>
          <w:b/>
          <w:bCs/>
        </w:rPr>
        <w:lastRenderedPageBreak/>
        <w:t>4、金融资产投资</w:t>
      </w:r>
      <w:bookmarkEnd w:id="27"/>
    </w:p>
    <w:p w:rsidR="007F3A90" w:rsidRDefault="00CC38FA">
      <w:pPr>
        <w:keepNext/>
        <w:keepLines/>
        <w:spacing w:before="300" w:after="300" w:line="280" w:lineRule="exact"/>
        <w:outlineLvl w:val="3"/>
        <w:rPr>
          <w:rFonts w:ascii="宋体" w:eastAsia="宋体" w:hAnsi="宋体" w:cs="宋体"/>
          <w:b/>
          <w:bCs/>
          <w:sz w:val="18"/>
          <w:szCs w:val="18"/>
        </w:rPr>
      </w:pPr>
      <w:bookmarkStart w:id="28" w:name="_Toc988917"/>
      <w:r>
        <w:rPr>
          <w:rFonts w:ascii="宋体" w:eastAsia="宋体" w:hAnsi="宋体" w:cs="宋体"/>
          <w:b/>
          <w:bCs/>
          <w:sz w:val="18"/>
          <w:szCs w:val="18"/>
        </w:rPr>
        <w:t>（1） 证券投资情况</w:t>
      </w:r>
      <w:bookmarkEnd w:id="28"/>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公司报告期不存在证券投资。</w:t>
      </w:r>
    </w:p>
    <w:p w:rsidR="007F3A90" w:rsidRDefault="00CC38FA">
      <w:pPr>
        <w:keepNext/>
        <w:keepLines/>
        <w:spacing w:before="300" w:after="300" w:line="280" w:lineRule="exact"/>
        <w:outlineLvl w:val="3"/>
        <w:rPr>
          <w:rFonts w:ascii="宋体" w:eastAsia="宋体" w:hAnsi="宋体" w:cs="宋体"/>
          <w:b/>
          <w:bCs/>
          <w:sz w:val="18"/>
          <w:szCs w:val="18"/>
        </w:rPr>
      </w:pPr>
      <w:bookmarkStart w:id="29" w:name="_Toc988918"/>
      <w:r>
        <w:rPr>
          <w:rFonts w:ascii="宋体" w:eastAsia="宋体" w:hAnsi="宋体" w:cs="宋体"/>
          <w:b/>
          <w:bCs/>
          <w:sz w:val="18"/>
          <w:szCs w:val="18"/>
        </w:rPr>
        <w:t>（2） 衍生品投资情况</w:t>
      </w:r>
      <w:bookmarkEnd w:id="29"/>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公司报告期不存在衍生品投资。</w:t>
      </w:r>
    </w:p>
    <w:p w:rsidR="007F3A90" w:rsidRDefault="00CC38FA">
      <w:pPr>
        <w:pStyle w:val="3"/>
        <w:spacing w:line="280" w:lineRule="exact"/>
        <w:jc w:val="left"/>
        <w:rPr>
          <w:rFonts w:ascii="宋体" w:hAnsi="宋体" w:cs="宋体"/>
          <w:b/>
          <w:bCs/>
        </w:rPr>
      </w:pPr>
      <w:bookmarkStart w:id="30" w:name="_Toc988919"/>
      <w:r>
        <w:rPr>
          <w:rFonts w:ascii="宋体" w:hAnsi="宋体" w:cs="宋体"/>
          <w:b/>
          <w:bCs/>
        </w:rPr>
        <w:t>5、募集资金使用情况</w:t>
      </w:r>
      <w:bookmarkEnd w:id="30"/>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7F3A90" w:rsidRDefault="00CC38FA">
      <w:pPr>
        <w:keepNext/>
        <w:keepLines/>
        <w:spacing w:before="300" w:after="300" w:line="280" w:lineRule="exact"/>
        <w:outlineLvl w:val="3"/>
        <w:rPr>
          <w:rFonts w:ascii="宋体" w:eastAsia="宋体" w:hAnsi="宋体" w:cs="宋体"/>
          <w:b/>
          <w:bCs/>
          <w:sz w:val="18"/>
          <w:szCs w:val="18"/>
        </w:rPr>
      </w:pPr>
      <w:bookmarkStart w:id="31" w:name="_Toc988920"/>
      <w:r>
        <w:rPr>
          <w:rFonts w:ascii="宋体" w:eastAsia="宋体" w:hAnsi="宋体" w:cs="宋体"/>
          <w:b/>
          <w:bCs/>
          <w:sz w:val="18"/>
          <w:szCs w:val="18"/>
        </w:rPr>
        <w:t>（1） 募集资金总体使用情况</w:t>
      </w:r>
      <w:bookmarkEnd w:id="31"/>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03"/>
        <w:gridCol w:w="803"/>
        <w:gridCol w:w="803"/>
        <w:gridCol w:w="803"/>
        <w:gridCol w:w="803"/>
        <w:gridCol w:w="803"/>
        <w:gridCol w:w="803"/>
        <w:gridCol w:w="803"/>
        <w:gridCol w:w="803"/>
        <w:gridCol w:w="803"/>
        <w:gridCol w:w="803"/>
        <w:gridCol w:w="806"/>
      </w:tblGrid>
      <w:tr w:rsidR="007F3A90">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募集年份</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募集方式</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募集资金总额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募集资金净额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本期已使用募集资金总额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已累计使用募集资金总额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报告期内变更用途的募集资金总额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累计变更用途的募集资金总额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累计变更用途的募集资金总额比例</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尚未使用募集资金总额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尚未使用募集资金用途及去向</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闲置两年以上募集资金金额</w:t>
            </w:r>
          </w:p>
        </w:tc>
      </w:tr>
      <w:tr w:rsidR="007F3A90">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2016年</w:t>
            </w:r>
          </w:p>
        </w:tc>
        <w:tc>
          <w:tcPr>
            <w:tcW w:w="8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非公开发行A股股票</w:t>
            </w:r>
          </w:p>
        </w:tc>
        <w:tc>
          <w:tcPr>
            <w:tcW w:w="8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126,894.37</w:t>
            </w:r>
          </w:p>
        </w:tc>
        <w:tc>
          <w:tcPr>
            <w:tcW w:w="8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124,582.05</w:t>
            </w:r>
          </w:p>
        </w:tc>
        <w:tc>
          <w:tcPr>
            <w:tcW w:w="8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1,182.09</w:t>
            </w:r>
          </w:p>
        </w:tc>
        <w:tc>
          <w:tcPr>
            <w:tcW w:w="8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128,991.41</w:t>
            </w:r>
          </w:p>
        </w:tc>
        <w:tc>
          <w:tcPr>
            <w:tcW w:w="8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122,154.94</w:t>
            </w:r>
          </w:p>
        </w:tc>
        <w:tc>
          <w:tcPr>
            <w:tcW w:w="8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96.27%</w:t>
            </w:r>
          </w:p>
        </w:tc>
        <w:tc>
          <w:tcPr>
            <w:tcW w:w="8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6,413.04</w:t>
            </w:r>
          </w:p>
        </w:tc>
        <w:tc>
          <w:tcPr>
            <w:tcW w:w="8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全部存</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放于募</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集资金</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专户中</w:t>
            </w:r>
          </w:p>
        </w:tc>
        <w:tc>
          <w:tcPr>
            <w:tcW w:w="8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6,413.04</w:t>
            </w:r>
          </w:p>
        </w:tc>
      </w:tr>
      <w:tr w:rsidR="007F3A90">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8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126,894.37</w:t>
            </w:r>
          </w:p>
        </w:tc>
        <w:tc>
          <w:tcPr>
            <w:tcW w:w="8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124,582.05</w:t>
            </w:r>
          </w:p>
        </w:tc>
        <w:tc>
          <w:tcPr>
            <w:tcW w:w="8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1,182.09</w:t>
            </w:r>
          </w:p>
        </w:tc>
        <w:tc>
          <w:tcPr>
            <w:tcW w:w="8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128,991.41</w:t>
            </w:r>
          </w:p>
        </w:tc>
        <w:tc>
          <w:tcPr>
            <w:tcW w:w="8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122,154.94</w:t>
            </w:r>
          </w:p>
        </w:tc>
        <w:tc>
          <w:tcPr>
            <w:tcW w:w="8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96.27%</w:t>
            </w:r>
          </w:p>
        </w:tc>
        <w:tc>
          <w:tcPr>
            <w:tcW w:w="8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6,413.04</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8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6,413.04</w:t>
            </w:r>
          </w:p>
        </w:tc>
      </w:tr>
      <w:tr w:rsidR="007F3A90">
        <w:trPr>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募集资金总体使用情况说明</w:t>
            </w:r>
          </w:p>
        </w:tc>
      </w:tr>
      <w:tr w:rsidR="007F3A90">
        <w:trPr>
          <w:trHeight w:val="240"/>
        </w:trPr>
        <w:tc>
          <w:tcPr>
            <w:tcW w:w="9639" w:type="dxa"/>
            <w:gridSpan w:val="1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 xml:space="preserve">    根据中国证券监督管理委员会2016年6月22日《关于核准软控股份有限公司非公开发行股票的批复》（证监许可[2016]1367号），公司获准非公开发行人民币普通股（A股）股票总数不超过127,000,000股。公司实际非公开发行人民币普通股（A股）股票123,198,417股，每股面值1元，发行价为每股10.30元，募集资金总额为人民币1,268,943,695.10元，扣除含税发行费用23,123,198.42元后，募集资金净额为人民币1,245,820,496.68元。其中，计入股本人民币123,198,417.00元，其他股本溢价计入资本公积人民币1,122,622,079.68元。上述募集资金已于2016年10月11日全部到位，已经中兴华会计师事务所(特殊普通合伙)验证，并由其出具“中兴华验字[2016]第SD03-0011号”验资报告，本公司对募集资金已采取了专项账户存储管理。</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 xml:space="preserve">    公司于2023年8月28日召开第八届董事会第十一次会议和第八届监事会第十三次会议,分别审议通过了《关于使用部分暂时闲置募集资金进行现金管理及追认使用部分闲置募集资金进行现金管理的议案》,同意公司及子公司使用不超过15,000万元（含本数）暂时闲置募集资金进行现金管理，购买安全性高、流动性好、风险较低、能够提供保本承诺的具有合法经营资格的金融机构销售的理财类产品或存款类产品，投资期限为自公司董事会审议通过之日起不超过12个月。在上述额度和期限内，资金可以滚动使用，并对前次超过授权期限使用暂时闲置募集资金现金管理的情况进行了追认。</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 xml:space="preserve">    报告期内已投入募集资金总额为1,182.09万元，截至2024年6月30日，已累计投入募集资金总额为128,991.41万元。</w:t>
            </w:r>
          </w:p>
        </w:tc>
      </w:tr>
    </w:tbl>
    <w:p w:rsidR="007F3A90" w:rsidRDefault="00CC38FA">
      <w:pPr>
        <w:keepNext/>
        <w:keepLines/>
        <w:spacing w:before="300" w:after="300" w:line="280" w:lineRule="exact"/>
        <w:outlineLvl w:val="3"/>
        <w:rPr>
          <w:rFonts w:ascii="宋体" w:eastAsia="宋体" w:hAnsi="宋体" w:cs="宋体"/>
          <w:b/>
          <w:bCs/>
          <w:sz w:val="18"/>
          <w:szCs w:val="18"/>
        </w:rPr>
      </w:pPr>
      <w:bookmarkStart w:id="32" w:name="_Toc988921"/>
      <w:r>
        <w:rPr>
          <w:rFonts w:ascii="宋体" w:eastAsia="宋体" w:hAnsi="宋体" w:cs="宋体"/>
          <w:b/>
          <w:bCs/>
          <w:sz w:val="18"/>
          <w:szCs w:val="18"/>
        </w:rPr>
        <w:t>（2） 募集资金承诺项目情况</w:t>
      </w:r>
      <w:bookmarkEnd w:id="32"/>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lastRenderedPageBreak/>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6"/>
        <w:gridCol w:w="876"/>
        <w:gridCol w:w="876"/>
        <w:gridCol w:w="876"/>
        <w:gridCol w:w="876"/>
        <w:gridCol w:w="876"/>
        <w:gridCol w:w="876"/>
        <w:gridCol w:w="876"/>
        <w:gridCol w:w="876"/>
        <w:gridCol w:w="876"/>
        <w:gridCol w:w="879"/>
      </w:tblGrid>
      <w:tr w:rsidR="007F3A90" w:rsidTr="00CC38FA">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承诺投资项目和超募资金投向</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是否已变更项目(含部分变更)</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募集资金承诺投资总额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调整后投资总额(1)</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本报告期投入金额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截至期末累计投入金额(2)</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截至期末投资进度(3)＝(2)/(1)</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项目达到预定可使用状态日期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本报告期实现的效益</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是否达到预计效益</w:t>
            </w:r>
          </w:p>
        </w:tc>
        <w:tc>
          <w:tcPr>
            <w:tcW w:w="87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项目可行性是否发生重大变化</w:t>
            </w:r>
          </w:p>
        </w:tc>
      </w:tr>
      <w:tr w:rsidR="007F3A90">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承诺投资项目</w:t>
            </w:r>
          </w:p>
        </w:tc>
      </w:tr>
      <w:tr w:rsidR="00CC38FA" w:rsidTr="00CC38FA">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rPr>
                <w:rFonts w:ascii="宋体" w:eastAsia="宋体" w:hAnsi="宋体" w:cs="宋体"/>
                <w:sz w:val="18"/>
                <w:szCs w:val="18"/>
              </w:rPr>
            </w:pPr>
            <w:r>
              <w:rPr>
                <w:rFonts w:ascii="宋体" w:eastAsia="宋体" w:hAnsi="宋体" w:cs="宋体"/>
                <w:sz w:val="18"/>
                <w:szCs w:val="18"/>
              </w:rPr>
              <w:t>轮胎装备智能制造基地</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jc w:val="right"/>
              <w:rPr>
                <w:rFonts w:ascii="宋体" w:eastAsia="宋体" w:hAnsi="宋体" w:cs="宋体"/>
                <w:sz w:val="18"/>
                <w:szCs w:val="18"/>
              </w:rPr>
            </w:pPr>
            <w:r>
              <w:rPr>
                <w:rFonts w:ascii="宋体" w:eastAsia="宋体" w:hAnsi="宋体" w:cs="宋体"/>
                <w:sz w:val="18"/>
                <w:szCs w:val="18"/>
              </w:rPr>
              <w:t>48,956.62</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6" w:type="dxa"/>
            <w:vMerge w:val="restart"/>
            <w:tcBorders>
              <w:top w:val="single" w:sz="2" w:space="0" w:color="auto"/>
              <w:left w:val="single" w:sz="2" w:space="0" w:color="auto"/>
              <w:right w:val="single" w:sz="2" w:space="0" w:color="auto"/>
            </w:tcBorders>
            <w:vAlign w:val="center"/>
          </w:tcPr>
          <w:p w:rsidR="00CC38FA" w:rsidRPr="008A2A24" w:rsidRDefault="00CC38FA" w:rsidP="00CC38FA">
            <w:pPr>
              <w:spacing w:line="240" w:lineRule="exact"/>
              <w:jc w:val="right"/>
              <w:rPr>
                <w:rFonts w:ascii="宋体" w:eastAsia="宋体" w:hAnsi="宋体" w:cs="宋体"/>
                <w:sz w:val="18"/>
                <w:szCs w:val="18"/>
              </w:rPr>
            </w:pPr>
            <w:r w:rsidRPr="006611B9">
              <w:rPr>
                <w:rFonts w:ascii="宋体" w:eastAsia="宋体" w:hAnsi="宋体" w:cs="宋体"/>
                <w:sz w:val="18"/>
                <w:szCs w:val="18"/>
              </w:rPr>
              <w:t>91,090.00</w:t>
            </w:r>
            <w:r w:rsidRPr="006611B9">
              <w:rPr>
                <w:rFonts w:ascii="宋体" w:eastAsia="宋体" w:hAnsi="宋体" w:cs="宋体" w:hint="eastAsia"/>
                <w:sz w:val="18"/>
                <w:szCs w:val="18"/>
              </w:rPr>
              <w:t>（该金额为终止的两个募投项目合计85,959.26万元及所形成的利息收入、理财收入）</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rPr>
                <w:rFonts w:ascii="宋体" w:eastAsia="宋体" w:hAnsi="宋体" w:cs="宋体"/>
                <w:sz w:val="18"/>
                <w:szCs w:val="18"/>
              </w:rPr>
            </w:pPr>
            <w:r>
              <w:rPr>
                <w:rFonts w:ascii="宋体" w:eastAsia="宋体" w:hAnsi="宋体" w:cs="宋体"/>
                <w:sz w:val="18"/>
                <w:szCs w:val="18"/>
              </w:rPr>
              <w:t>不适用</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rPr>
                <w:rFonts w:ascii="宋体" w:eastAsia="宋体" w:hAnsi="宋体" w:cs="宋体"/>
                <w:sz w:val="18"/>
                <w:szCs w:val="18"/>
              </w:rPr>
            </w:pPr>
            <w:r>
              <w:rPr>
                <w:rFonts w:ascii="宋体" w:eastAsia="宋体" w:hAnsi="宋体" w:cs="宋体"/>
                <w:sz w:val="18"/>
                <w:szCs w:val="18"/>
              </w:rPr>
              <w:t>不适用</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rPr>
                <w:rFonts w:ascii="宋体" w:eastAsia="宋体" w:hAnsi="宋体" w:cs="宋体"/>
                <w:sz w:val="18"/>
                <w:szCs w:val="18"/>
              </w:rPr>
            </w:pPr>
            <w:r>
              <w:rPr>
                <w:rFonts w:ascii="宋体" w:eastAsia="宋体" w:hAnsi="宋体" w:cs="宋体"/>
                <w:sz w:val="18"/>
                <w:szCs w:val="18"/>
              </w:rPr>
              <w:t>不适用</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rPr>
                <w:rFonts w:ascii="宋体" w:eastAsia="宋体" w:hAnsi="宋体" w:cs="宋体"/>
                <w:sz w:val="18"/>
                <w:szCs w:val="18"/>
              </w:rPr>
            </w:pPr>
            <w:r>
              <w:rPr>
                <w:rFonts w:ascii="宋体" w:eastAsia="宋体" w:hAnsi="宋体" w:cs="宋体"/>
                <w:sz w:val="18"/>
                <w:szCs w:val="18"/>
              </w:rPr>
              <w:t>不适用</w:t>
            </w:r>
          </w:p>
        </w:tc>
        <w:tc>
          <w:tcPr>
            <w:tcW w:w="879"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rPr>
                <w:rFonts w:ascii="宋体" w:eastAsia="宋体" w:hAnsi="宋体" w:cs="宋体"/>
                <w:sz w:val="18"/>
                <w:szCs w:val="18"/>
              </w:rPr>
            </w:pPr>
            <w:r>
              <w:rPr>
                <w:rFonts w:ascii="宋体" w:eastAsia="宋体" w:hAnsi="宋体" w:cs="宋体"/>
                <w:sz w:val="18"/>
                <w:szCs w:val="18"/>
              </w:rPr>
              <w:t>是</w:t>
            </w:r>
          </w:p>
        </w:tc>
      </w:tr>
      <w:tr w:rsidR="00CC38FA" w:rsidTr="00CC38FA">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rPr>
                <w:rFonts w:ascii="宋体" w:eastAsia="宋体" w:hAnsi="宋体" w:cs="宋体"/>
                <w:sz w:val="18"/>
                <w:szCs w:val="18"/>
              </w:rPr>
            </w:pPr>
            <w:r>
              <w:rPr>
                <w:rFonts w:ascii="宋体" w:eastAsia="宋体" w:hAnsi="宋体" w:cs="宋体"/>
                <w:sz w:val="18"/>
                <w:szCs w:val="18"/>
              </w:rPr>
              <w:t>工业及服务机器人、智能物流系统产业化基地二期</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jc w:val="right"/>
              <w:rPr>
                <w:rFonts w:ascii="宋体" w:eastAsia="宋体" w:hAnsi="宋体" w:cs="宋体"/>
                <w:sz w:val="18"/>
                <w:szCs w:val="18"/>
              </w:rPr>
            </w:pPr>
            <w:r>
              <w:rPr>
                <w:rFonts w:ascii="宋体" w:eastAsia="宋体" w:hAnsi="宋体" w:cs="宋体"/>
                <w:sz w:val="18"/>
                <w:szCs w:val="18"/>
              </w:rPr>
              <w:t>37,002.64</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6" w:type="dxa"/>
            <w:vMerge/>
            <w:tcBorders>
              <w:left w:val="single" w:sz="2" w:space="0" w:color="auto"/>
              <w:bottom w:val="single" w:sz="2" w:space="0" w:color="auto"/>
              <w:right w:val="single" w:sz="2" w:space="0" w:color="auto"/>
            </w:tcBorders>
            <w:vAlign w:val="center"/>
          </w:tcPr>
          <w:p w:rsidR="00CC38FA" w:rsidRDefault="00CC38FA" w:rsidP="00CC38FA">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rPr>
                <w:rFonts w:ascii="宋体" w:eastAsia="宋体" w:hAnsi="宋体" w:cs="宋体"/>
                <w:sz w:val="18"/>
                <w:szCs w:val="18"/>
              </w:rPr>
            </w:pPr>
            <w:r>
              <w:rPr>
                <w:rFonts w:ascii="宋体" w:eastAsia="宋体" w:hAnsi="宋体" w:cs="宋体"/>
                <w:sz w:val="18"/>
                <w:szCs w:val="18"/>
              </w:rPr>
              <w:t>不适用</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rPr>
                <w:rFonts w:ascii="宋体" w:eastAsia="宋体" w:hAnsi="宋体" w:cs="宋体"/>
                <w:sz w:val="18"/>
                <w:szCs w:val="18"/>
              </w:rPr>
            </w:pPr>
            <w:r>
              <w:rPr>
                <w:rFonts w:ascii="宋体" w:eastAsia="宋体" w:hAnsi="宋体" w:cs="宋体"/>
                <w:sz w:val="18"/>
                <w:szCs w:val="18"/>
              </w:rPr>
              <w:t>不适用</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rPr>
                <w:rFonts w:ascii="宋体" w:eastAsia="宋体" w:hAnsi="宋体" w:cs="宋体"/>
                <w:sz w:val="18"/>
                <w:szCs w:val="18"/>
              </w:rPr>
            </w:pPr>
            <w:r>
              <w:rPr>
                <w:rFonts w:ascii="宋体" w:eastAsia="宋体" w:hAnsi="宋体" w:cs="宋体"/>
                <w:sz w:val="18"/>
                <w:szCs w:val="18"/>
              </w:rPr>
              <w:t>不适用</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rPr>
                <w:rFonts w:ascii="宋体" w:eastAsia="宋体" w:hAnsi="宋体" w:cs="宋体"/>
                <w:sz w:val="18"/>
                <w:szCs w:val="18"/>
              </w:rPr>
            </w:pPr>
            <w:r>
              <w:rPr>
                <w:rFonts w:ascii="宋体" w:eastAsia="宋体" w:hAnsi="宋体" w:cs="宋体"/>
                <w:sz w:val="18"/>
                <w:szCs w:val="18"/>
              </w:rPr>
              <w:t>不适用</w:t>
            </w:r>
          </w:p>
        </w:tc>
        <w:tc>
          <w:tcPr>
            <w:tcW w:w="879"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rPr>
                <w:rFonts w:ascii="宋体" w:eastAsia="宋体" w:hAnsi="宋体" w:cs="宋体"/>
                <w:sz w:val="18"/>
                <w:szCs w:val="18"/>
              </w:rPr>
            </w:pPr>
            <w:r>
              <w:rPr>
                <w:rFonts w:ascii="宋体" w:eastAsia="宋体" w:hAnsi="宋体" w:cs="宋体"/>
                <w:sz w:val="18"/>
                <w:szCs w:val="18"/>
              </w:rPr>
              <w:t>是</w:t>
            </w:r>
          </w:p>
        </w:tc>
      </w:tr>
      <w:tr w:rsidR="00CC38FA" w:rsidTr="00CC38FA">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rPr>
                <w:rFonts w:ascii="宋体" w:eastAsia="宋体" w:hAnsi="宋体" w:cs="宋体"/>
                <w:sz w:val="18"/>
                <w:szCs w:val="18"/>
              </w:rPr>
            </w:pPr>
            <w:r>
              <w:rPr>
                <w:rFonts w:ascii="宋体" w:eastAsia="宋体" w:hAnsi="宋体" w:cs="宋体"/>
                <w:sz w:val="18"/>
                <w:szCs w:val="18"/>
              </w:rPr>
              <w:t>轮胎智慧工厂研发中心</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jc w:val="right"/>
              <w:rPr>
                <w:rFonts w:ascii="宋体" w:eastAsia="宋体" w:hAnsi="宋体" w:cs="宋体"/>
                <w:sz w:val="18"/>
                <w:szCs w:val="18"/>
              </w:rPr>
            </w:pPr>
            <w:r>
              <w:rPr>
                <w:rFonts w:ascii="宋体" w:eastAsia="宋体" w:hAnsi="宋体" w:cs="宋体"/>
                <w:sz w:val="18"/>
                <w:szCs w:val="18"/>
              </w:rPr>
              <w:t>24,306.09</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jc w:val="right"/>
              <w:rPr>
                <w:rFonts w:ascii="宋体" w:eastAsia="宋体" w:hAnsi="宋体" w:cs="宋体"/>
                <w:sz w:val="18"/>
                <w:szCs w:val="18"/>
              </w:rPr>
            </w:pPr>
            <w:r>
              <w:rPr>
                <w:rFonts w:ascii="宋体" w:eastAsia="宋体" w:hAnsi="宋体" w:cs="宋体"/>
                <w:sz w:val="18"/>
                <w:szCs w:val="18"/>
              </w:rPr>
              <w:t>2,427.11</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rPr>
                <w:rFonts w:ascii="宋体" w:eastAsia="宋体" w:hAnsi="宋体" w:cs="宋体"/>
                <w:sz w:val="18"/>
                <w:szCs w:val="18"/>
              </w:rPr>
            </w:pPr>
            <w:r>
              <w:rPr>
                <w:rFonts w:ascii="宋体" w:eastAsia="宋体" w:hAnsi="宋体" w:cs="宋体"/>
                <w:sz w:val="18"/>
                <w:szCs w:val="18"/>
              </w:rPr>
              <w:t>不适用</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rPr>
                <w:rFonts w:ascii="宋体" w:eastAsia="宋体" w:hAnsi="宋体" w:cs="宋体"/>
                <w:sz w:val="18"/>
                <w:szCs w:val="18"/>
              </w:rPr>
            </w:pPr>
            <w:r>
              <w:rPr>
                <w:rFonts w:ascii="宋体" w:eastAsia="宋体" w:hAnsi="宋体" w:cs="宋体"/>
                <w:sz w:val="18"/>
                <w:szCs w:val="18"/>
              </w:rPr>
              <w:t>不适用</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rPr>
                <w:rFonts w:ascii="宋体" w:eastAsia="宋体" w:hAnsi="宋体" w:cs="宋体"/>
                <w:sz w:val="18"/>
                <w:szCs w:val="18"/>
              </w:rPr>
            </w:pPr>
            <w:r>
              <w:rPr>
                <w:rFonts w:ascii="宋体" w:eastAsia="宋体" w:hAnsi="宋体" w:cs="宋体"/>
                <w:sz w:val="18"/>
                <w:szCs w:val="18"/>
              </w:rPr>
              <w:t>不适用</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rPr>
                <w:rFonts w:ascii="宋体" w:eastAsia="宋体" w:hAnsi="宋体" w:cs="宋体"/>
                <w:sz w:val="18"/>
                <w:szCs w:val="18"/>
              </w:rPr>
            </w:pPr>
            <w:r>
              <w:rPr>
                <w:rFonts w:ascii="宋体" w:eastAsia="宋体" w:hAnsi="宋体" w:cs="宋体"/>
                <w:sz w:val="18"/>
                <w:szCs w:val="18"/>
              </w:rPr>
              <w:t>不适用</w:t>
            </w:r>
          </w:p>
        </w:tc>
        <w:tc>
          <w:tcPr>
            <w:tcW w:w="879"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rPr>
                <w:rFonts w:ascii="宋体" w:eastAsia="宋体" w:hAnsi="宋体" w:cs="宋体"/>
                <w:sz w:val="18"/>
                <w:szCs w:val="18"/>
              </w:rPr>
            </w:pPr>
            <w:r>
              <w:rPr>
                <w:rFonts w:ascii="宋体" w:eastAsia="宋体" w:hAnsi="宋体" w:cs="宋体"/>
                <w:sz w:val="18"/>
                <w:szCs w:val="18"/>
              </w:rPr>
              <w:t>是</w:t>
            </w:r>
          </w:p>
        </w:tc>
      </w:tr>
      <w:tr w:rsidR="00CC38FA" w:rsidTr="00CC38FA">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rPr>
                <w:rFonts w:ascii="宋体" w:eastAsia="宋体" w:hAnsi="宋体" w:cs="宋体"/>
                <w:sz w:val="18"/>
                <w:szCs w:val="18"/>
              </w:rPr>
            </w:pPr>
            <w:r>
              <w:rPr>
                <w:rFonts w:ascii="宋体" w:eastAsia="宋体" w:hAnsi="宋体" w:cs="宋体"/>
                <w:sz w:val="18"/>
                <w:szCs w:val="18"/>
              </w:rPr>
              <w:t>智能轮胎应用技术中心</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jc w:val="right"/>
              <w:rPr>
                <w:rFonts w:ascii="宋体" w:eastAsia="宋体" w:hAnsi="宋体" w:cs="宋体"/>
                <w:sz w:val="18"/>
                <w:szCs w:val="18"/>
              </w:rPr>
            </w:pPr>
            <w:r>
              <w:rPr>
                <w:rFonts w:ascii="宋体" w:eastAsia="宋体" w:hAnsi="宋体" w:cs="宋体"/>
                <w:sz w:val="18"/>
                <w:szCs w:val="18"/>
              </w:rPr>
              <w:t>14,316.7</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rPr>
                <w:rFonts w:ascii="宋体" w:eastAsia="宋体" w:hAnsi="宋体" w:cs="宋体"/>
                <w:sz w:val="18"/>
                <w:szCs w:val="18"/>
              </w:rPr>
            </w:pPr>
            <w:r>
              <w:rPr>
                <w:rFonts w:ascii="宋体" w:eastAsia="宋体" w:hAnsi="宋体" w:cs="宋体"/>
                <w:sz w:val="18"/>
                <w:szCs w:val="18"/>
              </w:rPr>
              <w:t>不适用</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rPr>
                <w:rFonts w:ascii="宋体" w:eastAsia="宋体" w:hAnsi="宋体" w:cs="宋体"/>
                <w:sz w:val="18"/>
                <w:szCs w:val="18"/>
              </w:rPr>
            </w:pPr>
            <w:r>
              <w:rPr>
                <w:rFonts w:ascii="宋体" w:eastAsia="宋体" w:hAnsi="宋体" w:cs="宋体"/>
                <w:sz w:val="18"/>
                <w:szCs w:val="18"/>
              </w:rPr>
              <w:t>不适用</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rPr>
                <w:rFonts w:ascii="宋体" w:eastAsia="宋体" w:hAnsi="宋体" w:cs="宋体"/>
                <w:sz w:val="18"/>
                <w:szCs w:val="18"/>
              </w:rPr>
            </w:pPr>
            <w:r>
              <w:rPr>
                <w:rFonts w:ascii="宋体" w:eastAsia="宋体" w:hAnsi="宋体" w:cs="宋体"/>
                <w:sz w:val="18"/>
                <w:szCs w:val="18"/>
              </w:rPr>
              <w:t>不适用</w:t>
            </w:r>
          </w:p>
        </w:tc>
        <w:tc>
          <w:tcPr>
            <w:tcW w:w="876"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rPr>
                <w:rFonts w:ascii="宋体" w:eastAsia="宋体" w:hAnsi="宋体" w:cs="宋体"/>
                <w:sz w:val="18"/>
                <w:szCs w:val="18"/>
              </w:rPr>
            </w:pPr>
            <w:r>
              <w:rPr>
                <w:rFonts w:ascii="宋体" w:eastAsia="宋体" w:hAnsi="宋体" w:cs="宋体"/>
                <w:sz w:val="18"/>
                <w:szCs w:val="18"/>
              </w:rPr>
              <w:t>不适用</w:t>
            </w:r>
          </w:p>
        </w:tc>
        <w:tc>
          <w:tcPr>
            <w:tcW w:w="879" w:type="dxa"/>
            <w:tcBorders>
              <w:top w:val="single" w:sz="2" w:space="0" w:color="auto"/>
              <w:left w:val="single" w:sz="2" w:space="0" w:color="auto"/>
              <w:bottom w:val="single" w:sz="2" w:space="0" w:color="auto"/>
              <w:right w:val="single" w:sz="2" w:space="0" w:color="auto"/>
            </w:tcBorders>
            <w:vAlign w:val="center"/>
          </w:tcPr>
          <w:p w:rsidR="00CC38FA" w:rsidRDefault="00CC38FA" w:rsidP="00CC38FA">
            <w:pPr>
              <w:spacing w:line="240" w:lineRule="exact"/>
              <w:rPr>
                <w:rFonts w:ascii="宋体" w:eastAsia="宋体" w:hAnsi="宋体" w:cs="宋体"/>
                <w:sz w:val="18"/>
                <w:szCs w:val="18"/>
              </w:rPr>
            </w:pPr>
            <w:r>
              <w:rPr>
                <w:rFonts w:ascii="宋体" w:eastAsia="宋体" w:hAnsi="宋体" w:cs="宋体"/>
                <w:sz w:val="18"/>
                <w:szCs w:val="18"/>
              </w:rPr>
              <w:t>是</w:t>
            </w:r>
          </w:p>
        </w:tc>
      </w:tr>
      <w:tr w:rsidR="007F3A90" w:rsidTr="00CC38FA">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碳五低碳综合利用绿色新材料项目</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40,888.77</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1,182.09</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35,474.3</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86.76%</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hint="eastAsia"/>
                <w:sz w:val="18"/>
                <w:szCs w:val="18"/>
              </w:rPr>
              <w:t>无</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hint="eastAsia"/>
                <w:sz w:val="18"/>
                <w:szCs w:val="18"/>
              </w:rPr>
              <w:t>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rsidTr="00CC38FA">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承诺投资项目小计</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124,582.05</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40,888.77</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1,182.09</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128,991.41</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87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r w:rsidR="007F3A90">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超募资金投向</w:t>
            </w:r>
          </w:p>
        </w:tc>
      </w:tr>
      <w:tr w:rsidR="007F3A90" w:rsidTr="00CC38FA">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不适用</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不适用</w:t>
            </w:r>
          </w:p>
        </w:tc>
        <w:tc>
          <w:tcPr>
            <w:tcW w:w="87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rsidTr="00CC38FA">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124,582.05</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40,888.77</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1,182.09</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128,991.41</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87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分项目说明未达到计划进度、预计收益的情况和原因（含“是否达到预计效益”选</w:t>
            </w:r>
            <w:r>
              <w:rPr>
                <w:rFonts w:ascii="宋体" w:eastAsia="宋体" w:hAnsi="宋体" w:cs="宋体"/>
                <w:sz w:val="18"/>
                <w:szCs w:val="18"/>
              </w:rPr>
              <w:lastRenderedPageBreak/>
              <w:t>择“不适用”的原因）</w:t>
            </w:r>
          </w:p>
        </w:tc>
        <w:tc>
          <w:tcPr>
            <w:tcW w:w="8763" w:type="dxa"/>
            <w:gridSpan w:val="10"/>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lastRenderedPageBreak/>
              <w:t>1、公司取消了 “工业及服务机器人、智能物流系统产业化基地二期”、“轮胎装备智能制造基地”两个募投项目，并将其募集资金及利息收入、理财收入变更用途，用于偿还公司债券及银行贷款。</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2、公司取消了“轮胎智慧工厂研发中心”、“智能轮胎应用技术中心”两个募投项目，并将其募集资金及利息收入、理财收入变更用途，用于碳五低碳综合利用绿色新材料项目。</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3、公司目前募投项目“碳五低碳综合利用绿色新材料项目”，由于政府前置手续制约，及地处盘锦冬季低温无法施工的原因，原本计划于2023年完成施工，现预计于2024年年底前完工。</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lastRenderedPageBreak/>
              <w:t>项目可行性发生重大变化的情况说明</w:t>
            </w:r>
          </w:p>
        </w:tc>
        <w:tc>
          <w:tcPr>
            <w:tcW w:w="8763" w:type="dxa"/>
            <w:gridSpan w:val="10"/>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因公司及全资子公司转让青岛科捷机器人有限公司86.34%的股权，青岛科捷机器人有限公司系“工业及服务机器人、智能物流系统产业化基地二期”项目实施主体，因此公司于2017年11月22日召开第六届董事会第十二次会议，以7票同意，0 票反对，0 票弃权审议通过了《关于签署股权转让协议暨取消“工业机器人及智能物流系统产业化基地二期”募投项目的议案》，该项议案已经2017年第四次临时股东大会审议通过，独立董事也发表了同意的意见。“工业及服务机器人、智能物流系统产业化基地二期”募投项目取消。</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2、经过多年的较快增长，我国橡胶机械行业的增长速度近几年放缓。2018年以来经济全球化遭遇波折、中美贸易摩擦不断、国内经济增速持续放缓、国内汽车产销量较上年出现下滑，橡胶机械行业面临了诸多压力。在当时的行业发展趋势和客观环境下，若盲目加大投入，资产加重，将导致公司折旧摊销费用等大幅增加，较大影响公司经营业绩。因此公司于2019年2月22日召开第六届董事会第二十次会议，以7票同意，0 票反对，0 票弃权审议通过了《关于终止部分募投项目并变更部分募集资金用于偿还公司债券及银行贷款的议案》，该项议案已经2019年第一次临时股东大会审议通过，独立董事也发表了同意的意见。“轮胎装备智能制造基地”募投项目取消，同时将“工业及服务机器人、智能物流系统产业化基地二期”、“轮胎装备智能制造基地”募投项目的募集资金及利息收入、理财收入所形成的全部金额（以资金转出当日银行结息后实际金额为准）用于偿还公司债券及银行贷款。其中公司将变更后募集资金中的59,959.26万元及利息收入、理财收入所形成的全部金额偿还“16软控01”公司债；变更后募集资金中的26,000.00万元及利息收入、理财收入所形成的全部金额用于偿还公司部分银行贷款。</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3、经济全球化遭遇波折、中美贸易摩擦不断、国内经济增速持续放缓、国内汽车产销量较往年出现下滑，橡胶机械行业面临了诸多压力。在当时行业发展趋势和客观环境下，若盲目加大投入，资产加重，将导致公司折旧摊销费用等大幅增加，较大影响公司经营业绩。因此公司于2022年4月22日召开第七届董事会第十九次会议及第七届监事会第十七次会议，审议通过《关于变更募集资金用途的议案》，终止使用募集资金投入“轮胎智慧工厂研发中心”项目及“智能轮胎应用技术中心”项目。原项目剩余未使用的募集资金将用于投入开展“碳五低碳综合利用绿色新材料项目”。</w:t>
            </w:r>
          </w:p>
        </w:tc>
      </w:tr>
      <w:tr w:rsidR="007F3A90">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超募资金的金额、用途及使用进展情况</w:t>
            </w:r>
          </w:p>
        </w:tc>
        <w:tc>
          <w:tcPr>
            <w:tcW w:w="8763" w:type="dxa"/>
            <w:gridSpan w:val="10"/>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不适用</w:t>
            </w:r>
          </w:p>
        </w:tc>
      </w:tr>
      <w:tr w:rsidR="007F3A90">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募集资金投资项目实施地点变更情况</w:t>
            </w:r>
          </w:p>
        </w:tc>
        <w:tc>
          <w:tcPr>
            <w:tcW w:w="8763" w:type="dxa"/>
            <w:gridSpan w:val="10"/>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适用</w:t>
            </w:r>
          </w:p>
        </w:tc>
      </w:tr>
      <w:tr w:rsidR="007F3A90">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3" w:type="dxa"/>
            <w:gridSpan w:val="10"/>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以前年度发生</w:t>
            </w:r>
          </w:p>
        </w:tc>
      </w:tr>
      <w:tr w:rsidR="007F3A90">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3" w:type="dxa"/>
            <w:gridSpan w:val="10"/>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原募投项目的实施地点为山东青岛，2022年变更后的募投项目实施地点为辽宁盘锦辽滨沿海经济技术开发区</w:t>
            </w:r>
          </w:p>
        </w:tc>
      </w:tr>
      <w:tr w:rsidR="007F3A90">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募集资金投资项目实施方式调整情况</w:t>
            </w:r>
          </w:p>
        </w:tc>
        <w:tc>
          <w:tcPr>
            <w:tcW w:w="8763" w:type="dxa"/>
            <w:gridSpan w:val="10"/>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适用</w:t>
            </w:r>
          </w:p>
        </w:tc>
      </w:tr>
      <w:tr w:rsidR="007F3A90">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3" w:type="dxa"/>
            <w:gridSpan w:val="10"/>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以前年度发生</w:t>
            </w:r>
          </w:p>
        </w:tc>
      </w:tr>
      <w:tr w:rsidR="007F3A90">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3" w:type="dxa"/>
            <w:gridSpan w:val="10"/>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公司于2022年4月22日召开第七届董事会第十九次会议及第七届监事会第十七次会议，审议通过《关于变更募集资金用途的议案》，终止使用募集资金投入“轮胎智慧工厂研发中心”项目及“智能轮胎应用技术中心”项目。原项目剩余未使用的募集资金将用于投入开展“碳五低碳综合利用绿色新材料项目”。</w:t>
            </w:r>
          </w:p>
        </w:tc>
      </w:tr>
      <w:tr w:rsidR="007F3A90">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募集资金投资项目先期投入及置换情况</w:t>
            </w:r>
          </w:p>
        </w:tc>
        <w:tc>
          <w:tcPr>
            <w:tcW w:w="8763" w:type="dxa"/>
            <w:gridSpan w:val="10"/>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不适用</w:t>
            </w:r>
          </w:p>
        </w:tc>
      </w:tr>
      <w:tr w:rsidR="007F3A90">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用闲置募集资金暂时补充流动资金情况</w:t>
            </w:r>
          </w:p>
        </w:tc>
        <w:tc>
          <w:tcPr>
            <w:tcW w:w="8763" w:type="dxa"/>
            <w:gridSpan w:val="10"/>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不适用</w:t>
            </w:r>
          </w:p>
        </w:tc>
      </w:tr>
      <w:tr w:rsidR="007F3A90">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lastRenderedPageBreak/>
              <w:t>项目实施出现募集资金结余的金额及原因</w:t>
            </w:r>
          </w:p>
        </w:tc>
        <w:tc>
          <w:tcPr>
            <w:tcW w:w="8763" w:type="dxa"/>
            <w:gridSpan w:val="10"/>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不适用</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尚未使用的募集资金用途及去向</w:t>
            </w:r>
          </w:p>
        </w:tc>
        <w:tc>
          <w:tcPr>
            <w:tcW w:w="8763" w:type="dxa"/>
            <w:gridSpan w:val="10"/>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截至2024年6月30日，公司募集资金全部放于募集资金专户中。</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募集资金使用及披露中存在的问题或其他情况</w:t>
            </w:r>
          </w:p>
        </w:tc>
        <w:tc>
          <w:tcPr>
            <w:tcW w:w="8763" w:type="dxa"/>
            <w:gridSpan w:val="10"/>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公司于2022年5月27日召开第八届董事会第一次会议和第八届监事会第一次会议,分别审议通过了《关于使用部分暂时闲置募集资金进行现金管理的议案》，该次使用募集资金进行现金管理的授权有效期为第八届董事会第一次会议授权之日起12个月内有效。在上述有效期之外，在未经董事会授权情况下，公司使用部分暂时闲置募集资金15,000万元进行现金管理，公司于2023年8月28日召开第八届董事会第十一次会议、第八届监事会第十三次会议审议《关于使用部分暂时闲置募集资金进行现金管理及追认使用部分闲置募集资金进行现金管理的议案》，董事会对超过授权期限使用暂时闲置募集资金现金管理的情况进行了追认，《关于使用部分暂时闲置募集资金进行现金管理及追认使用部分闲置募集资金进行现金管理的公告》详见巨潮资讯网（http://www.cninfo.com.cn）及《证券时报》《中国证券报》《上海证券报》《证券日报》。</w:t>
            </w:r>
          </w:p>
        </w:tc>
      </w:tr>
    </w:tbl>
    <w:p w:rsidR="007F3A90" w:rsidRDefault="00CC38FA">
      <w:pPr>
        <w:keepNext/>
        <w:keepLines/>
        <w:spacing w:before="300" w:after="300" w:line="280" w:lineRule="exact"/>
        <w:outlineLvl w:val="3"/>
        <w:rPr>
          <w:rFonts w:ascii="宋体" w:eastAsia="宋体" w:hAnsi="宋体" w:cs="宋体"/>
          <w:b/>
          <w:bCs/>
          <w:sz w:val="18"/>
          <w:szCs w:val="18"/>
        </w:rPr>
      </w:pPr>
      <w:bookmarkStart w:id="33" w:name="_Toc988922"/>
      <w:r>
        <w:rPr>
          <w:rFonts w:ascii="宋体" w:eastAsia="宋体" w:hAnsi="宋体" w:cs="宋体"/>
          <w:b/>
          <w:bCs/>
          <w:sz w:val="18"/>
          <w:szCs w:val="18"/>
        </w:rPr>
        <w:t>（3） 募集资金变更项目情况</w:t>
      </w:r>
      <w:bookmarkEnd w:id="33"/>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公司报告期不存在募集资金变更项目情况。</w:t>
      </w:r>
    </w:p>
    <w:p w:rsidR="007F3A90" w:rsidRDefault="00CC38FA">
      <w:pPr>
        <w:pStyle w:val="2"/>
        <w:spacing w:before="300" w:after="300" w:line="320" w:lineRule="exact"/>
        <w:rPr>
          <w:rFonts w:ascii="宋体" w:eastAsia="宋体" w:hAnsi="宋体" w:cs="宋体"/>
          <w:b/>
          <w:bCs/>
          <w:sz w:val="24"/>
          <w:szCs w:val="24"/>
        </w:rPr>
      </w:pPr>
      <w:bookmarkStart w:id="34" w:name="_Toc988923"/>
      <w:r>
        <w:rPr>
          <w:rFonts w:ascii="宋体" w:eastAsia="宋体" w:hAnsi="宋体" w:cs="宋体"/>
          <w:b/>
          <w:bCs/>
          <w:sz w:val="24"/>
          <w:szCs w:val="24"/>
        </w:rPr>
        <w:t>七、重大资产和股权出售</w:t>
      </w:r>
      <w:bookmarkEnd w:id="34"/>
    </w:p>
    <w:p w:rsidR="007F3A90" w:rsidRDefault="00CC38FA">
      <w:pPr>
        <w:pStyle w:val="3"/>
        <w:spacing w:line="280" w:lineRule="exact"/>
        <w:jc w:val="left"/>
        <w:rPr>
          <w:rFonts w:ascii="宋体" w:hAnsi="宋体" w:cs="宋体"/>
          <w:b/>
          <w:bCs/>
        </w:rPr>
      </w:pPr>
      <w:bookmarkStart w:id="35" w:name="_Toc988924"/>
      <w:r>
        <w:rPr>
          <w:rFonts w:ascii="宋体" w:hAnsi="宋体" w:cs="宋体"/>
          <w:b/>
          <w:bCs/>
        </w:rPr>
        <w:t>1、出售重大资产情况</w:t>
      </w:r>
      <w:bookmarkEnd w:id="35"/>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公司报告期未出售重大资产。</w:t>
      </w:r>
    </w:p>
    <w:p w:rsidR="007F3A90" w:rsidRDefault="00CC38FA">
      <w:pPr>
        <w:pStyle w:val="3"/>
        <w:spacing w:line="280" w:lineRule="exact"/>
        <w:jc w:val="left"/>
        <w:rPr>
          <w:rFonts w:ascii="宋体" w:hAnsi="宋体" w:cs="宋体"/>
          <w:b/>
          <w:bCs/>
        </w:rPr>
      </w:pPr>
      <w:bookmarkStart w:id="36" w:name="_Toc988925"/>
      <w:r>
        <w:rPr>
          <w:rFonts w:ascii="宋体" w:hAnsi="宋体" w:cs="宋体"/>
          <w:b/>
          <w:bCs/>
        </w:rPr>
        <w:t>2、出售重大股权情况</w:t>
      </w:r>
      <w:bookmarkEnd w:id="36"/>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pStyle w:val="2"/>
        <w:spacing w:before="300" w:after="300" w:line="320" w:lineRule="exact"/>
        <w:rPr>
          <w:rFonts w:ascii="宋体" w:eastAsia="宋体" w:hAnsi="宋体" w:cs="宋体"/>
          <w:b/>
          <w:bCs/>
          <w:sz w:val="24"/>
          <w:szCs w:val="24"/>
        </w:rPr>
      </w:pPr>
      <w:bookmarkStart w:id="37" w:name="_Toc988926"/>
      <w:r>
        <w:rPr>
          <w:rFonts w:ascii="宋体" w:eastAsia="宋体" w:hAnsi="宋体" w:cs="宋体"/>
          <w:b/>
          <w:bCs/>
          <w:sz w:val="24"/>
          <w:szCs w:val="24"/>
        </w:rPr>
        <w:t>八、主要控股参股公司分析</w:t>
      </w:r>
      <w:bookmarkEnd w:id="37"/>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主要子公司及对公司净利润影响达10%以上的参股公司情况</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526"/>
        <w:gridCol w:w="992"/>
        <w:gridCol w:w="695"/>
        <w:gridCol w:w="1071"/>
        <w:gridCol w:w="1071"/>
        <w:gridCol w:w="1071"/>
        <w:gridCol w:w="1071"/>
        <w:gridCol w:w="1071"/>
        <w:gridCol w:w="1071"/>
      </w:tblGrid>
      <w:tr w:rsidR="007F3A90" w:rsidTr="003C7507">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公司名称</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公司类型</w:t>
            </w:r>
          </w:p>
        </w:tc>
        <w:tc>
          <w:tcPr>
            <w:tcW w:w="69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主要业务</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注册资本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总资产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净资产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营业利润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净利润</w:t>
            </w:r>
          </w:p>
        </w:tc>
      </w:tr>
      <w:tr w:rsidR="003C7507" w:rsidTr="003C7507">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992"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rPr>
                <w:rFonts w:ascii="宋体" w:eastAsia="宋体" w:hAnsi="宋体" w:cs="宋体"/>
                <w:sz w:val="18"/>
                <w:szCs w:val="18"/>
              </w:rPr>
            </w:pPr>
            <w:r>
              <w:rPr>
                <w:rFonts w:ascii="宋体" w:eastAsia="宋体" w:hAnsi="宋体" w:cs="宋体"/>
                <w:sz w:val="18"/>
                <w:szCs w:val="18"/>
              </w:rPr>
              <w:t>子公司</w:t>
            </w:r>
          </w:p>
        </w:tc>
        <w:tc>
          <w:tcPr>
            <w:tcW w:w="695" w:type="dxa"/>
            <w:vMerge w:val="restart"/>
            <w:tcBorders>
              <w:top w:val="single" w:sz="2" w:space="0" w:color="auto"/>
              <w:left w:val="single" w:sz="2" w:space="0" w:color="auto"/>
              <w:right w:val="single" w:sz="2" w:space="0" w:color="auto"/>
            </w:tcBorders>
            <w:vAlign w:val="center"/>
          </w:tcPr>
          <w:p w:rsidR="003C7507" w:rsidRPr="003C7507" w:rsidRDefault="003C7507" w:rsidP="00BD0CDC">
            <w:pPr>
              <w:spacing w:line="240" w:lineRule="exact"/>
              <w:rPr>
                <w:rFonts w:ascii="宋体" w:eastAsia="宋体" w:hAnsi="宋体" w:cs="宋体"/>
                <w:sz w:val="18"/>
                <w:szCs w:val="18"/>
              </w:rPr>
            </w:pPr>
            <w:r>
              <w:rPr>
                <w:rFonts w:ascii="宋体" w:eastAsia="宋体" w:hAnsi="宋体" w:cs="宋体"/>
                <w:sz w:val="18"/>
                <w:szCs w:val="18"/>
              </w:rPr>
              <w:t>同营业执照的“营业范围”</w:t>
            </w:r>
          </w:p>
        </w:tc>
        <w:tc>
          <w:tcPr>
            <w:tcW w:w="1071"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rPr>
                <w:rFonts w:ascii="宋体" w:eastAsia="宋体" w:hAnsi="宋体" w:cs="宋体"/>
                <w:sz w:val="18"/>
                <w:szCs w:val="18"/>
              </w:rPr>
            </w:pPr>
            <w:r>
              <w:rPr>
                <w:rFonts w:ascii="宋体" w:eastAsia="宋体" w:hAnsi="宋体" w:cs="宋体"/>
                <w:sz w:val="18"/>
                <w:szCs w:val="18"/>
              </w:rPr>
              <w:t>1,200,000,000.00</w:t>
            </w:r>
          </w:p>
        </w:tc>
        <w:tc>
          <w:tcPr>
            <w:tcW w:w="1071"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jc w:val="right"/>
              <w:rPr>
                <w:rFonts w:ascii="宋体" w:eastAsia="宋体" w:hAnsi="宋体" w:cs="宋体"/>
                <w:sz w:val="18"/>
                <w:szCs w:val="18"/>
              </w:rPr>
            </w:pPr>
            <w:r>
              <w:rPr>
                <w:rFonts w:ascii="宋体" w:eastAsia="宋体" w:hAnsi="宋体" w:cs="宋体"/>
                <w:sz w:val="18"/>
                <w:szCs w:val="18"/>
              </w:rPr>
              <w:t>9,557,262,910.47</w:t>
            </w:r>
          </w:p>
        </w:tc>
        <w:tc>
          <w:tcPr>
            <w:tcW w:w="1071"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jc w:val="right"/>
              <w:rPr>
                <w:rFonts w:ascii="宋体" w:eastAsia="宋体" w:hAnsi="宋体" w:cs="宋体"/>
                <w:sz w:val="18"/>
                <w:szCs w:val="18"/>
              </w:rPr>
            </w:pPr>
            <w:r>
              <w:rPr>
                <w:rFonts w:ascii="宋体" w:eastAsia="宋体" w:hAnsi="宋体" w:cs="宋体"/>
                <w:sz w:val="18"/>
                <w:szCs w:val="18"/>
              </w:rPr>
              <w:t>2,686,763,151.73</w:t>
            </w:r>
          </w:p>
        </w:tc>
        <w:tc>
          <w:tcPr>
            <w:tcW w:w="1071"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jc w:val="right"/>
              <w:rPr>
                <w:rFonts w:ascii="宋体" w:eastAsia="宋体" w:hAnsi="宋体" w:cs="宋体"/>
                <w:sz w:val="18"/>
                <w:szCs w:val="18"/>
              </w:rPr>
            </w:pPr>
            <w:r>
              <w:rPr>
                <w:rFonts w:ascii="宋体" w:eastAsia="宋体" w:hAnsi="宋体" w:cs="宋体"/>
                <w:sz w:val="18"/>
                <w:szCs w:val="18"/>
              </w:rPr>
              <w:t>1,475,453,328.20</w:t>
            </w:r>
          </w:p>
        </w:tc>
        <w:tc>
          <w:tcPr>
            <w:tcW w:w="1071"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jc w:val="right"/>
              <w:rPr>
                <w:rFonts w:ascii="宋体" w:eastAsia="宋体" w:hAnsi="宋体" w:cs="宋体"/>
                <w:sz w:val="18"/>
                <w:szCs w:val="18"/>
              </w:rPr>
            </w:pPr>
            <w:r>
              <w:rPr>
                <w:rFonts w:ascii="宋体" w:eastAsia="宋体" w:hAnsi="宋体" w:cs="宋体"/>
                <w:sz w:val="18"/>
                <w:szCs w:val="18"/>
              </w:rPr>
              <w:t>119,092,141.32</w:t>
            </w:r>
          </w:p>
        </w:tc>
        <w:tc>
          <w:tcPr>
            <w:tcW w:w="1071"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jc w:val="right"/>
              <w:rPr>
                <w:rFonts w:ascii="宋体" w:eastAsia="宋体" w:hAnsi="宋体" w:cs="宋体"/>
                <w:sz w:val="18"/>
                <w:szCs w:val="18"/>
              </w:rPr>
            </w:pPr>
            <w:r>
              <w:rPr>
                <w:rFonts w:ascii="宋体" w:eastAsia="宋体" w:hAnsi="宋体" w:cs="宋体"/>
                <w:sz w:val="18"/>
                <w:szCs w:val="18"/>
              </w:rPr>
              <w:t>116,742,327.13</w:t>
            </w:r>
          </w:p>
        </w:tc>
      </w:tr>
      <w:tr w:rsidR="003C7507" w:rsidTr="003C7507">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rPr>
                <w:rFonts w:ascii="宋体" w:eastAsia="宋体" w:hAnsi="宋体" w:cs="宋体"/>
                <w:sz w:val="18"/>
                <w:szCs w:val="18"/>
              </w:rPr>
            </w:pPr>
            <w:r>
              <w:rPr>
                <w:rFonts w:ascii="宋体" w:eastAsia="宋体" w:hAnsi="宋体" w:cs="宋体"/>
                <w:sz w:val="18"/>
                <w:szCs w:val="18"/>
              </w:rPr>
              <w:t>软控联合科技有限公司</w:t>
            </w:r>
          </w:p>
        </w:tc>
        <w:tc>
          <w:tcPr>
            <w:tcW w:w="992"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rPr>
                <w:rFonts w:ascii="宋体" w:eastAsia="宋体" w:hAnsi="宋体" w:cs="宋体"/>
                <w:sz w:val="18"/>
                <w:szCs w:val="18"/>
              </w:rPr>
            </w:pPr>
            <w:r>
              <w:rPr>
                <w:rFonts w:ascii="宋体" w:eastAsia="宋体" w:hAnsi="宋体" w:cs="宋体"/>
                <w:sz w:val="18"/>
                <w:szCs w:val="18"/>
              </w:rPr>
              <w:t>子公司</w:t>
            </w:r>
          </w:p>
        </w:tc>
        <w:tc>
          <w:tcPr>
            <w:tcW w:w="695" w:type="dxa"/>
            <w:vMerge/>
            <w:tcBorders>
              <w:left w:val="single" w:sz="2" w:space="0" w:color="auto"/>
              <w:right w:val="single" w:sz="2" w:space="0" w:color="auto"/>
            </w:tcBorders>
            <w:vAlign w:val="center"/>
          </w:tcPr>
          <w:p w:rsidR="003C7507" w:rsidRDefault="003C7507" w:rsidP="00BD0CDC">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rPr>
                <w:rFonts w:ascii="宋体" w:eastAsia="宋体" w:hAnsi="宋体" w:cs="宋体"/>
                <w:sz w:val="18"/>
                <w:szCs w:val="18"/>
              </w:rPr>
            </w:pPr>
            <w:r>
              <w:rPr>
                <w:rFonts w:ascii="宋体" w:eastAsia="宋体" w:hAnsi="宋体" w:cs="宋体"/>
                <w:sz w:val="18"/>
                <w:szCs w:val="18"/>
              </w:rPr>
              <w:t>160,000,000.00</w:t>
            </w:r>
          </w:p>
        </w:tc>
        <w:tc>
          <w:tcPr>
            <w:tcW w:w="1071"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jc w:val="right"/>
              <w:rPr>
                <w:rFonts w:ascii="宋体" w:eastAsia="宋体" w:hAnsi="宋体" w:cs="宋体"/>
                <w:sz w:val="18"/>
                <w:szCs w:val="18"/>
              </w:rPr>
            </w:pPr>
            <w:r>
              <w:rPr>
                <w:rFonts w:ascii="宋体" w:eastAsia="宋体" w:hAnsi="宋体" w:cs="宋体"/>
                <w:sz w:val="18"/>
                <w:szCs w:val="18"/>
              </w:rPr>
              <w:t>577,207,915.76</w:t>
            </w:r>
          </w:p>
        </w:tc>
        <w:tc>
          <w:tcPr>
            <w:tcW w:w="1071"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jc w:val="right"/>
              <w:rPr>
                <w:rFonts w:ascii="宋体" w:eastAsia="宋体" w:hAnsi="宋体" w:cs="宋体"/>
                <w:sz w:val="18"/>
                <w:szCs w:val="18"/>
              </w:rPr>
            </w:pPr>
            <w:r>
              <w:rPr>
                <w:rFonts w:ascii="宋体" w:eastAsia="宋体" w:hAnsi="宋体" w:cs="宋体"/>
                <w:sz w:val="18"/>
                <w:szCs w:val="18"/>
              </w:rPr>
              <w:t>272,449,206.85</w:t>
            </w:r>
          </w:p>
        </w:tc>
        <w:tc>
          <w:tcPr>
            <w:tcW w:w="1071"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jc w:val="right"/>
              <w:rPr>
                <w:rFonts w:ascii="宋体" w:eastAsia="宋体" w:hAnsi="宋体" w:cs="宋体"/>
                <w:sz w:val="18"/>
                <w:szCs w:val="18"/>
              </w:rPr>
            </w:pPr>
            <w:r>
              <w:rPr>
                <w:rFonts w:ascii="宋体" w:eastAsia="宋体" w:hAnsi="宋体" w:cs="宋体"/>
                <w:sz w:val="18"/>
                <w:szCs w:val="18"/>
              </w:rPr>
              <w:t>219,129,605.95</w:t>
            </w:r>
          </w:p>
        </w:tc>
        <w:tc>
          <w:tcPr>
            <w:tcW w:w="1071"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jc w:val="right"/>
              <w:rPr>
                <w:rFonts w:ascii="宋体" w:eastAsia="宋体" w:hAnsi="宋体" w:cs="宋体"/>
                <w:sz w:val="18"/>
                <w:szCs w:val="18"/>
              </w:rPr>
            </w:pPr>
            <w:r>
              <w:rPr>
                <w:rFonts w:ascii="宋体" w:eastAsia="宋体" w:hAnsi="宋体" w:cs="宋体"/>
                <w:sz w:val="18"/>
                <w:szCs w:val="18"/>
              </w:rPr>
              <w:t>30,676,140.70</w:t>
            </w:r>
          </w:p>
        </w:tc>
        <w:tc>
          <w:tcPr>
            <w:tcW w:w="1071"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jc w:val="right"/>
              <w:rPr>
                <w:rFonts w:ascii="宋体" w:eastAsia="宋体" w:hAnsi="宋体" w:cs="宋体"/>
                <w:sz w:val="18"/>
                <w:szCs w:val="18"/>
              </w:rPr>
            </w:pPr>
            <w:r>
              <w:rPr>
                <w:rFonts w:ascii="宋体" w:eastAsia="宋体" w:hAnsi="宋体" w:cs="宋体"/>
                <w:sz w:val="18"/>
                <w:szCs w:val="18"/>
              </w:rPr>
              <w:t>28,166,909.34</w:t>
            </w:r>
          </w:p>
        </w:tc>
      </w:tr>
      <w:tr w:rsidR="003C7507" w:rsidTr="003C7507">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rPr>
                <w:rFonts w:ascii="宋体" w:eastAsia="宋体" w:hAnsi="宋体" w:cs="宋体"/>
                <w:sz w:val="18"/>
                <w:szCs w:val="18"/>
              </w:rPr>
            </w:pPr>
            <w:r>
              <w:rPr>
                <w:rFonts w:ascii="宋体" w:eastAsia="宋体" w:hAnsi="宋体" w:cs="宋体"/>
                <w:sz w:val="18"/>
                <w:szCs w:val="18"/>
              </w:rPr>
              <w:t>益凯新材料有限公司</w:t>
            </w:r>
          </w:p>
        </w:tc>
        <w:tc>
          <w:tcPr>
            <w:tcW w:w="992"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rPr>
                <w:rFonts w:ascii="宋体" w:eastAsia="宋体" w:hAnsi="宋体" w:cs="宋体"/>
                <w:sz w:val="18"/>
                <w:szCs w:val="18"/>
              </w:rPr>
            </w:pPr>
            <w:r>
              <w:rPr>
                <w:rFonts w:ascii="宋体" w:eastAsia="宋体" w:hAnsi="宋体" w:cs="宋体"/>
                <w:sz w:val="18"/>
                <w:szCs w:val="18"/>
              </w:rPr>
              <w:t>子公司</w:t>
            </w:r>
          </w:p>
        </w:tc>
        <w:tc>
          <w:tcPr>
            <w:tcW w:w="695" w:type="dxa"/>
            <w:vMerge/>
            <w:tcBorders>
              <w:left w:val="single" w:sz="2" w:space="0" w:color="auto"/>
              <w:right w:val="single" w:sz="2" w:space="0" w:color="auto"/>
            </w:tcBorders>
            <w:vAlign w:val="center"/>
          </w:tcPr>
          <w:p w:rsidR="003C7507" w:rsidRDefault="003C7507" w:rsidP="00BD0CDC">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rPr>
                <w:rFonts w:ascii="宋体" w:eastAsia="宋体" w:hAnsi="宋体" w:cs="宋体"/>
                <w:sz w:val="18"/>
                <w:szCs w:val="18"/>
              </w:rPr>
            </w:pPr>
            <w:r>
              <w:rPr>
                <w:rFonts w:ascii="宋体" w:eastAsia="宋体" w:hAnsi="宋体" w:cs="宋体"/>
                <w:sz w:val="18"/>
                <w:szCs w:val="18"/>
              </w:rPr>
              <w:t>276,200,000.00</w:t>
            </w:r>
          </w:p>
        </w:tc>
        <w:tc>
          <w:tcPr>
            <w:tcW w:w="1071"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jc w:val="right"/>
              <w:rPr>
                <w:rFonts w:ascii="宋体" w:eastAsia="宋体" w:hAnsi="宋体" w:cs="宋体"/>
                <w:sz w:val="18"/>
                <w:szCs w:val="18"/>
              </w:rPr>
            </w:pPr>
            <w:r>
              <w:rPr>
                <w:rFonts w:ascii="宋体" w:eastAsia="宋体" w:hAnsi="宋体" w:cs="宋体"/>
                <w:sz w:val="18"/>
                <w:szCs w:val="18"/>
              </w:rPr>
              <w:t>2,309,799,504.24</w:t>
            </w:r>
          </w:p>
        </w:tc>
        <w:tc>
          <w:tcPr>
            <w:tcW w:w="1071"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jc w:val="right"/>
              <w:rPr>
                <w:rFonts w:ascii="宋体" w:eastAsia="宋体" w:hAnsi="宋体" w:cs="宋体"/>
                <w:sz w:val="18"/>
                <w:szCs w:val="18"/>
              </w:rPr>
            </w:pPr>
            <w:r>
              <w:rPr>
                <w:rFonts w:ascii="宋体" w:eastAsia="宋体" w:hAnsi="宋体" w:cs="宋体"/>
                <w:sz w:val="18"/>
                <w:szCs w:val="18"/>
              </w:rPr>
              <w:t>393,808,479.39</w:t>
            </w:r>
          </w:p>
        </w:tc>
        <w:tc>
          <w:tcPr>
            <w:tcW w:w="1071"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jc w:val="right"/>
              <w:rPr>
                <w:rFonts w:ascii="宋体" w:eastAsia="宋体" w:hAnsi="宋体" w:cs="宋体"/>
                <w:sz w:val="18"/>
                <w:szCs w:val="18"/>
              </w:rPr>
            </w:pPr>
            <w:r>
              <w:rPr>
                <w:rFonts w:ascii="宋体" w:eastAsia="宋体" w:hAnsi="宋体" w:cs="宋体"/>
                <w:sz w:val="18"/>
                <w:szCs w:val="18"/>
              </w:rPr>
              <w:t>597,156,938.68</w:t>
            </w:r>
          </w:p>
        </w:tc>
        <w:tc>
          <w:tcPr>
            <w:tcW w:w="1071"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jc w:val="right"/>
              <w:rPr>
                <w:rFonts w:ascii="宋体" w:eastAsia="宋体" w:hAnsi="宋体" w:cs="宋体"/>
                <w:sz w:val="18"/>
                <w:szCs w:val="18"/>
              </w:rPr>
            </w:pPr>
            <w:r>
              <w:rPr>
                <w:rFonts w:ascii="宋体" w:eastAsia="宋体" w:hAnsi="宋体" w:cs="宋体"/>
                <w:sz w:val="18"/>
                <w:szCs w:val="18"/>
              </w:rPr>
              <w:t>36,799,998.43</w:t>
            </w:r>
          </w:p>
        </w:tc>
        <w:tc>
          <w:tcPr>
            <w:tcW w:w="1071"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jc w:val="right"/>
              <w:rPr>
                <w:rFonts w:ascii="宋体" w:eastAsia="宋体" w:hAnsi="宋体" w:cs="宋体"/>
                <w:sz w:val="18"/>
                <w:szCs w:val="18"/>
              </w:rPr>
            </w:pPr>
            <w:r>
              <w:rPr>
                <w:rFonts w:ascii="宋体" w:eastAsia="宋体" w:hAnsi="宋体" w:cs="宋体"/>
                <w:sz w:val="18"/>
                <w:szCs w:val="18"/>
              </w:rPr>
              <w:t>37,000,435.94</w:t>
            </w:r>
          </w:p>
        </w:tc>
      </w:tr>
      <w:tr w:rsidR="003C7507" w:rsidTr="003C7507">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rPr>
                <w:rFonts w:ascii="宋体" w:eastAsia="宋体" w:hAnsi="宋体" w:cs="宋体"/>
                <w:sz w:val="18"/>
                <w:szCs w:val="18"/>
              </w:rPr>
            </w:pPr>
            <w:r>
              <w:rPr>
                <w:rFonts w:ascii="宋体" w:eastAsia="宋体" w:hAnsi="宋体" w:cs="宋体"/>
                <w:sz w:val="18"/>
                <w:szCs w:val="18"/>
              </w:rPr>
              <w:t>浙江软控智能科技股份有限公司</w:t>
            </w:r>
          </w:p>
        </w:tc>
        <w:tc>
          <w:tcPr>
            <w:tcW w:w="992"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rPr>
                <w:rFonts w:ascii="宋体" w:eastAsia="宋体" w:hAnsi="宋体" w:cs="宋体"/>
                <w:sz w:val="18"/>
                <w:szCs w:val="18"/>
              </w:rPr>
            </w:pPr>
            <w:r>
              <w:rPr>
                <w:rFonts w:ascii="宋体" w:eastAsia="宋体" w:hAnsi="宋体" w:cs="宋体"/>
                <w:sz w:val="18"/>
                <w:szCs w:val="18"/>
              </w:rPr>
              <w:t>子公司</w:t>
            </w:r>
          </w:p>
        </w:tc>
        <w:tc>
          <w:tcPr>
            <w:tcW w:w="695" w:type="dxa"/>
            <w:vMerge/>
            <w:tcBorders>
              <w:left w:val="single" w:sz="2" w:space="0" w:color="auto"/>
              <w:bottom w:val="single" w:sz="2" w:space="0" w:color="auto"/>
              <w:right w:val="single" w:sz="2" w:space="0" w:color="auto"/>
            </w:tcBorders>
            <w:vAlign w:val="center"/>
          </w:tcPr>
          <w:p w:rsidR="003C7507" w:rsidRDefault="003C750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rPr>
                <w:rFonts w:ascii="宋体" w:eastAsia="宋体" w:hAnsi="宋体" w:cs="宋体"/>
                <w:sz w:val="18"/>
                <w:szCs w:val="18"/>
              </w:rPr>
            </w:pPr>
            <w:r>
              <w:rPr>
                <w:rFonts w:ascii="宋体" w:eastAsia="宋体" w:hAnsi="宋体" w:cs="宋体"/>
                <w:sz w:val="18"/>
                <w:szCs w:val="18"/>
              </w:rPr>
              <w:t>50,000,000.00</w:t>
            </w:r>
          </w:p>
        </w:tc>
        <w:tc>
          <w:tcPr>
            <w:tcW w:w="1071"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jc w:val="right"/>
              <w:rPr>
                <w:rFonts w:ascii="宋体" w:eastAsia="宋体" w:hAnsi="宋体" w:cs="宋体"/>
                <w:sz w:val="18"/>
                <w:szCs w:val="18"/>
              </w:rPr>
            </w:pPr>
            <w:r>
              <w:rPr>
                <w:rFonts w:ascii="宋体" w:eastAsia="宋体" w:hAnsi="宋体" w:cs="宋体"/>
                <w:sz w:val="18"/>
                <w:szCs w:val="18"/>
              </w:rPr>
              <w:t>1,733,602,516.45</w:t>
            </w:r>
          </w:p>
        </w:tc>
        <w:tc>
          <w:tcPr>
            <w:tcW w:w="1071"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jc w:val="right"/>
              <w:rPr>
                <w:rFonts w:ascii="宋体" w:eastAsia="宋体" w:hAnsi="宋体" w:cs="宋体"/>
                <w:sz w:val="18"/>
                <w:szCs w:val="18"/>
              </w:rPr>
            </w:pPr>
            <w:r>
              <w:rPr>
                <w:rFonts w:ascii="宋体" w:eastAsia="宋体" w:hAnsi="宋体" w:cs="宋体"/>
                <w:sz w:val="18"/>
                <w:szCs w:val="18"/>
              </w:rPr>
              <w:t>159,648,063.85</w:t>
            </w:r>
          </w:p>
        </w:tc>
        <w:tc>
          <w:tcPr>
            <w:tcW w:w="1071"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jc w:val="right"/>
              <w:rPr>
                <w:rFonts w:ascii="宋体" w:eastAsia="宋体" w:hAnsi="宋体" w:cs="宋体"/>
                <w:sz w:val="18"/>
                <w:szCs w:val="18"/>
              </w:rPr>
            </w:pPr>
            <w:r>
              <w:rPr>
                <w:rFonts w:ascii="宋体" w:eastAsia="宋体" w:hAnsi="宋体" w:cs="宋体"/>
                <w:sz w:val="18"/>
                <w:szCs w:val="18"/>
              </w:rPr>
              <w:t>277,299,210.63</w:t>
            </w:r>
          </w:p>
        </w:tc>
        <w:tc>
          <w:tcPr>
            <w:tcW w:w="1071"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jc w:val="right"/>
              <w:rPr>
                <w:rFonts w:ascii="宋体" w:eastAsia="宋体" w:hAnsi="宋体" w:cs="宋体"/>
                <w:sz w:val="18"/>
                <w:szCs w:val="18"/>
              </w:rPr>
            </w:pPr>
            <w:r>
              <w:rPr>
                <w:rFonts w:ascii="宋体" w:eastAsia="宋体" w:hAnsi="宋体" w:cs="宋体"/>
                <w:sz w:val="18"/>
                <w:szCs w:val="18"/>
              </w:rPr>
              <w:t>40,480,954.82</w:t>
            </w:r>
          </w:p>
        </w:tc>
        <w:tc>
          <w:tcPr>
            <w:tcW w:w="1071" w:type="dxa"/>
            <w:tcBorders>
              <w:top w:val="single" w:sz="2" w:space="0" w:color="auto"/>
              <w:left w:val="single" w:sz="2" w:space="0" w:color="auto"/>
              <w:bottom w:val="single" w:sz="2" w:space="0" w:color="auto"/>
              <w:right w:val="single" w:sz="2" w:space="0" w:color="auto"/>
            </w:tcBorders>
            <w:vAlign w:val="center"/>
          </w:tcPr>
          <w:p w:rsidR="003C7507" w:rsidRDefault="003C7507">
            <w:pPr>
              <w:spacing w:line="240" w:lineRule="exact"/>
              <w:jc w:val="right"/>
              <w:rPr>
                <w:rFonts w:ascii="宋体" w:eastAsia="宋体" w:hAnsi="宋体" w:cs="宋体"/>
                <w:sz w:val="18"/>
                <w:szCs w:val="18"/>
              </w:rPr>
            </w:pPr>
            <w:r>
              <w:rPr>
                <w:rFonts w:ascii="宋体" w:eastAsia="宋体" w:hAnsi="宋体" w:cs="宋体"/>
                <w:sz w:val="18"/>
                <w:szCs w:val="18"/>
              </w:rPr>
              <w:t>35,858,308.84</w:t>
            </w:r>
          </w:p>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报告期内取得和处置子公司的情况</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公司名称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报告期内取得和处置子公司方式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对整体生产经营和业绩的影响</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抚顺伊科思橡胶贸易有限公司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新设取得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对整体生产经营和业绩无重大影响</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軟控（香港）有限公司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新设取得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对整体生产经营和业绩无重大影响</w:t>
            </w:r>
          </w:p>
        </w:tc>
      </w:tr>
    </w:tbl>
    <w:p w:rsidR="00CC38FA" w:rsidRPr="00924AFE" w:rsidRDefault="00CC38FA" w:rsidP="00924AFE">
      <w:pPr>
        <w:spacing w:before="100" w:after="100" w:line="240" w:lineRule="exact"/>
        <w:rPr>
          <w:rFonts w:ascii="宋体" w:eastAsia="宋体" w:hAnsi="宋体" w:cs="宋体"/>
          <w:sz w:val="18"/>
          <w:szCs w:val="18"/>
        </w:rPr>
      </w:pPr>
      <w:r>
        <w:rPr>
          <w:rFonts w:ascii="宋体" w:eastAsia="宋体" w:hAnsi="宋体" w:cs="宋体"/>
          <w:sz w:val="18"/>
          <w:szCs w:val="18"/>
        </w:rPr>
        <w:t>主要控股参股公司情况说明</w:t>
      </w:r>
      <w:r w:rsidR="00924AFE">
        <w:rPr>
          <w:rFonts w:ascii="宋体" w:eastAsia="宋体" w:hAnsi="宋体" w:cs="宋体" w:hint="eastAsia"/>
          <w:sz w:val="18"/>
          <w:szCs w:val="18"/>
        </w:rPr>
        <w:t>：无</w:t>
      </w:r>
    </w:p>
    <w:p w:rsidR="007F3A90" w:rsidRDefault="00CC38FA">
      <w:pPr>
        <w:pStyle w:val="2"/>
        <w:spacing w:before="300" w:after="300" w:line="320" w:lineRule="exact"/>
        <w:rPr>
          <w:rFonts w:ascii="宋体" w:eastAsia="宋体" w:hAnsi="宋体" w:cs="宋体"/>
          <w:b/>
          <w:bCs/>
          <w:sz w:val="24"/>
          <w:szCs w:val="24"/>
        </w:rPr>
      </w:pPr>
      <w:bookmarkStart w:id="38" w:name="_Toc988927"/>
      <w:r>
        <w:rPr>
          <w:rFonts w:ascii="宋体" w:eastAsia="宋体" w:hAnsi="宋体" w:cs="宋体"/>
          <w:b/>
          <w:bCs/>
          <w:sz w:val="24"/>
          <w:szCs w:val="24"/>
        </w:rPr>
        <w:t>九、公司控制的结构化主体情况</w:t>
      </w:r>
      <w:bookmarkEnd w:id="38"/>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pStyle w:val="2"/>
        <w:spacing w:before="300" w:after="300" w:line="320" w:lineRule="exact"/>
        <w:rPr>
          <w:rFonts w:ascii="宋体" w:eastAsia="宋体" w:hAnsi="宋体" w:cs="宋体"/>
          <w:b/>
          <w:bCs/>
          <w:sz w:val="24"/>
          <w:szCs w:val="24"/>
        </w:rPr>
      </w:pPr>
      <w:bookmarkStart w:id="39" w:name="_Toc988928"/>
      <w:r>
        <w:rPr>
          <w:rFonts w:ascii="宋体" w:eastAsia="宋体" w:hAnsi="宋体" w:cs="宋体"/>
          <w:b/>
          <w:bCs/>
          <w:sz w:val="24"/>
          <w:szCs w:val="24"/>
        </w:rPr>
        <w:t>十、公司面临的风险和应对措施</w:t>
      </w:r>
      <w:bookmarkEnd w:id="39"/>
    </w:p>
    <w:p w:rsidR="00CC38FA" w:rsidRDefault="00CC38FA">
      <w:pPr>
        <w:pStyle w:val="a3"/>
        <w:shd w:val="clear" w:color="auto" w:fill="FFFFFF"/>
        <w:spacing w:before="40" w:beforeAutospacing="0" w:after="40" w:afterAutospacing="0"/>
        <w:ind w:firstLine="360"/>
        <w:jc w:val="both"/>
        <w:divId w:val="846284956"/>
        <w:rPr>
          <w:rFonts w:ascii="Calibri" w:hAnsi="Calibri" w:cs="Calibri"/>
          <w:sz w:val="21"/>
          <w:szCs w:val="21"/>
        </w:rPr>
      </w:pPr>
      <w:r>
        <w:rPr>
          <w:rFonts w:ascii="Times New Roman" w:hAnsi="Times New Roman" w:cs="Times New Roman"/>
          <w:sz w:val="18"/>
          <w:szCs w:val="18"/>
        </w:rPr>
        <w:t>1</w:t>
      </w:r>
      <w:r>
        <w:rPr>
          <w:rFonts w:cs="Calibri" w:hint="eastAsia"/>
          <w:sz w:val="18"/>
          <w:szCs w:val="18"/>
        </w:rPr>
        <w:t>、宏观市场经济环境风险及应对措施</w:t>
      </w:r>
    </w:p>
    <w:p w:rsidR="00CC38FA" w:rsidRDefault="00CC38FA">
      <w:pPr>
        <w:pStyle w:val="a3"/>
        <w:shd w:val="clear" w:color="auto" w:fill="FFFFFF"/>
        <w:spacing w:before="40" w:beforeAutospacing="0" w:after="40" w:afterAutospacing="0"/>
        <w:ind w:firstLine="360"/>
        <w:jc w:val="both"/>
        <w:divId w:val="846284956"/>
        <w:rPr>
          <w:rFonts w:ascii="Calibri" w:hAnsi="Calibri" w:cs="Calibri"/>
          <w:sz w:val="21"/>
          <w:szCs w:val="21"/>
        </w:rPr>
      </w:pPr>
      <w:r>
        <w:rPr>
          <w:rFonts w:cs="Calibri" w:hint="eastAsia"/>
          <w:sz w:val="18"/>
          <w:szCs w:val="18"/>
        </w:rPr>
        <w:t>面对近几年整体较为严峻的国内外宏观环境，国内外经济形势及政策不断变化，可能会影响到公司产品的销售和收入的增长。公司会及时制定应对国内外经济环境变化的有效防范机制，同时依托各项优势勤练内功，争取创造新的业绩增长点，并且密切关注宏观经营环境和政策的变化，积极快速地处理与应对其带来的风险和挑战。</w:t>
      </w:r>
    </w:p>
    <w:p w:rsidR="00CC38FA" w:rsidRDefault="00CC38FA">
      <w:pPr>
        <w:pStyle w:val="a3"/>
        <w:shd w:val="clear" w:color="auto" w:fill="FFFFFF"/>
        <w:spacing w:before="40" w:beforeAutospacing="0" w:after="40" w:afterAutospacing="0"/>
        <w:ind w:firstLine="360"/>
        <w:jc w:val="both"/>
        <w:divId w:val="846284956"/>
        <w:rPr>
          <w:rFonts w:ascii="Calibri" w:hAnsi="Calibri" w:cs="Calibri"/>
          <w:sz w:val="21"/>
          <w:szCs w:val="21"/>
        </w:rPr>
      </w:pPr>
      <w:r>
        <w:rPr>
          <w:rFonts w:ascii="Times New Roman" w:hAnsi="Times New Roman" w:cs="Times New Roman"/>
          <w:sz w:val="18"/>
          <w:szCs w:val="18"/>
        </w:rPr>
        <w:t>2</w:t>
      </w:r>
      <w:r>
        <w:rPr>
          <w:rFonts w:cs="Calibri" w:hint="eastAsia"/>
          <w:sz w:val="18"/>
          <w:szCs w:val="18"/>
        </w:rPr>
        <w:t>、市场竞争风险及应对措施</w:t>
      </w:r>
    </w:p>
    <w:p w:rsidR="00CC38FA" w:rsidRDefault="00CC38FA">
      <w:pPr>
        <w:pStyle w:val="a3"/>
        <w:shd w:val="clear" w:color="auto" w:fill="FFFFFF"/>
        <w:spacing w:before="40" w:beforeAutospacing="0" w:after="40" w:afterAutospacing="0"/>
        <w:ind w:firstLine="360"/>
        <w:jc w:val="both"/>
        <w:divId w:val="846284956"/>
        <w:rPr>
          <w:rFonts w:ascii="Calibri" w:hAnsi="Calibri" w:cs="Calibri"/>
          <w:sz w:val="21"/>
          <w:szCs w:val="21"/>
        </w:rPr>
      </w:pPr>
      <w:r>
        <w:rPr>
          <w:rFonts w:cs="Calibri" w:hint="eastAsia"/>
          <w:sz w:val="18"/>
          <w:szCs w:val="18"/>
        </w:rPr>
        <w:t>随着轮胎行业步入新的发展周期，市场竞争日趋激烈，会对公司带来一定风险。作为轮胎橡胶装备与系统的研发与制造的优势企业，公司在技术水平、市场份额、产销规模等方面与国内竞争对手相比具有比较强的竞争优势，抓住智能制造机遇，积极为构建智慧工厂提供解决方案，稳步推进橡胶机械装备板块</w:t>
      </w:r>
      <w:r>
        <w:rPr>
          <w:rFonts w:ascii="Times New Roman" w:hAnsi="Times New Roman" w:cs="Times New Roman"/>
          <w:sz w:val="18"/>
          <w:szCs w:val="18"/>
        </w:rPr>
        <w:t>“</w:t>
      </w:r>
      <w:r>
        <w:rPr>
          <w:rFonts w:cs="Calibri" w:hint="eastAsia"/>
          <w:sz w:val="18"/>
          <w:szCs w:val="18"/>
        </w:rPr>
        <w:t>中高端</w:t>
      </w:r>
      <w:r>
        <w:rPr>
          <w:rFonts w:ascii="Times New Roman" w:hAnsi="Times New Roman" w:cs="Times New Roman"/>
          <w:sz w:val="18"/>
          <w:szCs w:val="18"/>
        </w:rPr>
        <w:t>”</w:t>
      </w:r>
      <w:r>
        <w:rPr>
          <w:rFonts w:cs="Calibri" w:hint="eastAsia"/>
          <w:sz w:val="18"/>
          <w:szCs w:val="18"/>
        </w:rPr>
        <w:t>、</w:t>
      </w:r>
      <w:r>
        <w:rPr>
          <w:rFonts w:ascii="Times New Roman" w:hAnsi="Times New Roman" w:cs="Times New Roman"/>
          <w:sz w:val="18"/>
          <w:szCs w:val="18"/>
        </w:rPr>
        <w:t>“</w:t>
      </w:r>
      <w:r>
        <w:rPr>
          <w:rFonts w:cs="Calibri" w:hint="eastAsia"/>
          <w:sz w:val="18"/>
          <w:szCs w:val="18"/>
        </w:rPr>
        <w:t>国际化</w:t>
      </w:r>
      <w:r>
        <w:rPr>
          <w:rFonts w:ascii="Times New Roman" w:hAnsi="Times New Roman" w:cs="Times New Roman"/>
          <w:sz w:val="18"/>
          <w:szCs w:val="18"/>
        </w:rPr>
        <w:t>”</w:t>
      </w:r>
      <w:r>
        <w:rPr>
          <w:rFonts w:cs="Calibri" w:hint="eastAsia"/>
          <w:sz w:val="18"/>
          <w:szCs w:val="18"/>
        </w:rPr>
        <w:t>的发展战略。</w:t>
      </w:r>
    </w:p>
    <w:p w:rsidR="00CC38FA" w:rsidRDefault="00CC38FA">
      <w:pPr>
        <w:pStyle w:val="a3"/>
        <w:shd w:val="clear" w:color="auto" w:fill="FFFFFF"/>
        <w:spacing w:before="40" w:beforeAutospacing="0" w:after="40" w:afterAutospacing="0"/>
        <w:ind w:firstLine="360"/>
        <w:jc w:val="both"/>
        <w:divId w:val="846284956"/>
        <w:rPr>
          <w:rFonts w:ascii="Calibri" w:hAnsi="Calibri" w:cs="Calibri"/>
          <w:sz w:val="21"/>
          <w:szCs w:val="21"/>
        </w:rPr>
      </w:pPr>
      <w:r>
        <w:rPr>
          <w:rFonts w:ascii="Times New Roman" w:hAnsi="Times New Roman" w:cs="Times New Roman"/>
          <w:sz w:val="18"/>
          <w:szCs w:val="18"/>
        </w:rPr>
        <w:t>3</w:t>
      </w:r>
      <w:r>
        <w:rPr>
          <w:rFonts w:cs="Calibri" w:hint="eastAsia"/>
          <w:sz w:val="18"/>
          <w:szCs w:val="18"/>
        </w:rPr>
        <w:t>、应收账款回收的风险及应对措施</w:t>
      </w:r>
    </w:p>
    <w:p w:rsidR="00CC38FA" w:rsidRDefault="00CC38FA">
      <w:pPr>
        <w:pStyle w:val="a3"/>
        <w:shd w:val="clear" w:color="auto" w:fill="FFFFFF"/>
        <w:spacing w:before="40" w:beforeAutospacing="0" w:after="40" w:afterAutospacing="0"/>
        <w:ind w:firstLine="360"/>
        <w:jc w:val="both"/>
        <w:divId w:val="846284956"/>
        <w:rPr>
          <w:rFonts w:ascii="Calibri" w:hAnsi="Calibri" w:cs="Calibri"/>
          <w:sz w:val="21"/>
          <w:szCs w:val="21"/>
        </w:rPr>
      </w:pPr>
      <w:r>
        <w:rPr>
          <w:rFonts w:cs="Calibri" w:hint="eastAsia"/>
          <w:sz w:val="18"/>
          <w:szCs w:val="18"/>
        </w:rPr>
        <w:t>公司按相关会计准则规定，对应收账款足额计提坏账准备，符合历年经营规律，受市场竞争日趋激烈及环保政策等宏观环境影响，可能存在个别客户因资金周转等原因拖欠公司的货款。对此，公司将进一步依法完善应收账款管理办法，降低应收账款回收风险，持续优化公司资产质量。</w:t>
      </w:r>
    </w:p>
    <w:p w:rsidR="00CC38FA" w:rsidRDefault="00CC38FA">
      <w:pPr>
        <w:pStyle w:val="a3"/>
        <w:shd w:val="clear" w:color="auto" w:fill="FFFFFF"/>
        <w:spacing w:before="40" w:beforeAutospacing="0" w:after="40" w:afterAutospacing="0"/>
        <w:ind w:firstLine="360"/>
        <w:jc w:val="both"/>
        <w:divId w:val="846284956"/>
        <w:rPr>
          <w:rFonts w:ascii="Calibri" w:hAnsi="Calibri" w:cs="Calibri"/>
          <w:sz w:val="21"/>
          <w:szCs w:val="21"/>
        </w:rPr>
      </w:pPr>
      <w:r>
        <w:rPr>
          <w:rFonts w:ascii="Times New Roman" w:hAnsi="Times New Roman" w:cs="Times New Roman"/>
          <w:sz w:val="18"/>
          <w:szCs w:val="18"/>
        </w:rPr>
        <w:t>4</w:t>
      </w:r>
      <w:r>
        <w:rPr>
          <w:rFonts w:cs="Calibri" w:hint="eastAsia"/>
          <w:sz w:val="18"/>
          <w:szCs w:val="18"/>
        </w:rPr>
        <w:t>、海外业务及汇率变动风险</w:t>
      </w:r>
    </w:p>
    <w:p w:rsidR="00CC38FA" w:rsidRDefault="00CC38FA">
      <w:pPr>
        <w:pStyle w:val="a3"/>
        <w:shd w:val="clear" w:color="auto" w:fill="FFFFFF"/>
        <w:spacing w:before="40" w:beforeAutospacing="0" w:after="40" w:afterAutospacing="0"/>
        <w:ind w:firstLine="360"/>
        <w:jc w:val="both"/>
        <w:divId w:val="846284956"/>
        <w:rPr>
          <w:rFonts w:ascii="Calibri" w:hAnsi="Calibri" w:cs="Calibri"/>
          <w:sz w:val="21"/>
          <w:szCs w:val="21"/>
        </w:rPr>
      </w:pPr>
      <w:r>
        <w:rPr>
          <w:rFonts w:cs="Calibri" w:hint="eastAsia"/>
          <w:sz w:val="18"/>
          <w:szCs w:val="18"/>
        </w:rPr>
        <w:t>报告期内，国际局势紧张，全球总体政治经济不确定性因素仍然存在，对公司海外市场开拓带来一定挑战。同时，结算货币与人民币之间的汇率可能随着国内外政治、经济环境及国际贸易政策的变化而波动，导致公司面临汇率变动风险。公司加强对国际形势和汇率波动的分析与研究，通过缩短报价周期、及时结汇、开展远期结售汇等安全有效的避险工具和产品，最大限度防范和降低汇率波动风险和影响。</w:t>
      </w:r>
    </w:p>
    <w:p w:rsidR="007F3A90" w:rsidRDefault="00CC38FA">
      <w:pPr>
        <w:pStyle w:val="2"/>
        <w:spacing w:before="300" w:after="300" w:line="320" w:lineRule="exact"/>
        <w:rPr>
          <w:rFonts w:ascii="宋体" w:eastAsia="宋体" w:hAnsi="宋体" w:cs="宋体"/>
          <w:b/>
          <w:bCs/>
          <w:sz w:val="24"/>
          <w:szCs w:val="24"/>
        </w:rPr>
      </w:pPr>
      <w:bookmarkStart w:id="40" w:name="_Toc988929"/>
      <w:r>
        <w:rPr>
          <w:rFonts w:ascii="宋体" w:eastAsia="宋体" w:hAnsi="宋体" w:cs="宋体"/>
          <w:b/>
          <w:bCs/>
          <w:sz w:val="24"/>
          <w:szCs w:val="24"/>
        </w:rPr>
        <w:t>十一、“质量回报双提升”行动方案贯彻落实情况</w:t>
      </w:r>
      <w:bookmarkEnd w:id="40"/>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公司是否披露了“质量回报双提升”行动方案公告。</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7F3A90" w:rsidRDefault="00CC38FA">
      <w:r>
        <w:br w:type="page"/>
      </w:r>
    </w:p>
    <w:p w:rsidR="007F3A90" w:rsidRDefault="00CC38FA">
      <w:pPr>
        <w:pStyle w:val="headingh1"/>
        <w:spacing w:before="340" w:after="330" w:line="773" w:lineRule="exact"/>
        <w:jc w:val="center"/>
        <w:rPr>
          <w:rFonts w:ascii="宋体" w:eastAsia="宋体" w:hAnsi="宋体" w:cs="宋体"/>
          <w:b/>
          <w:bCs/>
          <w:sz w:val="32"/>
          <w:szCs w:val="32"/>
        </w:rPr>
      </w:pPr>
      <w:bookmarkStart w:id="41" w:name="_Toc988930"/>
      <w:r>
        <w:rPr>
          <w:rFonts w:ascii="宋体" w:eastAsia="宋体" w:hAnsi="宋体" w:cs="宋体"/>
          <w:b/>
          <w:bCs/>
          <w:sz w:val="32"/>
          <w:szCs w:val="32"/>
        </w:rPr>
        <w:lastRenderedPageBreak/>
        <w:t>第四节 公司治理</w:t>
      </w:r>
      <w:bookmarkEnd w:id="41"/>
    </w:p>
    <w:p w:rsidR="007F3A90" w:rsidRDefault="00CC38FA">
      <w:pPr>
        <w:pStyle w:val="2"/>
        <w:spacing w:before="300" w:after="300" w:line="320" w:lineRule="exact"/>
        <w:rPr>
          <w:rFonts w:ascii="宋体" w:eastAsia="宋体" w:hAnsi="宋体" w:cs="宋体"/>
          <w:b/>
          <w:bCs/>
          <w:sz w:val="24"/>
          <w:szCs w:val="24"/>
        </w:rPr>
      </w:pPr>
      <w:bookmarkStart w:id="42" w:name="_Toc988931"/>
      <w:r>
        <w:rPr>
          <w:rFonts w:ascii="宋体" w:eastAsia="宋体" w:hAnsi="宋体" w:cs="宋体"/>
          <w:b/>
          <w:bCs/>
          <w:sz w:val="24"/>
          <w:szCs w:val="24"/>
        </w:rPr>
        <w:t>一、报告期内召开的年度股东大会和临时股东大会的有关情况</w:t>
      </w:r>
      <w:bookmarkEnd w:id="42"/>
    </w:p>
    <w:p w:rsidR="007F3A90" w:rsidRDefault="00CC38FA">
      <w:pPr>
        <w:pStyle w:val="3"/>
        <w:spacing w:line="280" w:lineRule="exact"/>
        <w:jc w:val="left"/>
        <w:rPr>
          <w:rFonts w:ascii="宋体" w:hAnsi="宋体" w:cs="宋体"/>
          <w:b/>
          <w:bCs/>
        </w:rPr>
      </w:pPr>
      <w:bookmarkStart w:id="43" w:name="_Toc988932"/>
      <w:r>
        <w:rPr>
          <w:rFonts w:ascii="宋体" w:hAnsi="宋体" w:cs="宋体"/>
          <w:b/>
          <w:bCs/>
        </w:rPr>
        <w:t>1、本报告期股东大会情况</w:t>
      </w:r>
      <w:bookmarkEnd w:id="43"/>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42"/>
        <w:gridCol w:w="1134"/>
        <w:gridCol w:w="1560"/>
        <w:gridCol w:w="1134"/>
        <w:gridCol w:w="1275"/>
        <w:gridCol w:w="3294"/>
      </w:tblGrid>
      <w:tr w:rsidR="007F3A90" w:rsidTr="00924AFE">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会议届次</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会议类型</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投资者参与比例</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召开日期</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披露日期</w:t>
            </w:r>
          </w:p>
        </w:tc>
        <w:tc>
          <w:tcPr>
            <w:tcW w:w="329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会议决议</w:t>
            </w:r>
          </w:p>
        </w:tc>
      </w:tr>
      <w:tr w:rsidR="007F3A90" w:rsidTr="00924AFE">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2023年年度股东大会</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年度股东大会</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20.69%</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2024年05月17日</w:t>
            </w:r>
          </w:p>
        </w:tc>
        <w:tc>
          <w:tcPr>
            <w:tcW w:w="127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2024年05月18日</w:t>
            </w:r>
          </w:p>
        </w:tc>
        <w:tc>
          <w:tcPr>
            <w:tcW w:w="329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《2023年年度股东大会决议公告》（公告编号：2024-020）详见巨潮资讯网及公司指定的信息披露媒体</w:t>
            </w:r>
          </w:p>
        </w:tc>
      </w:tr>
    </w:tbl>
    <w:p w:rsidR="007F3A90" w:rsidRDefault="00CC38FA">
      <w:pPr>
        <w:pStyle w:val="3"/>
        <w:spacing w:line="280" w:lineRule="exact"/>
        <w:jc w:val="left"/>
        <w:rPr>
          <w:rFonts w:ascii="宋体" w:hAnsi="宋体" w:cs="宋体"/>
          <w:b/>
          <w:bCs/>
        </w:rPr>
      </w:pPr>
      <w:bookmarkStart w:id="44" w:name="_Toc988933"/>
      <w:r>
        <w:rPr>
          <w:rFonts w:ascii="宋体" w:hAnsi="宋体" w:cs="宋体"/>
          <w:b/>
          <w:bCs/>
        </w:rPr>
        <w:t>2、表决权恢复的优先股股东请求召开临时股东大会</w:t>
      </w:r>
      <w:bookmarkEnd w:id="44"/>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pStyle w:val="2"/>
        <w:spacing w:before="300" w:after="300" w:line="320" w:lineRule="exact"/>
        <w:rPr>
          <w:rFonts w:ascii="宋体" w:eastAsia="宋体" w:hAnsi="宋体" w:cs="宋体"/>
          <w:b/>
          <w:bCs/>
          <w:sz w:val="24"/>
          <w:szCs w:val="24"/>
        </w:rPr>
      </w:pPr>
      <w:bookmarkStart w:id="45" w:name="_Toc988934"/>
      <w:r>
        <w:rPr>
          <w:rFonts w:ascii="宋体" w:eastAsia="宋体" w:hAnsi="宋体" w:cs="宋体"/>
          <w:b/>
          <w:bCs/>
          <w:sz w:val="24"/>
          <w:szCs w:val="24"/>
        </w:rPr>
        <w:t>二、公司董事、监事、高级管理人员变动情况</w:t>
      </w:r>
      <w:bookmarkEnd w:id="45"/>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公司董事、监事和高级管理人员在报告期没有发生变动，具体可参见2023年年报。</w:t>
      </w:r>
    </w:p>
    <w:p w:rsidR="007F3A90" w:rsidRDefault="00CC38FA">
      <w:pPr>
        <w:pStyle w:val="2"/>
        <w:spacing w:before="300" w:after="300" w:line="320" w:lineRule="exact"/>
        <w:rPr>
          <w:rFonts w:ascii="宋体" w:eastAsia="宋体" w:hAnsi="宋体" w:cs="宋体"/>
          <w:b/>
          <w:bCs/>
          <w:sz w:val="24"/>
          <w:szCs w:val="24"/>
        </w:rPr>
      </w:pPr>
      <w:bookmarkStart w:id="46" w:name="_Toc988935"/>
      <w:r>
        <w:rPr>
          <w:rFonts w:ascii="宋体" w:eastAsia="宋体" w:hAnsi="宋体" w:cs="宋体"/>
          <w:b/>
          <w:bCs/>
          <w:sz w:val="24"/>
          <w:szCs w:val="24"/>
        </w:rPr>
        <w:t>三、本报告期利润分配及资本公积金转增股本情况</w:t>
      </w:r>
      <w:bookmarkEnd w:id="46"/>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公司计划半年度不派发现金红利，不送红股，不以公积金转增股本。</w:t>
      </w:r>
    </w:p>
    <w:p w:rsidR="007F3A90" w:rsidRDefault="00CC38FA">
      <w:pPr>
        <w:pStyle w:val="2"/>
        <w:spacing w:before="300" w:after="300" w:line="320" w:lineRule="exact"/>
        <w:rPr>
          <w:rFonts w:ascii="宋体" w:eastAsia="宋体" w:hAnsi="宋体" w:cs="宋体"/>
          <w:b/>
          <w:bCs/>
          <w:sz w:val="24"/>
          <w:szCs w:val="24"/>
        </w:rPr>
      </w:pPr>
      <w:bookmarkStart w:id="47" w:name="_Toc988936"/>
      <w:r>
        <w:rPr>
          <w:rFonts w:ascii="宋体" w:eastAsia="宋体" w:hAnsi="宋体" w:cs="宋体"/>
          <w:b/>
          <w:bCs/>
          <w:sz w:val="24"/>
          <w:szCs w:val="24"/>
        </w:rPr>
        <w:t>四、公司股权激励计划、员工持股计划或其他员工激励措施的实施情况</w:t>
      </w:r>
      <w:bookmarkEnd w:id="47"/>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7F3A90" w:rsidRDefault="00CC38FA">
      <w:pPr>
        <w:pStyle w:val="3"/>
        <w:spacing w:line="280" w:lineRule="exact"/>
        <w:jc w:val="left"/>
        <w:rPr>
          <w:rFonts w:ascii="宋体" w:hAnsi="宋体" w:cs="宋体"/>
          <w:b/>
          <w:bCs/>
        </w:rPr>
      </w:pPr>
      <w:bookmarkStart w:id="48" w:name="_Toc988937"/>
      <w:r>
        <w:rPr>
          <w:rFonts w:ascii="宋体" w:hAnsi="宋体" w:cs="宋体"/>
          <w:b/>
          <w:bCs/>
        </w:rPr>
        <w:t>1、股权激励</w:t>
      </w:r>
      <w:bookmarkEnd w:id="48"/>
    </w:p>
    <w:p w:rsidR="00CC38FA" w:rsidRDefault="00924AFE">
      <w:pPr>
        <w:pStyle w:val="a3"/>
        <w:spacing w:before="0" w:beforeAutospacing="0" w:after="0" w:afterAutospacing="0"/>
        <w:jc w:val="both"/>
        <w:divId w:val="328019067"/>
      </w:pPr>
      <w:r>
        <w:rPr>
          <w:rFonts w:hint="eastAsia"/>
          <w:sz w:val="18"/>
          <w:szCs w:val="18"/>
        </w:rPr>
        <w:t>（1）</w:t>
      </w:r>
      <w:r w:rsidR="00CC38FA">
        <w:rPr>
          <w:rFonts w:hint="eastAsia"/>
          <w:sz w:val="18"/>
          <w:szCs w:val="18"/>
        </w:rPr>
        <w:t>2023年10月13日，公司披露了《关于公司2022年股票期权与限制性股票激励计划第一个行权期采用自主行权模式的提示性公告》，本次激励计划第一个可行权期自2023年9月30日起至2024年9月29日止，因行权日期须为交易日，因此本次激励计划第一个可行权期自2023年10月13日起至2024年9月27日止，本次符合行权条件的激励对象为248人，本次可行权的股票期权数量为947.20万份。报告期内，行权的股份数为2,364,570股。</w:t>
      </w:r>
    </w:p>
    <w:p w:rsidR="00CC38FA" w:rsidRDefault="00924AFE">
      <w:pPr>
        <w:pStyle w:val="a3"/>
        <w:spacing w:before="0" w:beforeAutospacing="0" w:after="0" w:afterAutospacing="0"/>
        <w:jc w:val="both"/>
        <w:divId w:val="328019067"/>
      </w:pPr>
      <w:r>
        <w:rPr>
          <w:rFonts w:hint="eastAsia"/>
          <w:sz w:val="18"/>
          <w:szCs w:val="18"/>
        </w:rPr>
        <w:t>（2）</w:t>
      </w:r>
      <w:r w:rsidR="00CC38FA">
        <w:rPr>
          <w:rFonts w:hint="eastAsia"/>
          <w:sz w:val="18"/>
          <w:szCs w:val="18"/>
        </w:rPr>
        <w:t>2023年12月13日召开第八届董事会第十五次会议与第八届监事会第十六次会议审议通过了《关于注销部分股票期权和回购注销部分限制性股票的议案》，因2名激励对象离职，同意对其已获授但尚未解除限售的限制性股票合计151,200股予以回购注销，其已获授但尚未行权的股票期权合计226,800份予以注销。截至2024年3月16日，公司已在中国证券登记结算有限责任公司深圳分公司办理完成上述限制性股票的回购注销以及股票期权的注销手续，并于同日披露了《关于注销部分股票期权和回购注销部分限制性股票完成的公告》（公告编号：2024-002）。</w:t>
      </w:r>
    </w:p>
    <w:p w:rsidR="00CC38FA" w:rsidRDefault="00CC38FA">
      <w:pPr>
        <w:pStyle w:val="a3"/>
        <w:spacing w:before="0" w:beforeAutospacing="0" w:after="0" w:afterAutospacing="0"/>
        <w:jc w:val="both"/>
        <w:divId w:val="328019067"/>
      </w:pPr>
      <w:r>
        <w:rPr>
          <w:rFonts w:hint="eastAsia"/>
        </w:rPr>
        <w:t> </w:t>
      </w:r>
    </w:p>
    <w:p w:rsidR="007F3A90" w:rsidRDefault="00CC38FA">
      <w:pPr>
        <w:pStyle w:val="3"/>
        <w:spacing w:line="280" w:lineRule="exact"/>
        <w:jc w:val="left"/>
        <w:rPr>
          <w:rFonts w:ascii="宋体" w:hAnsi="宋体" w:cs="宋体"/>
          <w:b/>
          <w:bCs/>
        </w:rPr>
      </w:pPr>
      <w:bookmarkStart w:id="49" w:name="_Toc988938"/>
      <w:r>
        <w:rPr>
          <w:rFonts w:ascii="宋体" w:hAnsi="宋体" w:cs="宋体"/>
          <w:b/>
          <w:bCs/>
        </w:rPr>
        <w:t>2、员工持股计划的实施情况</w:t>
      </w:r>
      <w:bookmarkEnd w:id="49"/>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pStyle w:val="3"/>
        <w:spacing w:line="280" w:lineRule="exact"/>
        <w:jc w:val="left"/>
        <w:rPr>
          <w:rFonts w:ascii="宋体" w:hAnsi="宋体" w:cs="宋体"/>
          <w:b/>
          <w:bCs/>
        </w:rPr>
      </w:pPr>
      <w:bookmarkStart w:id="50" w:name="_Toc988939"/>
      <w:r>
        <w:rPr>
          <w:rFonts w:ascii="宋体" w:hAnsi="宋体" w:cs="宋体"/>
          <w:b/>
          <w:bCs/>
        </w:rPr>
        <w:lastRenderedPageBreak/>
        <w:t>3、其他员工激励措施</w:t>
      </w:r>
      <w:bookmarkEnd w:id="50"/>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r>
        <w:br w:type="page"/>
      </w:r>
    </w:p>
    <w:p w:rsidR="007F3A90" w:rsidRDefault="00CC38FA">
      <w:pPr>
        <w:pStyle w:val="headingh1"/>
        <w:spacing w:before="340" w:after="330" w:line="773" w:lineRule="exact"/>
        <w:jc w:val="center"/>
        <w:rPr>
          <w:rFonts w:ascii="宋体" w:eastAsia="宋体" w:hAnsi="宋体" w:cs="宋体"/>
          <w:b/>
          <w:bCs/>
          <w:sz w:val="32"/>
          <w:szCs w:val="32"/>
        </w:rPr>
      </w:pPr>
      <w:bookmarkStart w:id="51" w:name="_Toc988940"/>
      <w:r>
        <w:rPr>
          <w:rFonts w:ascii="宋体" w:eastAsia="宋体" w:hAnsi="宋体" w:cs="宋体"/>
          <w:b/>
          <w:bCs/>
          <w:sz w:val="32"/>
          <w:szCs w:val="32"/>
        </w:rPr>
        <w:lastRenderedPageBreak/>
        <w:t>第五节 环境和社会责任</w:t>
      </w:r>
      <w:bookmarkEnd w:id="51"/>
    </w:p>
    <w:p w:rsidR="007F3A90" w:rsidRDefault="00CC38FA">
      <w:pPr>
        <w:pStyle w:val="2"/>
        <w:spacing w:before="300" w:after="300" w:line="320" w:lineRule="exact"/>
        <w:rPr>
          <w:rFonts w:ascii="宋体" w:eastAsia="宋体" w:hAnsi="宋体" w:cs="宋体"/>
          <w:b/>
          <w:bCs/>
          <w:sz w:val="24"/>
          <w:szCs w:val="24"/>
        </w:rPr>
      </w:pPr>
      <w:bookmarkStart w:id="52" w:name="_Toc988941"/>
      <w:r>
        <w:rPr>
          <w:rFonts w:ascii="宋体" w:eastAsia="宋体" w:hAnsi="宋体" w:cs="宋体"/>
          <w:b/>
          <w:bCs/>
          <w:sz w:val="24"/>
          <w:szCs w:val="24"/>
        </w:rPr>
        <w:t>一、重大环保问题情况</w:t>
      </w:r>
      <w:bookmarkEnd w:id="52"/>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上市公司及其子公司是否属于环境保护部门公布的重点排污单位</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7F3A90" w:rsidRPr="003B5BBD" w:rsidRDefault="00CC38FA">
      <w:pPr>
        <w:spacing w:before="100" w:after="100" w:line="240" w:lineRule="exact"/>
        <w:rPr>
          <w:rFonts w:ascii="宋体" w:eastAsia="宋体" w:hAnsi="宋体" w:cs="宋体"/>
          <w:b/>
          <w:sz w:val="18"/>
          <w:szCs w:val="18"/>
        </w:rPr>
      </w:pPr>
      <w:r w:rsidRPr="003B5BBD">
        <w:rPr>
          <w:rFonts w:ascii="宋体" w:eastAsia="宋体" w:hAnsi="宋体" w:cs="宋体"/>
          <w:b/>
          <w:sz w:val="18"/>
          <w:szCs w:val="18"/>
        </w:rPr>
        <w:t>环境保护相关政策和行业标准</w:t>
      </w:r>
    </w:p>
    <w:p w:rsidR="00CC38FA" w:rsidRDefault="00CC38FA">
      <w:pPr>
        <w:pStyle w:val="a3"/>
        <w:spacing w:before="0" w:beforeAutospacing="0" w:after="0" w:afterAutospacing="0"/>
        <w:divId w:val="301622745"/>
      </w:pPr>
      <w:r>
        <w:rPr>
          <w:rFonts w:hint="eastAsia"/>
          <w:sz w:val="18"/>
          <w:szCs w:val="18"/>
        </w:rPr>
        <w:t>国家法律法规及文件：</w:t>
      </w:r>
    </w:p>
    <w:p w:rsidR="00CC38FA" w:rsidRDefault="00CC38FA">
      <w:pPr>
        <w:pStyle w:val="a3"/>
        <w:spacing w:before="0" w:beforeAutospacing="0" w:after="0" w:afterAutospacing="0"/>
        <w:divId w:val="301622745"/>
      </w:pPr>
      <w:r>
        <w:rPr>
          <w:rFonts w:hint="eastAsia"/>
          <w:sz w:val="18"/>
          <w:szCs w:val="18"/>
        </w:rPr>
        <w:t>《中华人民共和国环境保护法》；</w:t>
      </w:r>
    </w:p>
    <w:p w:rsidR="00CC38FA" w:rsidRDefault="00CC38FA">
      <w:pPr>
        <w:pStyle w:val="a3"/>
        <w:spacing w:before="0" w:beforeAutospacing="0" w:after="0" w:afterAutospacing="0"/>
        <w:divId w:val="301622745"/>
      </w:pPr>
      <w:r>
        <w:rPr>
          <w:rFonts w:hint="eastAsia"/>
          <w:sz w:val="18"/>
          <w:szCs w:val="18"/>
        </w:rPr>
        <w:t>《中华人民共和国环境影响评价法》；</w:t>
      </w:r>
    </w:p>
    <w:p w:rsidR="00CC38FA" w:rsidRDefault="00CC38FA">
      <w:pPr>
        <w:pStyle w:val="a3"/>
        <w:spacing w:before="0" w:beforeAutospacing="0" w:after="0" w:afterAutospacing="0"/>
        <w:divId w:val="301622745"/>
      </w:pPr>
      <w:r>
        <w:rPr>
          <w:rFonts w:hint="eastAsia"/>
          <w:sz w:val="18"/>
          <w:szCs w:val="18"/>
        </w:rPr>
        <w:t>《中华人民共和国水污染防治法》；</w:t>
      </w:r>
    </w:p>
    <w:p w:rsidR="00CC38FA" w:rsidRDefault="00CC38FA">
      <w:pPr>
        <w:pStyle w:val="a3"/>
        <w:spacing w:before="0" w:beforeAutospacing="0" w:after="0" w:afterAutospacing="0"/>
        <w:divId w:val="301622745"/>
      </w:pPr>
      <w:r>
        <w:rPr>
          <w:rFonts w:hint="eastAsia"/>
          <w:sz w:val="18"/>
          <w:szCs w:val="18"/>
        </w:rPr>
        <w:t>《中华人民共和国大气污染防治法》；</w:t>
      </w:r>
    </w:p>
    <w:p w:rsidR="00CC38FA" w:rsidRDefault="00CC38FA">
      <w:pPr>
        <w:pStyle w:val="a3"/>
        <w:spacing w:before="0" w:beforeAutospacing="0" w:after="0" w:afterAutospacing="0"/>
        <w:divId w:val="301622745"/>
      </w:pPr>
      <w:r>
        <w:rPr>
          <w:rFonts w:hint="eastAsia"/>
          <w:sz w:val="18"/>
          <w:szCs w:val="18"/>
        </w:rPr>
        <w:t>《中华人民共和国固体废物污染环境防治法》；</w:t>
      </w:r>
    </w:p>
    <w:p w:rsidR="00CC38FA" w:rsidRDefault="00CC38FA">
      <w:pPr>
        <w:pStyle w:val="a3"/>
        <w:spacing w:before="0" w:beforeAutospacing="0" w:after="0" w:afterAutospacing="0"/>
        <w:divId w:val="301622745"/>
      </w:pPr>
      <w:r>
        <w:rPr>
          <w:rFonts w:hint="eastAsia"/>
          <w:sz w:val="18"/>
          <w:szCs w:val="18"/>
        </w:rPr>
        <w:t>《中华人民共和国噪声污染防治法》；</w:t>
      </w:r>
    </w:p>
    <w:p w:rsidR="00CC38FA" w:rsidRDefault="00CC38FA">
      <w:pPr>
        <w:pStyle w:val="a3"/>
        <w:spacing w:before="0" w:beforeAutospacing="0" w:after="0" w:afterAutospacing="0"/>
        <w:divId w:val="301622745"/>
      </w:pPr>
      <w:r>
        <w:rPr>
          <w:rFonts w:hint="eastAsia"/>
          <w:sz w:val="18"/>
          <w:szCs w:val="18"/>
        </w:rPr>
        <w:t>《中华人民共和国放射性污染防治法》；</w:t>
      </w:r>
    </w:p>
    <w:p w:rsidR="00CC38FA" w:rsidRDefault="00CC38FA">
      <w:pPr>
        <w:pStyle w:val="a3"/>
        <w:spacing w:before="0" w:beforeAutospacing="0" w:after="0" w:afterAutospacing="0"/>
        <w:divId w:val="301622745"/>
      </w:pPr>
      <w:r>
        <w:rPr>
          <w:rFonts w:hint="eastAsia"/>
          <w:sz w:val="18"/>
          <w:szCs w:val="18"/>
        </w:rPr>
        <w:t>《中华人民共和国节约能源法》；</w:t>
      </w:r>
    </w:p>
    <w:p w:rsidR="00CC38FA" w:rsidRDefault="00CC38FA">
      <w:pPr>
        <w:pStyle w:val="a3"/>
        <w:spacing w:before="0" w:beforeAutospacing="0" w:after="0" w:afterAutospacing="0"/>
        <w:divId w:val="301622745"/>
      </w:pPr>
      <w:r>
        <w:rPr>
          <w:rFonts w:hint="eastAsia"/>
          <w:sz w:val="18"/>
          <w:szCs w:val="18"/>
        </w:rPr>
        <w:t>《放射环境管理办法》；</w:t>
      </w:r>
    </w:p>
    <w:p w:rsidR="00CC38FA" w:rsidRDefault="00CC38FA">
      <w:pPr>
        <w:pStyle w:val="a3"/>
        <w:spacing w:before="0" w:beforeAutospacing="0" w:after="0" w:afterAutospacing="0"/>
        <w:divId w:val="301622745"/>
      </w:pPr>
      <w:r>
        <w:rPr>
          <w:rFonts w:hint="eastAsia"/>
          <w:sz w:val="18"/>
          <w:szCs w:val="18"/>
        </w:rPr>
        <w:t>《电磁辐射环境保护管理办法》；</w:t>
      </w:r>
    </w:p>
    <w:p w:rsidR="00CC38FA" w:rsidRDefault="00CC38FA">
      <w:pPr>
        <w:pStyle w:val="a3"/>
        <w:spacing w:before="0" w:beforeAutospacing="0" w:after="0" w:afterAutospacing="0"/>
        <w:divId w:val="301622745"/>
      </w:pPr>
      <w:r>
        <w:rPr>
          <w:rFonts w:hint="eastAsia"/>
          <w:sz w:val="18"/>
          <w:szCs w:val="18"/>
        </w:rPr>
        <w:t>《放射性同位素与射线装置安全和防护条例》；</w:t>
      </w:r>
    </w:p>
    <w:p w:rsidR="00CC38FA" w:rsidRDefault="00CC38FA">
      <w:pPr>
        <w:pStyle w:val="a3"/>
        <w:spacing w:before="0" w:beforeAutospacing="0" w:after="0" w:afterAutospacing="0"/>
        <w:divId w:val="301622745"/>
      </w:pPr>
      <w:r>
        <w:rPr>
          <w:rFonts w:hint="eastAsia"/>
          <w:sz w:val="18"/>
          <w:szCs w:val="18"/>
        </w:rPr>
        <w:t>《放射性同位素与射线装置安全许可管理办法》；</w:t>
      </w:r>
    </w:p>
    <w:p w:rsidR="00CC38FA" w:rsidRDefault="00CC38FA">
      <w:pPr>
        <w:pStyle w:val="a3"/>
        <w:spacing w:before="0" w:beforeAutospacing="0" w:after="0" w:afterAutospacing="0"/>
        <w:divId w:val="301622745"/>
      </w:pPr>
      <w:r>
        <w:rPr>
          <w:rFonts w:hint="eastAsia"/>
          <w:sz w:val="18"/>
          <w:szCs w:val="18"/>
        </w:rPr>
        <w:t>《放射工作人员健康管理规定》；</w:t>
      </w:r>
    </w:p>
    <w:p w:rsidR="00CC38FA" w:rsidRDefault="00CC38FA">
      <w:pPr>
        <w:pStyle w:val="a3"/>
        <w:spacing w:before="0" w:beforeAutospacing="0" w:after="0" w:afterAutospacing="0"/>
        <w:divId w:val="301622745"/>
      </w:pPr>
      <w:r>
        <w:rPr>
          <w:rFonts w:hint="eastAsia"/>
          <w:sz w:val="18"/>
          <w:szCs w:val="18"/>
        </w:rPr>
        <w:t>《放射事故管理规定》；</w:t>
      </w:r>
    </w:p>
    <w:p w:rsidR="00CC38FA" w:rsidRDefault="00CC38FA">
      <w:pPr>
        <w:pStyle w:val="a3"/>
        <w:spacing w:before="0" w:beforeAutospacing="0" w:after="0" w:afterAutospacing="0"/>
        <w:divId w:val="301622745"/>
      </w:pPr>
      <w:r>
        <w:rPr>
          <w:rFonts w:hint="eastAsia"/>
          <w:sz w:val="18"/>
          <w:szCs w:val="18"/>
        </w:rPr>
        <w:t>《建设项目环境影响登记表备案管理办法》；</w:t>
      </w:r>
    </w:p>
    <w:p w:rsidR="00CC38FA" w:rsidRDefault="00CC38FA">
      <w:pPr>
        <w:pStyle w:val="a3"/>
        <w:spacing w:before="0" w:beforeAutospacing="0" w:after="0" w:afterAutospacing="0"/>
        <w:divId w:val="301622745"/>
      </w:pPr>
      <w:r>
        <w:rPr>
          <w:rFonts w:hint="eastAsia"/>
          <w:sz w:val="18"/>
          <w:szCs w:val="18"/>
        </w:rPr>
        <w:t>《建设项目环境影响后评价管理办法》；</w:t>
      </w:r>
    </w:p>
    <w:p w:rsidR="00CC38FA" w:rsidRDefault="00CC38FA">
      <w:pPr>
        <w:pStyle w:val="a3"/>
        <w:spacing w:before="0" w:beforeAutospacing="0" w:after="0" w:afterAutospacing="0"/>
        <w:divId w:val="301622745"/>
      </w:pPr>
      <w:r>
        <w:rPr>
          <w:rFonts w:hint="eastAsia"/>
          <w:sz w:val="18"/>
          <w:szCs w:val="18"/>
        </w:rPr>
        <w:t>《危险废物转移联单管理办法》；</w:t>
      </w:r>
    </w:p>
    <w:p w:rsidR="00CC38FA" w:rsidRDefault="00CC38FA">
      <w:pPr>
        <w:pStyle w:val="a3"/>
        <w:spacing w:before="0" w:beforeAutospacing="0" w:after="0" w:afterAutospacing="0"/>
        <w:divId w:val="301622745"/>
      </w:pPr>
      <w:r>
        <w:rPr>
          <w:rFonts w:hint="eastAsia"/>
          <w:sz w:val="18"/>
          <w:szCs w:val="18"/>
        </w:rPr>
        <w:t>《排污许可管理条例</w:t>
      </w:r>
      <w:r>
        <w:rPr>
          <w:rFonts w:ascii="Calibri" w:hAnsi="Calibri" w:cs="Calibri"/>
          <w:sz w:val="18"/>
          <w:szCs w:val="18"/>
        </w:rPr>
        <w:t>(2021</w:t>
      </w:r>
      <w:r>
        <w:rPr>
          <w:rFonts w:hint="eastAsia"/>
          <w:sz w:val="18"/>
          <w:szCs w:val="18"/>
        </w:rPr>
        <w:t>版</w:t>
      </w:r>
      <w:r>
        <w:rPr>
          <w:rFonts w:ascii="Calibri" w:hAnsi="Calibri" w:cs="Calibri"/>
          <w:sz w:val="18"/>
          <w:szCs w:val="18"/>
        </w:rPr>
        <w:t>)</w:t>
      </w:r>
      <w:r>
        <w:rPr>
          <w:rFonts w:hint="eastAsia"/>
          <w:sz w:val="18"/>
          <w:szCs w:val="18"/>
        </w:rPr>
        <w:t>》；</w:t>
      </w:r>
    </w:p>
    <w:p w:rsidR="00CC38FA" w:rsidRDefault="00CC38FA">
      <w:pPr>
        <w:pStyle w:val="a3"/>
        <w:spacing w:before="0" w:beforeAutospacing="0" w:after="0" w:afterAutospacing="0"/>
        <w:divId w:val="301622745"/>
      </w:pPr>
      <w:r>
        <w:rPr>
          <w:rFonts w:hint="eastAsia"/>
          <w:sz w:val="18"/>
          <w:szCs w:val="18"/>
        </w:rPr>
        <w:t>《企业环境信息依法披露管理办法》；</w:t>
      </w:r>
    </w:p>
    <w:p w:rsidR="00CC38FA" w:rsidRDefault="00CC38FA">
      <w:pPr>
        <w:pStyle w:val="a3"/>
        <w:spacing w:before="0" w:beforeAutospacing="0" w:after="0" w:afterAutospacing="0"/>
        <w:divId w:val="301622745"/>
      </w:pPr>
      <w:r>
        <w:rPr>
          <w:rFonts w:hint="eastAsia"/>
          <w:sz w:val="18"/>
          <w:szCs w:val="18"/>
        </w:rPr>
        <w:t>《重点区域大气污染防治“十二五”规划》；</w:t>
      </w:r>
    </w:p>
    <w:p w:rsidR="00CC38FA" w:rsidRDefault="00CC38FA">
      <w:pPr>
        <w:pStyle w:val="a3"/>
        <w:spacing w:before="0" w:beforeAutospacing="0" w:after="0" w:afterAutospacing="0"/>
        <w:divId w:val="301622745"/>
      </w:pPr>
      <w:r>
        <w:rPr>
          <w:rFonts w:hint="eastAsia"/>
          <w:sz w:val="18"/>
          <w:szCs w:val="18"/>
        </w:rPr>
        <w:t>《打赢蓝天保卫战三年行动计划》（国发</w:t>
      </w:r>
      <w:r>
        <w:rPr>
          <w:rFonts w:ascii="Calibri" w:hAnsi="Calibri" w:cs="Calibri"/>
          <w:sz w:val="18"/>
          <w:szCs w:val="18"/>
        </w:rPr>
        <w:t>[2018]22</w:t>
      </w:r>
      <w:r>
        <w:rPr>
          <w:rFonts w:hint="eastAsia"/>
          <w:sz w:val="18"/>
          <w:szCs w:val="18"/>
        </w:rPr>
        <w:t>号）；</w:t>
      </w:r>
    </w:p>
    <w:p w:rsidR="00CC38FA" w:rsidRDefault="00CC38FA">
      <w:pPr>
        <w:pStyle w:val="a3"/>
        <w:spacing w:before="0" w:beforeAutospacing="0" w:after="0" w:afterAutospacing="0"/>
        <w:divId w:val="301622745"/>
      </w:pPr>
      <w:r>
        <w:rPr>
          <w:rFonts w:hint="eastAsia"/>
          <w:sz w:val="18"/>
          <w:szCs w:val="18"/>
        </w:rPr>
        <w:t>《挥发性有机物（</w:t>
      </w:r>
      <w:r>
        <w:rPr>
          <w:rFonts w:ascii="Calibri" w:hAnsi="Calibri" w:cs="Calibri"/>
          <w:sz w:val="18"/>
          <w:szCs w:val="18"/>
        </w:rPr>
        <w:t>VOCs</w:t>
      </w:r>
      <w:r>
        <w:rPr>
          <w:rFonts w:hint="eastAsia"/>
          <w:sz w:val="18"/>
          <w:szCs w:val="18"/>
        </w:rPr>
        <w:t>）污染防治技术政策》；</w:t>
      </w:r>
    </w:p>
    <w:p w:rsidR="00CC38FA" w:rsidRDefault="00CC38FA">
      <w:pPr>
        <w:pStyle w:val="a3"/>
        <w:spacing w:before="0" w:beforeAutospacing="0" w:after="0" w:afterAutospacing="0"/>
        <w:divId w:val="301622745"/>
      </w:pPr>
      <w:r>
        <w:rPr>
          <w:rFonts w:hint="eastAsia"/>
          <w:sz w:val="18"/>
          <w:szCs w:val="18"/>
        </w:rPr>
        <w:t>《重点行业挥发性有机物综合治理方案》；</w:t>
      </w:r>
    </w:p>
    <w:p w:rsidR="00CC38FA" w:rsidRDefault="00CC38FA">
      <w:pPr>
        <w:pStyle w:val="a3"/>
        <w:spacing w:before="0" w:beforeAutospacing="0" w:after="0" w:afterAutospacing="0"/>
        <w:divId w:val="301622745"/>
      </w:pPr>
      <w:r>
        <w:rPr>
          <w:rFonts w:hint="eastAsia"/>
          <w:sz w:val="18"/>
          <w:szCs w:val="18"/>
        </w:rPr>
        <w:t>《“十三五”挥发性有机物污染防治工作方案》；</w:t>
      </w:r>
    </w:p>
    <w:p w:rsidR="00CC38FA" w:rsidRDefault="00CC38FA">
      <w:pPr>
        <w:pStyle w:val="a3"/>
        <w:spacing w:before="0" w:beforeAutospacing="0" w:after="0" w:afterAutospacing="0"/>
        <w:divId w:val="301622745"/>
      </w:pPr>
      <w:r>
        <w:rPr>
          <w:rFonts w:hint="eastAsia"/>
          <w:sz w:val="18"/>
          <w:szCs w:val="18"/>
        </w:rPr>
        <w:t>《石化行业挥发性有机污染物综合整治方案》；</w:t>
      </w:r>
    </w:p>
    <w:p w:rsidR="00CC38FA" w:rsidRDefault="00CC38FA">
      <w:pPr>
        <w:pStyle w:val="a3"/>
        <w:spacing w:before="0" w:beforeAutospacing="0" w:after="0" w:afterAutospacing="0"/>
        <w:divId w:val="301622745"/>
      </w:pPr>
      <w:r>
        <w:rPr>
          <w:rFonts w:hint="eastAsia"/>
          <w:sz w:val="18"/>
          <w:szCs w:val="18"/>
        </w:rPr>
        <w:t>《石化行业泄漏检测与修复技术指南》；</w:t>
      </w:r>
    </w:p>
    <w:p w:rsidR="00CC38FA" w:rsidRDefault="00CC38FA">
      <w:pPr>
        <w:pStyle w:val="a3"/>
        <w:spacing w:before="0" w:beforeAutospacing="0" w:after="0" w:afterAutospacing="0"/>
        <w:divId w:val="301622745"/>
      </w:pPr>
      <w:r>
        <w:rPr>
          <w:rFonts w:hint="eastAsia"/>
          <w:sz w:val="18"/>
          <w:szCs w:val="18"/>
        </w:rPr>
        <w:t>《石化行业</w:t>
      </w:r>
      <w:r>
        <w:rPr>
          <w:rFonts w:ascii="Calibri" w:hAnsi="Calibri" w:cs="Calibri"/>
          <w:sz w:val="18"/>
          <w:szCs w:val="18"/>
        </w:rPr>
        <w:t xml:space="preserve">VOCs </w:t>
      </w:r>
      <w:r>
        <w:rPr>
          <w:rFonts w:hint="eastAsia"/>
          <w:sz w:val="18"/>
          <w:szCs w:val="18"/>
        </w:rPr>
        <w:t>污染源排查工作指南》。</w:t>
      </w:r>
    </w:p>
    <w:p w:rsidR="00CC38FA" w:rsidRDefault="00CC38FA">
      <w:pPr>
        <w:pStyle w:val="a3"/>
        <w:spacing w:before="0" w:beforeAutospacing="0" w:after="0" w:afterAutospacing="0"/>
        <w:divId w:val="301622745"/>
      </w:pPr>
      <w:r>
        <w:rPr>
          <w:rFonts w:ascii="Calibri" w:hAnsi="Calibri" w:cs="Calibri"/>
          <w:sz w:val="21"/>
          <w:szCs w:val="21"/>
        </w:rPr>
        <w:t> </w:t>
      </w:r>
    </w:p>
    <w:p w:rsidR="00CC38FA" w:rsidRDefault="00CC38FA">
      <w:pPr>
        <w:pStyle w:val="a3"/>
        <w:spacing w:before="0" w:beforeAutospacing="0" w:after="0" w:afterAutospacing="0"/>
        <w:divId w:val="301622745"/>
      </w:pPr>
      <w:r>
        <w:rPr>
          <w:rFonts w:hint="eastAsia"/>
          <w:sz w:val="18"/>
          <w:szCs w:val="18"/>
        </w:rPr>
        <w:t>地方法规和文件：</w:t>
      </w:r>
    </w:p>
    <w:p w:rsidR="00CC38FA" w:rsidRDefault="00CC38FA">
      <w:pPr>
        <w:pStyle w:val="a3"/>
        <w:spacing w:before="0" w:beforeAutospacing="0" w:after="0" w:afterAutospacing="0"/>
        <w:divId w:val="301622745"/>
      </w:pPr>
      <w:r>
        <w:rPr>
          <w:rFonts w:hint="eastAsia"/>
          <w:sz w:val="18"/>
          <w:szCs w:val="18"/>
        </w:rPr>
        <w:t>《辽宁省“十三五”挥发性有机物污染防治与削减工作实施方案》；</w:t>
      </w:r>
    </w:p>
    <w:p w:rsidR="00CC38FA" w:rsidRDefault="00CC38FA">
      <w:pPr>
        <w:pStyle w:val="a3"/>
        <w:spacing w:before="0" w:beforeAutospacing="0" w:after="0" w:afterAutospacing="0"/>
        <w:divId w:val="301622745"/>
      </w:pPr>
      <w:r>
        <w:rPr>
          <w:rFonts w:hint="eastAsia"/>
          <w:sz w:val="18"/>
          <w:szCs w:val="18"/>
        </w:rPr>
        <w:t>《辽宁省大气污染防治行动计划实施方案》；</w:t>
      </w:r>
    </w:p>
    <w:p w:rsidR="00CC38FA" w:rsidRDefault="00CC38FA">
      <w:pPr>
        <w:pStyle w:val="a3"/>
        <w:spacing w:before="0" w:beforeAutospacing="0" w:after="0" w:afterAutospacing="0"/>
        <w:divId w:val="301622745"/>
      </w:pPr>
      <w:r>
        <w:rPr>
          <w:rFonts w:hint="eastAsia"/>
          <w:sz w:val="18"/>
          <w:szCs w:val="18"/>
        </w:rPr>
        <w:t>《辽宁省人民政府办公厅关于蓝天工程的实施意见》；</w:t>
      </w:r>
    </w:p>
    <w:p w:rsidR="00CC38FA" w:rsidRDefault="00CC38FA">
      <w:pPr>
        <w:pStyle w:val="a3"/>
        <w:spacing w:before="0" w:beforeAutospacing="0" w:after="0" w:afterAutospacing="0"/>
        <w:divId w:val="301622745"/>
      </w:pPr>
      <w:r>
        <w:rPr>
          <w:rFonts w:hint="eastAsia"/>
          <w:sz w:val="18"/>
          <w:szCs w:val="18"/>
        </w:rPr>
        <w:t>《辽宁省环境保护条例》（</w:t>
      </w:r>
      <w:r>
        <w:rPr>
          <w:rFonts w:ascii="Calibri" w:hAnsi="Calibri" w:cs="Calibri"/>
          <w:sz w:val="18"/>
          <w:szCs w:val="18"/>
        </w:rPr>
        <w:t>2010.7.30</w:t>
      </w:r>
      <w:r>
        <w:rPr>
          <w:rFonts w:hint="eastAsia"/>
          <w:sz w:val="18"/>
          <w:szCs w:val="18"/>
        </w:rPr>
        <w:t>修正）；</w:t>
      </w:r>
    </w:p>
    <w:p w:rsidR="00CC38FA" w:rsidRDefault="00CC38FA">
      <w:pPr>
        <w:pStyle w:val="a3"/>
        <w:spacing w:before="0" w:beforeAutospacing="0" w:after="0" w:afterAutospacing="0"/>
        <w:divId w:val="301622745"/>
      </w:pPr>
      <w:r>
        <w:rPr>
          <w:rFonts w:hint="eastAsia"/>
          <w:sz w:val="18"/>
          <w:szCs w:val="18"/>
        </w:rPr>
        <w:t>《挥发性有机物排污收费试点办法》石化行业</w:t>
      </w:r>
      <w:r>
        <w:rPr>
          <w:rFonts w:ascii="Calibri" w:hAnsi="Calibri" w:cs="Calibri"/>
          <w:sz w:val="18"/>
          <w:szCs w:val="18"/>
        </w:rPr>
        <w:t>VOCs</w:t>
      </w:r>
      <w:r>
        <w:rPr>
          <w:rFonts w:hint="eastAsia"/>
          <w:sz w:val="18"/>
          <w:szCs w:val="18"/>
        </w:rPr>
        <w:t>排放量计算办法财税</w:t>
      </w:r>
      <w:r>
        <w:rPr>
          <w:rFonts w:ascii="Calibri" w:hAnsi="Calibri" w:cs="Calibri"/>
          <w:sz w:val="18"/>
          <w:szCs w:val="18"/>
        </w:rPr>
        <w:t>[2015]71</w:t>
      </w:r>
      <w:r>
        <w:rPr>
          <w:rFonts w:hint="eastAsia"/>
          <w:sz w:val="18"/>
          <w:szCs w:val="18"/>
        </w:rPr>
        <w:t>号；</w:t>
      </w:r>
    </w:p>
    <w:p w:rsidR="00CC38FA" w:rsidRDefault="00CC38FA">
      <w:pPr>
        <w:pStyle w:val="a3"/>
        <w:spacing w:before="0" w:beforeAutospacing="0" w:after="0" w:afterAutospacing="0"/>
        <w:divId w:val="301622745"/>
      </w:pPr>
      <w:r>
        <w:rPr>
          <w:rFonts w:hint="eastAsia"/>
          <w:sz w:val="18"/>
          <w:szCs w:val="18"/>
        </w:rPr>
        <w:t>《关于〈抚顺市“十三五”挥发性有机物污染防治与削减工作实施的方案〉的通知》；</w:t>
      </w:r>
    </w:p>
    <w:p w:rsidR="00CC38FA" w:rsidRDefault="00CC38FA">
      <w:pPr>
        <w:pStyle w:val="a3"/>
        <w:spacing w:before="0" w:beforeAutospacing="0" w:after="0" w:afterAutospacing="0"/>
        <w:divId w:val="301622745"/>
      </w:pPr>
      <w:r>
        <w:rPr>
          <w:rFonts w:hint="eastAsia"/>
          <w:sz w:val="18"/>
          <w:szCs w:val="18"/>
        </w:rPr>
        <w:lastRenderedPageBreak/>
        <w:t>《辽宁省打赢蓝天保卫战三年行动方案（</w:t>
      </w:r>
      <w:r>
        <w:rPr>
          <w:rFonts w:ascii="Calibri" w:hAnsi="Calibri" w:cs="Calibri"/>
          <w:sz w:val="18"/>
          <w:szCs w:val="18"/>
        </w:rPr>
        <w:t>2018-2020</w:t>
      </w:r>
      <w:r>
        <w:rPr>
          <w:rFonts w:hint="eastAsia"/>
          <w:sz w:val="18"/>
          <w:szCs w:val="18"/>
        </w:rPr>
        <w:t>）的通知》；</w:t>
      </w:r>
    </w:p>
    <w:p w:rsidR="00CC38FA" w:rsidRDefault="00CC38FA">
      <w:pPr>
        <w:pStyle w:val="a3"/>
        <w:spacing w:before="0" w:beforeAutospacing="0" w:after="0" w:afterAutospacing="0"/>
        <w:divId w:val="301622745"/>
      </w:pPr>
      <w:r>
        <w:rPr>
          <w:rFonts w:hint="eastAsia"/>
          <w:sz w:val="18"/>
          <w:szCs w:val="18"/>
        </w:rPr>
        <w:t>《辽宁省大气污染防治行动计划实施方案的通知》；</w:t>
      </w:r>
    </w:p>
    <w:p w:rsidR="00CC38FA" w:rsidRDefault="00CC38FA">
      <w:pPr>
        <w:pStyle w:val="a3"/>
        <w:spacing w:before="0" w:beforeAutospacing="0" w:after="0" w:afterAutospacing="0"/>
        <w:divId w:val="301622745"/>
      </w:pPr>
      <w:r>
        <w:rPr>
          <w:rFonts w:hint="eastAsia"/>
          <w:sz w:val="18"/>
          <w:szCs w:val="18"/>
        </w:rPr>
        <w:t>《山东省环境保护条例》；</w:t>
      </w:r>
    </w:p>
    <w:p w:rsidR="00CC38FA" w:rsidRDefault="00CC38FA">
      <w:pPr>
        <w:pStyle w:val="a3"/>
        <w:spacing w:before="0" w:beforeAutospacing="0" w:after="0" w:afterAutospacing="0"/>
        <w:divId w:val="301622745"/>
      </w:pPr>
      <w:r>
        <w:rPr>
          <w:rFonts w:hint="eastAsia"/>
          <w:sz w:val="18"/>
          <w:szCs w:val="18"/>
        </w:rPr>
        <w:t>《山东省大气污染防治条例》；</w:t>
      </w:r>
    </w:p>
    <w:p w:rsidR="00CC38FA" w:rsidRDefault="00CC38FA">
      <w:pPr>
        <w:pStyle w:val="a3"/>
        <w:spacing w:before="0" w:beforeAutospacing="0" w:after="0" w:afterAutospacing="0"/>
        <w:divId w:val="301622745"/>
      </w:pPr>
      <w:r>
        <w:rPr>
          <w:rFonts w:hint="eastAsia"/>
          <w:sz w:val="18"/>
          <w:szCs w:val="18"/>
        </w:rPr>
        <w:t>《山东省水污染防治条例》；</w:t>
      </w:r>
    </w:p>
    <w:p w:rsidR="00CC38FA" w:rsidRDefault="00CC38FA">
      <w:pPr>
        <w:pStyle w:val="a3"/>
        <w:spacing w:before="0" w:beforeAutospacing="0" w:after="0" w:afterAutospacing="0"/>
        <w:divId w:val="301622745"/>
      </w:pPr>
      <w:r>
        <w:rPr>
          <w:rFonts w:hint="eastAsia"/>
          <w:sz w:val="18"/>
          <w:szCs w:val="18"/>
        </w:rPr>
        <w:t>《山东省实施〈中华人民共和国固体废物污染环境防治法〉办法》；</w:t>
      </w:r>
    </w:p>
    <w:p w:rsidR="00CC38FA" w:rsidRDefault="00CC38FA">
      <w:pPr>
        <w:pStyle w:val="a3"/>
        <w:spacing w:before="0" w:beforeAutospacing="0" w:after="0" w:afterAutospacing="0"/>
        <w:divId w:val="301622745"/>
      </w:pPr>
      <w:r>
        <w:rPr>
          <w:rFonts w:hint="eastAsia"/>
          <w:sz w:val="18"/>
          <w:szCs w:val="18"/>
        </w:rPr>
        <w:t>《山东省实施〈中华人民共和国大气污染防治法〉办法》；</w:t>
      </w:r>
    </w:p>
    <w:p w:rsidR="00CC38FA" w:rsidRDefault="00CC38FA">
      <w:pPr>
        <w:pStyle w:val="a3"/>
        <w:spacing w:before="0" w:beforeAutospacing="0" w:after="0" w:afterAutospacing="0"/>
        <w:divId w:val="301622745"/>
      </w:pPr>
      <w:r>
        <w:rPr>
          <w:rFonts w:hint="eastAsia"/>
          <w:sz w:val="18"/>
          <w:szCs w:val="18"/>
        </w:rPr>
        <w:t>《山东省环境噪声污染防治条例》；</w:t>
      </w:r>
    </w:p>
    <w:p w:rsidR="00CC38FA" w:rsidRDefault="00CC38FA">
      <w:pPr>
        <w:pStyle w:val="a3"/>
        <w:spacing w:before="0" w:beforeAutospacing="0" w:after="0" w:afterAutospacing="0"/>
        <w:divId w:val="301622745"/>
      </w:pPr>
      <w:r>
        <w:rPr>
          <w:rFonts w:hint="eastAsia"/>
          <w:sz w:val="18"/>
          <w:szCs w:val="18"/>
        </w:rPr>
        <w:t>《山东省环境污染行政责任追究办法》；</w:t>
      </w:r>
    </w:p>
    <w:p w:rsidR="00CC38FA" w:rsidRDefault="00CC38FA">
      <w:pPr>
        <w:pStyle w:val="a3"/>
        <w:spacing w:before="0" w:beforeAutospacing="0" w:after="0" w:afterAutospacing="0"/>
        <w:divId w:val="301622745"/>
      </w:pPr>
      <w:r>
        <w:rPr>
          <w:rFonts w:hint="eastAsia"/>
          <w:sz w:val="18"/>
          <w:szCs w:val="18"/>
        </w:rPr>
        <w:t>《山东省防治环境污染设施监督管理办法》；</w:t>
      </w:r>
    </w:p>
    <w:p w:rsidR="00CC38FA" w:rsidRDefault="00CC38FA">
      <w:pPr>
        <w:pStyle w:val="a3"/>
        <w:spacing w:before="0" w:beforeAutospacing="0" w:after="0" w:afterAutospacing="0"/>
        <w:divId w:val="301622745"/>
      </w:pPr>
      <w:r>
        <w:rPr>
          <w:rFonts w:hint="eastAsia"/>
          <w:sz w:val="18"/>
          <w:szCs w:val="18"/>
        </w:rPr>
        <w:t>《山东省实施〈中华人民共和国环境影响评价法〉办法》；</w:t>
      </w:r>
    </w:p>
    <w:p w:rsidR="00CC38FA" w:rsidRDefault="00CC38FA">
      <w:pPr>
        <w:pStyle w:val="a3"/>
        <w:spacing w:before="0" w:beforeAutospacing="0" w:after="0" w:afterAutospacing="0"/>
        <w:divId w:val="301622745"/>
      </w:pPr>
      <w:r>
        <w:rPr>
          <w:rFonts w:hint="eastAsia"/>
          <w:sz w:val="18"/>
          <w:szCs w:val="18"/>
        </w:rPr>
        <w:t>《青岛市大气污染防治条例》；</w:t>
      </w:r>
    </w:p>
    <w:p w:rsidR="00CC38FA" w:rsidRDefault="00CC38FA">
      <w:pPr>
        <w:pStyle w:val="a3"/>
        <w:spacing w:before="0" w:beforeAutospacing="0" w:after="0" w:afterAutospacing="0"/>
        <w:divId w:val="301622745"/>
      </w:pPr>
      <w:r>
        <w:rPr>
          <w:rFonts w:hint="eastAsia"/>
          <w:sz w:val="18"/>
          <w:szCs w:val="18"/>
        </w:rPr>
        <w:t>《青岛市环境噪声管理规定》；</w:t>
      </w:r>
    </w:p>
    <w:p w:rsidR="00CC38FA" w:rsidRDefault="00CC38FA">
      <w:pPr>
        <w:pStyle w:val="a3"/>
        <w:spacing w:before="0" w:beforeAutospacing="0" w:after="0" w:afterAutospacing="0"/>
        <w:divId w:val="301622745"/>
      </w:pPr>
      <w:r>
        <w:rPr>
          <w:rFonts w:hint="eastAsia"/>
          <w:sz w:val="18"/>
          <w:szCs w:val="18"/>
        </w:rPr>
        <w:t>《生活饮用水卫生监督管理办法》。</w:t>
      </w:r>
    </w:p>
    <w:p w:rsidR="00CC38FA" w:rsidRDefault="00CC38FA">
      <w:pPr>
        <w:pStyle w:val="a3"/>
        <w:spacing w:before="0" w:beforeAutospacing="0" w:after="0" w:afterAutospacing="0"/>
        <w:divId w:val="301622745"/>
      </w:pPr>
      <w:r>
        <w:rPr>
          <w:rFonts w:ascii="Calibri" w:hAnsi="Calibri" w:cs="Calibri"/>
          <w:sz w:val="21"/>
          <w:szCs w:val="21"/>
        </w:rPr>
        <w:t> </w:t>
      </w:r>
    </w:p>
    <w:p w:rsidR="00CC38FA" w:rsidRDefault="00CC38FA">
      <w:pPr>
        <w:pStyle w:val="a3"/>
        <w:spacing w:before="0" w:beforeAutospacing="0" w:after="0" w:afterAutospacing="0"/>
        <w:divId w:val="301622745"/>
      </w:pPr>
      <w:r>
        <w:rPr>
          <w:rFonts w:hint="eastAsia"/>
          <w:sz w:val="18"/>
          <w:szCs w:val="18"/>
        </w:rPr>
        <w:t>技术规范和行业规范：</w:t>
      </w:r>
    </w:p>
    <w:p w:rsidR="00CC38FA" w:rsidRDefault="00CC38FA">
      <w:pPr>
        <w:pStyle w:val="a3"/>
        <w:spacing w:before="0" w:beforeAutospacing="0" w:after="0" w:afterAutospacing="0"/>
        <w:divId w:val="301622745"/>
      </w:pPr>
      <w:r>
        <w:rPr>
          <w:rFonts w:hint="eastAsia"/>
          <w:sz w:val="18"/>
          <w:szCs w:val="18"/>
        </w:rPr>
        <w:t>《建设项目环境风险评价技术导则》；</w:t>
      </w:r>
    </w:p>
    <w:p w:rsidR="00CC38FA" w:rsidRDefault="00CC38FA">
      <w:pPr>
        <w:pStyle w:val="a3"/>
        <w:spacing w:before="0" w:beforeAutospacing="0" w:after="0" w:afterAutospacing="0"/>
        <w:divId w:val="301622745"/>
      </w:pPr>
      <w:r>
        <w:rPr>
          <w:rFonts w:hint="eastAsia"/>
          <w:sz w:val="18"/>
          <w:szCs w:val="18"/>
        </w:rPr>
        <w:t>《一般工业固体废物贮存、处置场污染控、处置场污染控制标准》；</w:t>
      </w:r>
    </w:p>
    <w:p w:rsidR="00CC38FA" w:rsidRDefault="00CC38FA">
      <w:pPr>
        <w:pStyle w:val="a3"/>
        <w:spacing w:before="0" w:beforeAutospacing="0" w:after="0" w:afterAutospacing="0"/>
        <w:divId w:val="301622745"/>
      </w:pPr>
      <w:r>
        <w:rPr>
          <w:rFonts w:hint="eastAsia"/>
          <w:sz w:val="18"/>
          <w:szCs w:val="18"/>
        </w:rPr>
        <w:t>《危险废物贮存污染控制标准》；</w:t>
      </w:r>
    </w:p>
    <w:p w:rsidR="00CC38FA" w:rsidRDefault="00CC38FA">
      <w:pPr>
        <w:pStyle w:val="a3"/>
        <w:spacing w:before="0" w:beforeAutospacing="0" w:after="0" w:afterAutospacing="0"/>
        <w:divId w:val="301622745"/>
      </w:pPr>
      <w:r>
        <w:rPr>
          <w:rFonts w:hint="eastAsia"/>
          <w:sz w:val="18"/>
          <w:szCs w:val="18"/>
        </w:rPr>
        <w:t>《危险废物填埋污染控制标准》；</w:t>
      </w:r>
    </w:p>
    <w:p w:rsidR="00CC38FA" w:rsidRDefault="00CC38FA">
      <w:pPr>
        <w:pStyle w:val="a3"/>
        <w:spacing w:before="0" w:beforeAutospacing="0" w:after="0" w:afterAutospacing="0"/>
        <w:divId w:val="301622745"/>
      </w:pPr>
      <w:r>
        <w:rPr>
          <w:rFonts w:hint="eastAsia"/>
          <w:sz w:val="18"/>
          <w:szCs w:val="18"/>
        </w:rPr>
        <w:t>《危险废物识别标志设置技术规范》；</w:t>
      </w:r>
    </w:p>
    <w:p w:rsidR="00CC38FA" w:rsidRDefault="00CC38FA">
      <w:pPr>
        <w:pStyle w:val="a3"/>
        <w:spacing w:before="0" w:beforeAutospacing="0" w:after="0" w:afterAutospacing="0"/>
        <w:divId w:val="301622745"/>
      </w:pPr>
      <w:r>
        <w:rPr>
          <w:rFonts w:hint="eastAsia"/>
          <w:sz w:val="18"/>
          <w:szCs w:val="18"/>
        </w:rPr>
        <w:t>《国家危险废物名录》；</w:t>
      </w:r>
    </w:p>
    <w:p w:rsidR="00CC38FA" w:rsidRDefault="00CC38FA">
      <w:pPr>
        <w:pStyle w:val="a3"/>
        <w:spacing w:before="0" w:beforeAutospacing="0" w:after="0" w:afterAutospacing="0"/>
        <w:divId w:val="301622745"/>
      </w:pPr>
      <w:r>
        <w:rPr>
          <w:rFonts w:hint="eastAsia"/>
          <w:sz w:val="18"/>
          <w:szCs w:val="18"/>
        </w:rPr>
        <w:t>《污水排入城市下水道水质标准》；</w:t>
      </w:r>
    </w:p>
    <w:p w:rsidR="00CC38FA" w:rsidRDefault="00CC38FA">
      <w:pPr>
        <w:pStyle w:val="a3"/>
        <w:spacing w:before="0" w:beforeAutospacing="0" w:after="0" w:afterAutospacing="0"/>
        <w:divId w:val="301622745"/>
      </w:pPr>
      <w:r>
        <w:rPr>
          <w:rFonts w:hint="eastAsia"/>
          <w:sz w:val="18"/>
          <w:szCs w:val="18"/>
        </w:rPr>
        <w:t>《挥发性有机物无组织排放控制准标》；</w:t>
      </w:r>
    </w:p>
    <w:p w:rsidR="00CC38FA" w:rsidRDefault="00CC38FA">
      <w:pPr>
        <w:pStyle w:val="a3"/>
        <w:spacing w:before="0" w:beforeAutospacing="0" w:after="0" w:afterAutospacing="0"/>
        <w:divId w:val="301622745"/>
      </w:pPr>
      <w:r>
        <w:rPr>
          <w:rFonts w:hint="eastAsia"/>
          <w:sz w:val="18"/>
          <w:szCs w:val="18"/>
        </w:rPr>
        <w:t>《排污单位自行监测技术指南总则》；</w:t>
      </w:r>
    </w:p>
    <w:p w:rsidR="00CC38FA" w:rsidRDefault="00CC38FA">
      <w:pPr>
        <w:pStyle w:val="a3"/>
        <w:spacing w:before="0" w:beforeAutospacing="0" w:after="0" w:afterAutospacing="0"/>
        <w:divId w:val="301622745"/>
      </w:pPr>
      <w:r>
        <w:rPr>
          <w:rFonts w:hint="eastAsia"/>
          <w:sz w:val="18"/>
          <w:szCs w:val="18"/>
        </w:rPr>
        <w:t>《石化行业</w:t>
      </w:r>
      <w:r>
        <w:rPr>
          <w:rFonts w:ascii="Calibri" w:hAnsi="Calibri" w:cs="Calibri"/>
          <w:sz w:val="18"/>
          <w:szCs w:val="18"/>
        </w:rPr>
        <w:t>VOCs</w:t>
      </w:r>
      <w:r>
        <w:rPr>
          <w:rFonts w:hint="eastAsia"/>
          <w:sz w:val="18"/>
          <w:szCs w:val="18"/>
        </w:rPr>
        <w:t>污染源排查工作指南》；</w:t>
      </w:r>
    </w:p>
    <w:p w:rsidR="00CC38FA" w:rsidRDefault="00CC38FA">
      <w:pPr>
        <w:pStyle w:val="a3"/>
        <w:spacing w:before="0" w:beforeAutospacing="0" w:after="0" w:afterAutospacing="0"/>
        <w:divId w:val="301622745"/>
      </w:pPr>
      <w:r>
        <w:rPr>
          <w:rFonts w:hint="eastAsia"/>
          <w:sz w:val="18"/>
          <w:szCs w:val="18"/>
        </w:rPr>
        <w:t>《石化企业泄漏检测与修复工作指南》；</w:t>
      </w:r>
    </w:p>
    <w:p w:rsidR="00CC38FA" w:rsidRDefault="00CC38FA">
      <w:pPr>
        <w:pStyle w:val="a3"/>
        <w:spacing w:before="0" w:beforeAutospacing="0" w:after="0" w:afterAutospacing="0"/>
        <w:divId w:val="301622745"/>
      </w:pPr>
      <w:r>
        <w:rPr>
          <w:rFonts w:hint="eastAsia"/>
          <w:sz w:val="18"/>
          <w:szCs w:val="18"/>
        </w:rPr>
        <w:t>《泄漏和敞开液面排放的挥发性有机物检测技术导则》；</w:t>
      </w:r>
    </w:p>
    <w:p w:rsidR="00CC38FA" w:rsidRDefault="00CC38FA">
      <w:pPr>
        <w:pStyle w:val="a3"/>
        <w:spacing w:before="0" w:beforeAutospacing="0" w:after="0" w:afterAutospacing="0"/>
        <w:divId w:val="301622745"/>
      </w:pPr>
      <w:r>
        <w:rPr>
          <w:rFonts w:hint="eastAsia"/>
          <w:sz w:val="18"/>
          <w:szCs w:val="18"/>
        </w:rPr>
        <w:t>《石化行业挥发性有机物治理实用手册》；</w:t>
      </w:r>
    </w:p>
    <w:p w:rsidR="00CC38FA" w:rsidRDefault="00CC38FA">
      <w:pPr>
        <w:pStyle w:val="a3"/>
        <w:spacing w:before="0" w:beforeAutospacing="0" w:after="0" w:afterAutospacing="0"/>
        <w:divId w:val="301622745"/>
      </w:pPr>
      <w:r>
        <w:rPr>
          <w:rFonts w:hint="eastAsia"/>
          <w:sz w:val="18"/>
          <w:szCs w:val="18"/>
        </w:rPr>
        <w:t>《挥发性有机物综合治理一厂一策编制技术指南》；</w:t>
      </w:r>
    </w:p>
    <w:p w:rsidR="00CC38FA" w:rsidRDefault="00CC38FA">
      <w:pPr>
        <w:pStyle w:val="a3"/>
        <w:spacing w:before="0" w:beforeAutospacing="0" w:after="0" w:afterAutospacing="0"/>
        <w:divId w:val="301622745"/>
      </w:pPr>
      <w:r>
        <w:rPr>
          <w:rFonts w:hint="eastAsia"/>
          <w:sz w:val="18"/>
          <w:szCs w:val="18"/>
        </w:rPr>
        <w:t>《石油炼制工业废气治理工程技术规范》；</w:t>
      </w:r>
    </w:p>
    <w:p w:rsidR="00CC38FA" w:rsidRDefault="00CC38FA">
      <w:pPr>
        <w:pStyle w:val="a3"/>
        <w:spacing w:before="0" w:beforeAutospacing="0" w:after="0" w:afterAutospacing="0"/>
        <w:divId w:val="301622745"/>
      </w:pPr>
      <w:r>
        <w:rPr>
          <w:rFonts w:hint="eastAsia"/>
          <w:sz w:val="18"/>
          <w:szCs w:val="18"/>
        </w:rPr>
        <w:t>《石化行业建设项目挥发性有机物（</w:t>
      </w:r>
      <w:r>
        <w:rPr>
          <w:rFonts w:ascii="Calibri" w:hAnsi="Calibri" w:cs="Calibri"/>
          <w:sz w:val="18"/>
          <w:szCs w:val="18"/>
        </w:rPr>
        <w:t>VOCs</w:t>
      </w:r>
      <w:r>
        <w:rPr>
          <w:rFonts w:hint="eastAsia"/>
          <w:sz w:val="18"/>
          <w:szCs w:val="18"/>
        </w:rPr>
        <w:t>）排放量估算方法技术指南（试行）》；</w:t>
      </w:r>
    </w:p>
    <w:p w:rsidR="00CC38FA" w:rsidRDefault="00CC38FA">
      <w:pPr>
        <w:pStyle w:val="a3"/>
        <w:spacing w:before="0" w:beforeAutospacing="0" w:after="0" w:afterAutospacing="0"/>
        <w:divId w:val="301622745"/>
      </w:pPr>
      <w:r>
        <w:rPr>
          <w:rFonts w:hint="eastAsia"/>
          <w:sz w:val="18"/>
          <w:szCs w:val="18"/>
        </w:rPr>
        <w:t>《石化装置挥发性有机化合物泄漏检测规范》；</w:t>
      </w:r>
    </w:p>
    <w:p w:rsidR="00CC38FA" w:rsidRDefault="00CC38FA">
      <w:pPr>
        <w:pStyle w:val="a3"/>
        <w:spacing w:before="0" w:beforeAutospacing="0" w:after="0" w:afterAutospacing="0"/>
        <w:divId w:val="301622745"/>
      </w:pPr>
      <w:r>
        <w:rPr>
          <w:rFonts w:hint="eastAsia"/>
          <w:sz w:val="18"/>
          <w:szCs w:val="18"/>
        </w:rPr>
        <w:t>《固定源废气监测技术规范》；</w:t>
      </w:r>
    </w:p>
    <w:p w:rsidR="00CC38FA" w:rsidRDefault="00CC38FA">
      <w:pPr>
        <w:pStyle w:val="a3"/>
        <w:spacing w:before="0" w:beforeAutospacing="0" w:after="0" w:afterAutospacing="0"/>
        <w:divId w:val="301622745"/>
      </w:pPr>
      <w:r>
        <w:rPr>
          <w:rFonts w:hint="eastAsia"/>
          <w:sz w:val="18"/>
          <w:szCs w:val="18"/>
        </w:rPr>
        <w:t>《石油化工行业</w:t>
      </w:r>
      <w:r>
        <w:rPr>
          <w:rFonts w:ascii="Calibri" w:hAnsi="Calibri" w:cs="Calibri"/>
          <w:sz w:val="18"/>
          <w:szCs w:val="18"/>
        </w:rPr>
        <w:t xml:space="preserve">VOCs </w:t>
      </w:r>
      <w:r>
        <w:rPr>
          <w:rFonts w:hint="eastAsia"/>
          <w:sz w:val="18"/>
          <w:szCs w:val="18"/>
        </w:rPr>
        <w:t>排放量计算方法》（试行）；</w:t>
      </w:r>
    </w:p>
    <w:p w:rsidR="00CC38FA" w:rsidRDefault="00CC38FA">
      <w:pPr>
        <w:pStyle w:val="a3"/>
        <w:spacing w:before="0" w:beforeAutospacing="0" w:after="0" w:afterAutospacing="0"/>
        <w:divId w:val="301622745"/>
      </w:pPr>
      <w:r>
        <w:rPr>
          <w:rFonts w:hint="eastAsia"/>
          <w:sz w:val="18"/>
          <w:szCs w:val="18"/>
        </w:rPr>
        <w:t>《泄漏和敞开液面排放的挥发性有机物检测技术导则》；</w:t>
      </w:r>
    </w:p>
    <w:p w:rsidR="00CC38FA" w:rsidRDefault="00CC38FA">
      <w:pPr>
        <w:pStyle w:val="a3"/>
        <w:spacing w:before="0" w:beforeAutospacing="0" w:after="0" w:afterAutospacing="0"/>
        <w:divId w:val="301622745"/>
      </w:pPr>
      <w:r>
        <w:rPr>
          <w:rFonts w:hint="eastAsia"/>
          <w:sz w:val="18"/>
          <w:szCs w:val="18"/>
        </w:rPr>
        <w:t>《大气污染物综合排放标准》；</w:t>
      </w:r>
    </w:p>
    <w:p w:rsidR="00CC38FA" w:rsidRDefault="00CC38FA">
      <w:pPr>
        <w:pStyle w:val="a3"/>
        <w:spacing w:before="0" w:beforeAutospacing="0" w:after="0" w:afterAutospacing="0"/>
        <w:divId w:val="301622745"/>
      </w:pPr>
      <w:r>
        <w:rPr>
          <w:rFonts w:hint="eastAsia"/>
          <w:sz w:val="18"/>
          <w:szCs w:val="18"/>
        </w:rPr>
        <w:t>《石油炼制工业污染物排放标准》；</w:t>
      </w:r>
    </w:p>
    <w:p w:rsidR="00CC38FA" w:rsidRDefault="00CC38FA">
      <w:pPr>
        <w:pStyle w:val="a3"/>
        <w:spacing w:before="0" w:beforeAutospacing="0" w:after="0" w:afterAutospacing="0"/>
        <w:divId w:val="301622745"/>
      </w:pPr>
      <w:r>
        <w:rPr>
          <w:rFonts w:hint="eastAsia"/>
          <w:sz w:val="18"/>
          <w:szCs w:val="18"/>
        </w:rPr>
        <w:t>《石油化学工业污染物排放标准》；</w:t>
      </w:r>
    </w:p>
    <w:p w:rsidR="00CC38FA" w:rsidRDefault="00CC38FA">
      <w:pPr>
        <w:pStyle w:val="a3"/>
        <w:spacing w:before="0" w:beforeAutospacing="0" w:after="0" w:afterAutospacing="0"/>
        <w:divId w:val="301622745"/>
      </w:pPr>
      <w:r>
        <w:rPr>
          <w:rFonts w:hint="eastAsia"/>
          <w:sz w:val="18"/>
          <w:szCs w:val="18"/>
        </w:rPr>
        <w:t>《恶臭污染物排放标准》；</w:t>
      </w:r>
    </w:p>
    <w:p w:rsidR="00CC38FA" w:rsidRDefault="00CC38FA">
      <w:pPr>
        <w:pStyle w:val="a3"/>
        <w:spacing w:before="0" w:beforeAutospacing="0" w:after="0" w:afterAutospacing="0"/>
        <w:divId w:val="301622745"/>
      </w:pPr>
      <w:r>
        <w:rPr>
          <w:rFonts w:hint="eastAsia"/>
          <w:sz w:val="18"/>
          <w:szCs w:val="18"/>
        </w:rPr>
        <w:t>《辽宁省污水综合排放标准》；</w:t>
      </w:r>
    </w:p>
    <w:p w:rsidR="00CC38FA" w:rsidRDefault="00CC38FA">
      <w:pPr>
        <w:pStyle w:val="a3"/>
        <w:spacing w:before="0" w:beforeAutospacing="0" w:after="0" w:afterAutospacing="0"/>
        <w:divId w:val="301622745"/>
      </w:pPr>
      <w:r>
        <w:rPr>
          <w:rFonts w:hint="eastAsia"/>
          <w:sz w:val="18"/>
          <w:szCs w:val="18"/>
        </w:rPr>
        <w:t>《挥发性有机物无组织排放控制标准》。</w:t>
      </w:r>
    </w:p>
    <w:p w:rsidR="007F3A90" w:rsidRPr="003B5BBD" w:rsidRDefault="00CC38FA">
      <w:pPr>
        <w:spacing w:before="100" w:after="100" w:line="240" w:lineRule="exact"/>
        <w:rPr>
          <w:rFonts w:ascii="宋体" w:eastAsia="宋体" w:hAnsi="宋体" w:cs="宋体"/>
          <w:b/>
          <w:sz w:val="18"/>
          <w:szCs w:val="18"/>
        </w:rPr>
      </w:pPr>
      <w:r w:rsidRPr="003B5BBD">
        <w:rPr>
          <w:rFonts w:ascii="宋体" w:eastAsia="宋体" w:hAnsi="宋体" w:cs="宋体"/>
          <w:b/>
          <w:sz w:val="18"/>
          <w:szCs w:val="18"/>
        </w:rPr>
        <w:t>环境保护行政许可情况</w:t>
      </w:r>
    </w:p>
    <w:p w:rsidR="003B5BBD" w:rsidRDefault="00CC38FA">
      <w:pPr>
        <w:pStyle w:val="a3"/>
        <w:divId w:val="1253970971"/>
      </w:pPr>
      <w:r>
        <w:rPr>
          <w:rFonts w:hint="eastAsia"/>
          <w:sz w:val="18"/>
          <w:szCs w:val="18"/>
        </w:rPr>
        <w:lastRenderedPageBreak/>
        <w:t>软控机电：</w:t>
      </w:r>
    </w:p>
    <w:p w:rsidR="003B5BBD" w:rsidRDefault="00CC38FA" w:rsidP="003B5BBD">
      <w:pPr>
        <w:pStyle w:val="a3"/>
        <w:divId w:val="1253970971"/>
      </w:pPr>
      <w:r>
        <w:rPr>
          <w:rFonts w:hint="eastAsia"/>
          <w:sz w:val="18"/>
          <w:szCs w:val="18"/>
        </w:rPr>
        <w:t>《排污许可证》有效期</w:t>
      </w:r>
      <w:r>
        <w:rPr>
          <w:rFonts w:ascii="Calibri" w:hAnsi="Calibri" w:cs="Calibri"/>
          <w:sz w:val="18"/>
          <w:szCs w:val="18"/>
        </w:rPr>
        <w:t>2023</w:t>
      </w:r>
      <w:r>
        <w:rPr>
          <w:rFonts w:hint="eastAsia"/>
          <w:sz w:val="18"/>
          <w:szCs w:val="18"/>
        </w:rPr>
        <w:t>年</w:t>
      </w:r>
      <w:r>
        <w:rPr>
          <w:rFonts w:ascii="Calibri" w:hAnsi="Calibri" w:cs="Calibri"/>
          <w:sz w:val="18"/>
          <w:szCs w:val="18"/>
        </w:rPr>
        <w:t>11</w:t>
      </w:r>
      <w:r>
        <w:rPr>
          <w:rFonts w:hint="eastAsia"/>
          <w:sz w:val="18"/>
          <w:szCs w:val="18"/>
        </w:rPr>
        <w:t>月</w:t>
      </w:r>
      <w:r>
        <w:rPr>
          <w:rFonts w:ascii="Calibri" w:hAnsi="Calibri" w:cs="Calibri"/>
          <w:sz w:val="18"/>
          <w:szCs w:val="18"/>
        </w:rPr>
        <w:t>24</w:t>
      </w:r>
      <w:r>
        <w:rPr>
          <w:rFonts w:hint="eastAsia"/>
          <w:sz w:val="18"/>
          <w:szCs w:val="18"/>
        </w:rPr>
        <w:t>日</w:t>
      </w:r>
      <w:r>
        <w:rPr>
          <w:rFonts w:ascii="Calibri" w:hAnsi="Calibri" w:cs="Calibri"/>
          <w:sz w:val="18"/>
          <w:szCs w:val="18"/>
        </w:rPr>
        <w:t>-2028</w:t>
      </w:r>
      <w:r>
        <w:rPr>
          <w:rFonts w:hint="eastAsia"/>
          <w:sz w:val="18"/>
          <w:szCs w:val="18"/>
        </w:rPr>
        <w:t>年</w:t>
      </w:r>
      <w:r>
        <w:rPr>
          <w:rFonts w:ascii="Calibri" w:hAnsi="Calibri" w:cs="Calibri"/>
          <w:sz w:val="18"/>
          <w:szCs w:val="18"/>
        </w:rPr>
        <w:t>11</w:t>
      </w:r>
      <w:r>
        <w:rPr>
          <w:rFonts w:hint="eastAsia"/>
          <w:sz w:val="18"/>
          <w:szCs w:val="18"/>
        </w:rPr>
        <w:t>月</w:t>
      </w:r>
      <w:r>
        <w:rPr>
          <w:rFonts w:ascii="Calibri" w:hAnsi="Calibri" w:cs="Calibri"/>
          <w:sz w:val="18"/>
          <w:szCs w:val="18"/>
        </w:rPr>
        <w:t>23</w:t>
      </w:r>
      <w:r>
        <w:rPr>
          <w:rFonts w:hint="eastAsia"/>
          <w:sz w:val="18"/>
          <w:szCs w:val="18"/>
        </w:rPr>
        <w:t>日。</w:t>
      </w:r>
    </w:p>
    <w:p w:rsidR="00CC38FA" w:rsidRDefault="00CC38FA" w:rsidP="003B5BBD">
      <w:pPr>
        <w:pStyle w:val="a3"/>
        <w:divId w:val="1253970971"/>
      </w:pPr>
      <w:r>
        <w:rPr>
          <w:rFonts w:hint="eastAsia"/>
          <w:sz w:val="18"/>
          <w:szCs w:val="18"/>
        </w:rPr>
        <w:t>抚顺伊科思：</w:t>
      </w:r>
    </w:p>
    <w:p w:rsidR="00CC38FA" w:rsidRDefault="00CC38FA">
      <w:pPr>
        <w:pStyle w:val="a3"/>
        <w:spacing w:before="0" w:beforeAutospacing="0" w:after="0" w:afterAutospacing="0"/>
        <w:ind w:firstLine="360"/>
        <w:divId w:val="1253970971"/>
      </w:pPr>
      <w:r>
        <w:rPr>
          <w:rFonts w:ascii="Calibri" w:hAnsi="Calibri" w:cs="Calibri"/>
          <w:sz w:val="18"/>
          <w:szCs w:val="18"/>
        </w:rPr>
        <w:t>2010</w:t>
      </w:r>
      <w:r>
        <w:rPr>
          <w:rFonts w:hint="eastAsia"/>
          <w:sz w:val="18"/>
          <w:szCs w:val="18"/>
        </w:rPr>
        <w:t>年企业委托辽宁省环境科学研究院编制《抚顺伊科思新材料有限公司</w:t>
      </w:r>
      <w:r>
        <w:rPr>
          <w:rFonts w:ascii="Calibri" w:hAnsi="Calibri" w:cs="Calibri"/>
          <w:sz w:val="18"/>
          <w:szCs w:val="18"/>
        </w:rPr>
        <w:t>15</w:t>
      </w:r>
      <w:r>
        <w:rPr>
          <w:rFonts w:hint="eastAsia"/>
          <w:sz w:val="18"/>
          <w:szCs w:val="18"/>
        </w:rPr>
        <w:t>万吨</w:t>
      </w:r>
      <w:r>
        <w:rPr>
          <w:rFonts w:ascii="Calibri" w:hAnsi="Calibri" w:cs="Calibri"/>
          <w:sz w:val="18"/>
          <w:szCs w:val="18"/>
        </w:rPr>
        <w:t>/</w:t>
      </w:r>
      <w:r>
        <w:rPr>
          <w:rFonts w:hint="eastAsia"/>
          <w:sz w:val="18"/>
          <w:szCs w:val="18"/>
        </w:rPr>
        <w:t>年裂解碳五分离联产</w:t>
      </w:r>
      <w:r>
        <w:rPr>
          <w:rFonts w:ascii="Calibri" w:hAnsi="Calibri" w:cs="Calibri"/>
          <w:sz w:val="18"/>
          <w:szCs w:val="18"/>
        </w:rPr>
        <w:t>4</w:t>
      </w:r>
      <w:r>
        <w:rPr>
          <w:rFonts w:hint="eastAsia"/>
          <w:sz w:val="18"/>
          <w:szCs w:val="18"/>
        </w:rPr>
        <w:t>万吨</w:t>
      </w:r>
      <w:r>
        <w:rPr>
          <w:rFonts w:ascii="Calibri" w:hAnsi="Calibri" w:cs="Calibri"/>
          <w:sz w:val="18"/>
          <w:szCs w:val="18"/>
        </w:rPr>
        <w:t>/</w:t>
      </w:r>
      <w:r>
        <w:rPr>
          <w:rFonts w:hint="eastAsia"/>
          <w:sz w:val="18"/>
          <w:szCs w:val="18"/>
        </w:rPr>
        <w:t>年异戊橡胶项目环境影响报告书》并取得环评批复，文号为“辽环函【</w:t>
      </w:r>
      <w:r>
        <w:rPr>
          <w:rFonts w:ascii="Calibri" w:hAnsi="Calibri" w:cs="Calibri"/>
          <w:sz w:val="18"/>
          <w:szCs w:val="18"/>
        </w:rPr>
        <w:t>2010</w:t>
      </w:r>
      <w:r>
        <w:rPr>
          <w:rFonts w:hint="eastAsia"/>
          <w:sz w:val="18"/>
          <w:szCs w:val="18"/>
        </w:rPr>
        <w:t>】</w:t>
      </w:r>
      <w:r>
        <w:rPr>
          <w:rFonts w:ascii="Calibri" w:hAnsi="Calibri" w:cs="Calibri"/>
          <w:sz w:val="18"/>
          <w:szCs w:val="18"/>
        </w:rPr>
        <w:t>579</w:t>
      </w:r>
      <w:r>
        <w:rPr>
          <w:rFonts w:hint="eastAsia"/>
          <w:sz w:val="18"/>
          <w:szCs w:val="18"/>
        </w:rPr>
        <w:t>号”；</w:t>
      </w:r>
    </w:p>
    <w:p w:rsidR="00CC38FA" w:rsidRDefault="00CC38FA">
      <w:pPr>
        <w:pStyle w:val="a3"/>
        <w:spacing w:before="0" w:beforeAutospacing="0" w:after="0" w:afterAutospacing="0"/>
        <w:ind w:firstLine="360"/>
        <w:divId w:val="1253970971"/>
      </w:pPr>
      <w:r>
        <w:rPr>
          <w:rFonts w:ascii="Calibri" w:hAnsi="Calibri" w:cs="Calibri"/>
          <w:sz w:val="18"/>
          <w:szCs w:val="18"/>
        </w:rPr>
        <w:t>2017</w:t>
      </w:r>
      <w:r>
        <w:rPr>
          <w:rFonts w:hint="eastAsia"/>
          <w:sz w:val="18"/>
          <w:szCs w:val="18"/>
        </w:rPr>
        <w:t>年企业委托辽宁唐龙技术咨询有限公司编制《抚顺伊科思新材料有限公司</w:t>
      </w:r>
      <w:r>
        <w:rPr>
          <w:rFonts w:ascii="Calibri" w:hAnsi="Calibri" w:cs="Calibri"/>
          <w:sz w:val="18"/>
          <w:szCs w:val="18"/>
        </w:rPr>
        <w:t>15</w:t>
      </w:r>
      <w:r>
        <w:rPr>
          <w:rFonts w:hint="eastAsia"/>
          <w:sz w:val="18"/>
          <w:szCs w:val="18"/>
        </w:rPr>
        <w:t>万吨</w:t>
      </w:r>
      <w:r>
        <w:rPr>
          <w:rFonts w:ascii="Calibri" w:hAnsi="Calibri" w:cs="Calibri"/>
          <w:sz w:val="18"/>
          <w:szCs w:val="18"/>
        </w:rPr>
        <w:t>/</w:t>
      </w:r>
      <w:r>
        <w:rPr>
          <w:rFonts w:hint="eastAsia"/>
          <w:sz w:val="18"/>
          <w:szCs w:val="18"/>
        </w:rPr>
        <w:t>年裂解碳五分离联产</w:t>
      </w:r>
      <w:r>
        <w:rPr>
          <w:rFonts w:ascii="Calibri" w:hAnsi="Calibri" w:cs="Calibri"/>
          <w:sz w:val="18"/>
          <w:szCs w:val="18"/>
        </w:rPr>
        <w:t>4</w:t>
      </w:r>
      <w:r>
        <w:rPr>
          <w:rFonts w:hint="eastAsia"/>
          <w:sz w:val="18"/>
          <w:szCs w:val="18"/>
        </w:rPr>
        <w:t>万吨</w:t>
      </w:r>
      <w:r>
        <w:rPr>
          <w:rFonts w:ascii="Calibri" w:hAnsi="Calibri" w:cs="Calibri"/>
          <w:sz w:val="18"/>
          <w:szCs w:val="18"/>
        </w:rPr>
        <w:t>/</w:t>
      </w:r>
      <w:r>
        <w:rPr>
          <w:rFonts w:hint="eastAsia"/>
          <w:sz w:val="18"/>
          <w:szCs w:val="18"/>
        </w:rPr>
        <w:t>年异戊橡胶项目环境影响补充说明》，并于</w:t>
      </w:r>
      <w:r>
        <w:rPr>
          <w:rFonts w:ascii="Calibri" w:hAnsi="Calibri" w:cs="Calibri"/>
          <w:sz w:val="18"/>
          <w:szCs w:val="18"/>
        </w:rPr>
        <w:t>2017</w:t>
      </w:r>
      <w:r>
        <w:rPr>
          <w:rFonts w:hint="eastAsia"/>
          <w:sz w:val="18"/>
          <w:szCs w:val="18"/>
        </w:rPr>
        <w:t>年委托辽宁省环境监测实验中心对以上两部分环评涉及的建设项目进行环保验收，验收文号“抚环验【</w:t>
      </w:r>
      <w:r>
        <w:rPr>
          <w:rFonts w:ascii="Calibri" w:hAnsi="Calibri" w:cs="Calibri"/>
          <w:sz w:val="18"/>
          <w:szCs w:val="18"/>
        </w:rPr>
        <w:t>2017</w:t>
      </w:r>
      <w:r>
        <w:rPr>
          <w:rFonts w:hint="eastAsia"/>
          <w:sz w:val="18"/>
          <w:szCs w:val="18"/>
        </w:rPr>
        <w:t>】</w:t>
      </w:r>
      <w:r>
        <w:rPr>
          <w:rFonts w:ascii="Calibri" w:hAnsi="Calibri" w:cs="Calibri"/>
          <w:sz w:val="18"/>
          <w:szCs w:val="18"/>
        </w:rPr>
        <w:t>26</w:t>
      </w:r>
      <w:r>
        <w:rPr>
          <w:rFonts w:hint="eastAsia"/>
          <w:sz w:val="18"/>
          <w:szCs w:val="18"/>
        </w:rPr>
        <w:t>号”；</w:t>
      </w:r>
    </w:p>
    <w:p w:rsidR="00CC38FA" w:rsidRDefault="00CC38FA">
      <w:pPr>
        <w:pStyle w:val="a3"/>
        <w:spacing w:before="0" w:beforeAutospacing="0" w:after="0" w:afterAutospacing="0"/>
        <w:ind w:firstLine="360"/>
        <w:divId w:val="1253970971"/>
      </w:pPr>
      <w:r>
        <w:rPr>
          <w:rFonts w:ascii="Calibri" w:hAnsi="Calibri" w:cs="Calibri"/>
          <w:sz w:val="18"/>
          <w:szCs w:val="18"/>
        </w:rPr>
        <w:t>2018</w:t>
      </w:r>
      <w:r>
        <w:rPr>
          <w:rFonts w:hint="eastAsia"/>
          <w:sz w:val="18"/>
          <w:szCs w:val="18"/>
        </w:rPr>
        <w:t>年企业委托辽宁时代泽远科技有限公司编制《抚顺伊科思新材料有限公司异戊橡胶装置节能改造及产品结构优化项目环境影响报告书》并取得环评批复，批复文号“抚环审【</w:t>
      </w:r>
      <w:r>
        <w:rPr>
          <w:rFonts w:ascii="Calibri" w:hAnsi="Calibri" w:cs="Calibri"/>
          <w:sz w:val="18"/>
          <w:szCs w:val="18"/>
        </w:rPr>
        <w:t>2018</w:t>
      </w:r>
      <w:r>
        <w:rPr>
          <w:rFonts w:hint="eastAsia"/>
          <w:sz w:val="18"/>
          <w:szCs w:val="18"/>
        </w:rPr>
        <w:t>】</w:t>
      </w:r>
      <w:r>
        <w:rPr>
          <w:rFonts w:ascii="Calibri" w:hAnsi="Calibri" w:cs="Calibri"/>
          <w:sz w:val="18"/>
          <w:szCs w:val="18"/>
        </w:rPr>
        <w:t>29</w:t>
      </w:r>
      <w:r>
        <w:rPr>
          <w:rFonts w:hint="eastAsia"/>
          <w:sz w:val="18"/>
          <w:szCs w:val="18"/>
        </w:rPr>
        <w:t>号”，该项目已正常投产，验收工作正在进行；</w:t>
      </w:r>
    </w:p>
    <w:p w:rsidR="00CC38FA" w:rsidRDefault="00CC38FA">
      <w:pPr>
        <w:pStyle w:val="a3"/>
        <w:spacing w:before="0" w:beforeAutospacing="0" w:after="0" w:afterAutospacing="0"/>
        <w:ind w:firstLine="360"/>
        <w:divId w:val="1253970971"/>
      </w:pPr>
      <w:r>
        <w:rPr>
          <w:rFonts w:ascii="Calibri" w:hAnsi="Calibri" w:cs="Calibri"/>
          <w:sz w:val="18"/>
          <w:szCs w:val="18"/>
        </w:rPr>
        <w:t>2019</w:t>
      </w:r>
      <w:r>
        <w:rPr>
          <w:rFonts w:hint="eastAsia"/>
          <w:sz w:val="18"/>
          <w:szCs w:val="18"/>
        </w:rPr>
        <w:t>年企业委托铁岭市天祥环境科技有限公司编制《抚顺伊科思新材料有限公司碳五分离装置产品结构优化生产环戊烷</w:t>
      </w:r>
      <w:r>
        <w:rPr>
          <w:rFonts w:ascii="Calibri" w:hAnsi="Calibri" w:cs="Calibri"/>
          <w:sz w:val="18"/>
          <w:szCs w:val="18"/>
        </w:rPr>
        <w:t>/</w:t>
      </w:r>
      <w:r>
        <w:rPr>
          <w:rFonts w:hint="eastAsia"/>
          <w:sz w:val="18"/>
          <w:szCs w:val="18"/>
        </w:rPr>
        <w:t>异戊烷项目环境影响报告》并取得环评批复，批复文号“抚环审【</w:t>
      </w:r>
      <w:r>
        <w:rPr>
          <w:rFonts w:ascii="Calibri" w:hAnsi="Calibri" w:cs="Calibri"/>
          <w:sz w:val="18"/>
          <w:szCs w:val="18"/>
        </w:rPr>
        <w:t>2019</w:t>
      </w:r>
      <w:r>
        <w:rPr>
          <w:rFonts w:hint="eastAsia"/>
          <w:sz w:val="18"/>
          <w:szCs w:val="18"/>
        </w:rPr>
        <w:t>】</w:t>
      </w:r>
      <w:r>
        <w:rPr>
          <w:rFonts w:ascii="Calibri" w:hAnsi="Calibri" w:cs="Calibri"/>
          <w:sz w:val="18"/>
          <w:szCs w:val="18"/>
        </w:rPr>
        <w:t>57</w:t>
      </w:r>
      <w:r>
        <w:rPr>
          <w:rFonts w:hint="eastAsia"/>
          <w:sz w:val="18"/>
          <w:szCs w:val="18"/>
        </w:rPr>
        <w:t>号”，该项目未投产；</w:t>
      </w:r>
    </w:p>
    <w:p w:rsidR="00CC38FA" w:rsidRDefault="00CC38FA">
      <w:pPr>
        <w:pStyle w:val="a3"/>
        <w:spacing w:before="0" w:beforeAutospacing="0" w:after="0" w:afterAutospacing="0"/>
        <w:ind w:firstLine="360"/>
        <w:divId w:val="1253970971"/>
      </w:pPr>
      <w:r>
        <w:rPr>
          <w:rFonts w:ascii="Calibri" w:hAnsi="Calibri" w:cs="Calibri"/>
          <w:sz w:val="18"/>
          <w:szCs w:val="18"/>
        </w:rPr>
        <w:t>2023</w:t>
      </w:r>
      <w:r>
        <w:rPr>
          <w:rFonts w:hint="eastAsia"/>
          <w:sz w:val="18"/>
          <w:szCs w:val="18"/>
        </w:rPr>
        <w:t>年</w:t>
      </w:r>
      <w:r>
        <w:rPr>
          <w:rFonts w:ascii="Calibri" w:hAnsi="Calibri" w:cs="Calibri"/>
          <w:sz w:val="18"/>
          <w:szCs w:val="18"/>
        </w:rPr>
        <w:t>11</w:t>
      </w:r>
      <w:r>
        <w:rPr>
          <w:rFonts w:hint="eastAsia"/>
          <w:sz w:val="18"/>
          <w:szCs w:val="18"/>
        </w:rPr>
        <w:t>月份对排污许可证提出变更申请，</w:t>
      </w:r>
      <w:r>
        <w:rPr>
          <w:rFonts w:ascii="Calibri" w:hAnsi="Calibri" w:cs="Calibri"/>
          <w:sz w:val="18"/>
          <w:szCs w:val="18"/>
        </w:rPr>
        <w:t>2024</w:t>
      </w:r>
      <w:r>
        <w:rPr>
          <w:rFonts w:hint="eastAsia"/>
          <w:sz w:val="18"/>
          <w:szCs w:val="18"/>
        </w:rPr>
        <w:t>年</w:t>
      </w:r>
      <w:r>
        <w:rPr>
          <w:rFonts w:ascii="Calibri" w:hAnsi="Calibri" w:cs="Calibri"/>
          <w:sz w:val="18"/>
          <w:szCs w:val="18"/>
        </w:rPr>
        <w:t>1</w:t>
      </w:r>
      <w:r>
        <w:rPr>
          <w:rFonts w:hint="eastAsia"/>
          <w:sz w:val="18"/>
          <w:szCs w:val="18"/>
        </w:rPr>
        <w:t>月</w:t>
      </w:r>
      <w:r>
        <w:rPr>
          <w:rFonts w:ascii="Calibri" w:hAnsi="Calibri" w:cs="Calibri"/>
          <w:sz w:val="18"/>
          <w:szCs w:val="18"/>
        </w:rPr>
        <w:t>6</w:t>
      </w:r>
      <w:r>
        <w:rPr>
          <w:rFonts w:hint="eastAsia"/>
          <w:sz w:val="18"/>
          <w:szCs w:val="18"/>
        </w:rPr>
        <w:t>日取证，有限期</w:t>
      </w:r>
      <w:r>
        <w:rPr>
          <w:rFonts w:ascii="Calibri" w:hAnsi="Calibri" w:cs="Calibri"/>
          <w:sz w:val="18"/>
          <w:szCs w:val="18"/>
        </w:rPr>
        <w:t>2024.01.06</w:t>
      </w:r>
      <w:r>
        <w:rPr>
          <w:rFonts w:hint="eastAsia"/>
          <w:sz w:val="18"/>
          <w:szCs w:val="18"/>
        </w:rPr>
        <w:t>至</w:t>
      </w:r>
      <w:r>
        <w:rPr>
          <w:rFonts w:ascii="Calibri" w:hAnsi="Calibri" w:cs="Calibri"/>
          <w:sz w:val="18"/>
          <w:szCs w:val="18"/>
        </w:rPr>
        <w:t>2029.01.05</w:t>
      </w:r>
      <w:r>
        <w:rPr>
          <w:rFonts w:hint="eastAsia"/>
          <w:sz w:val="18"/>
          <w:szCs w:val="18"/>
        </w:rPr>
        <w:t>。</w:t>
      </w:r>
    </w:p>
    <w:p w:rsidR="00CC38FA" w:rsidRDefault="00CC38FA">
      <w:pPr>
        <w:pStyle w:val="a3"/>
        <w:spacing w:before="0" w:beforeAutospacing="0" w:after="0" w:afterAutospacing="0"/>
        <w:divId w:val="1253970971"/>
      </w:pPr>
      <w:r>
        <w:rPr>
          <w:rFonts w:ascii="Calibri" w:hAnsi="Calibri" w:cs="Calibri"/>
          <w:sz w:val="18"/>
          <w:szCs w:val="18"/>
        </w:rPr>
        <w:t> </w:t>
      </w:r>
    </w:p>
    <w:p w:rsidR="00CC38FA" w:rsidRDefault="00CC38FA">
      <w:pPr>
        <w:pStyle w:val="a3"/>
        <w:spacing w:before="0" w:beforeAutospacing="0" w:after="0" w:afterAutospacing="0"/>
        <w:divId w:val="1253970971"/>
      </w:pPr>
      <w:r>
        <w:rPr>
          <w:rFonts w:hint="eastAsia"/>
          <w:sz w:val="18"/>
          <w:szCs w:val="18"/>
        </w:rPr>
        <w:t>益凯新材料：</w:t>
      </w:r>
    </w:p>
    <w:p w:rsidR="00CC38FA" w:rsidRPr="003B5BBD" w:rsidRDefault="00CC38FA" w:rsidP="003B5BBD">
      <w:pPr>
        <w:pStyle w:val="a3"/>
        <w:spacing w:before="0" w:beforeAutospacing="0" w:after="0" w:afterAutospacing="0"/>
        <w:ind w:firstLine="360"/>
        <w:divId w:val="1253970971"/>
        <w:rPr>
          <w:sz w:val="18"/>
          <w:szCs w:val="18"/>
        </w:rPr>
      </w:pPr>
      <w:r>
        <w:rPr>
          <w:rFonts w:hint="eastAsia"/>
          <w:sz w:val="18"/>
          <w:szCs w:val="18"/>
        </w:rPr>
        <w:t>现有项目建设单位已完善环评手续，具体情况如下：</w:t>
      </w:r>
    </w:p>
    <w:p w:rsidR="00CC38FA" w:rsidRPr="003B5BBD" w:rsidRDefault="00CC38FA" w:rsidP="003B5BBD">
      <w:pPr>
        <w:pStyle w:val="a3"/>
        <w:spacing w:before="0" w:beforeAutospacing="0" w:after="0" w:afterAutospacing="0"/>
        <w:ind w:firstLine="360"/>
        <w:divId w:val="1253970971"/>
        <w:rPr>
          <w:sz w:val="18"/>
          <w:szCs w:val="18"/>
        </w:rPr>
      </w:pPr>
      <w:r w:rsidRPr="003B5BBD">
        <w:rPr>
          <w:sz w:val="18"/>
          <w:szCs w:val="18"/>
        </w:rPr>
        <w:t>2017</w:t>
      </w:r>
      <w:r>
        <w:rPr>
          <w:rFonts w:hint="eastAsia"/>
          <w:sz w:val="18"/>
          <w:szCs w:val="18"/>
        </w:rPr>
        <w:t>年益凯新材料有限公司委托青岛华益环保科技有限公司编制《高性能橡胶新材料循环经济绿色一体化——</w:t>
      </w:r>
      <w:r w:rsidRPr="003B5BBD">
        <w:rPr>
          <w:sz w:val="18"/>
          <w:szCs w:val="18"/>
        </w:rPr>
        <w:t xml:space="preserve">13.3 </w:t>
      </w:r>
      <w:r>
        <w:rPr>
          <w:rFonts w:hint="eastAsia"/>
          <w:sz w:val="18"/>
          <w:szCs w:val="18"/>
        </w:rPr>
        <w:t>万吨</w:t>
      </w:r>
      <w:r w:rsidRPr="003B5BBD">
        <w:rPr>
          <w:sz w:val="18"/>
          <w:szCs w:val="18"/>
        </w:rPr>
        <w:t>/</w:t>
      </w:r>
      <w:r>
        <w:rPr>
          <w:rFonts w:hint="eastAsia"/>
          <w:sz w:val="18"/>
          <w:szCs w:val="18"/>
        </w:rPr>
        <w:t>年</w:t>
      </w:r>
      <w:r w:rsidRPr="003B5BBD">
        <w:rPr>
          <w:sz w:val="18"/>
          <w:szCs w:val="18"/>
        </w:rPr>
        <w:t xml:space="preserve"> EVE </w:t>
      </w:r>
      <w:r>
        <w:rPr>
          <w:rFonts w:hint="eastAsia"/>
          <w:sz w:val="18"/>
          <w:szCs w:val="18"/>
        </w:rPr>
        <w:t>胶项目环境影响报告书》并取得环评批复，文号为“青环审黄【</w:t>
      </w:r>
      <w:r w:rsidRPr="003B5BBD">
        <w:rPr>
          <w:sz w:val="18"/>
          <w:szCs w:val="18"/>
        </w:rPr>
        <w:t>2017</w:t>
      </w:r>
      <w:r>
        <w:rPr>
          <w:rFonts w:hint="eastAsia"/>
          <w:sz w:val="18"/>
          <w:szCs w:val="18"/>
        </w:rPr>
        <w:t>】</w:t>
      </w:r>
      <w:r w:rsidRPr="003B5BBD">
        <w:rPr>
          <w:sz w:val="18"/>
          <w:szCs w:val="18"/>
        </w:rPr>
        <w:t>2</w:t>
      </w:r>
      <w:r>
        <w:rPr>
          <w:rFonts w:hint="eastAsia"/>
          <w:sz w:val="18"/>
          <w:szCs w:val="18"/>
        </w:rPr>
        <w:t>号”</w:t>
      </w:r>
      <w:r w:rsidRPr="003B5BBD">
        <w:rPr>
          <w:sz w:val="18"/>
          <w:szCs w:val="18"/>
        </w:rPr>
        <w:t xml:space="preserve"> </w:t>
      </w:r>
      <w:r>
        <w:rPr>
          <w:rFonts w:hint="eastAsia"/>
          <w:sz w:val="18"/>
          <w:szCs w:val="18"/>
        </w:rPr>
        <w:t>并于</w:t>
      </w:r>
      <w:r w:rsidRPr="003B5BBD">
        <w:rPr>
          <w:sz w:val="18"/>
          <w:szCs w:val="18"/>
        </w:rPr>
        <w:t>2019</w:t>
      </w:r>
      <w:r>
        <w:rPr>
          <w:rFonts w:hint="eastAsia"/>
          <w:sz w:val="18"/>
          <w:szCs w:val="18"/>
        </w:rPr>
        <w:t>年委托青岛华益环保科技有限公司对以上环评涉及的建设项目进行环保验收，验收工作已完成</w:t>
      </w:r>
    </w:p>
    <w:p w:rsidR="00CC38FA" w:rsidRPr="003B5BBD" w:rsidRDefault="00CC38FA" w:rsidP="003B5BBD">
      <w:pPr>
        <w:pStyle w:val="a3"/>
        <w:spacing w:before="0" w:beforeAutospacing="0" w:after="0" w:afterAutospacing="0"/>
        <w:ind w:firstLine="360"/>
        <w:divId w:val="1253970971"/>
        <w:rPr>
          <w:sz w:val="18"/>
          <w:szCs w:val="18"/>
        </w:rPr>
      </w:pPr>
      <w:r w:rsidRPr="003B5BBD">
        <w:rPr>
          <w:sz w:val="18"/>
          <w:szCs w:val="18"/>
        </w:rPr>
        <w:t>2020</w:t>
      </w:r>
      <w:r>
        <w:rPr>
          <w:rFonts w:hint="eastAsia"/>
          <w:sz w:val="18"/>
          <w:szCs w:val="18"/>
        </w:rPr>
        <w:t>年益凯新材料有限公司委托青岛华益环保科技有限公司编制《高性能橡胶新材料循环经济绿色一体化项目环境影响报告书》并取得环评批复，文号为“青环西新审【</w:t>
      </w:r>
      <w:r w:rsidRPr="003B5BBD">
        <w:rPr>
          <w:sz w:val="18"/>
          <w:szCs w:val="18"/>
        </w:rPr>
        <w:t>2020</w:t>
      </w:r>
      <w:r>
        <w:rPr>
          <w:rFonts w:hint="eastAsia"/>
          <w:sz w:val="18"/>
          <w:szCs w:val="18"/>
        </w:rPr>
        <w:t>】</w:t>
      </w:r>
      <w:r w:rsidRPr="003B5BBD">
        <w:rPr>
          <w:sz w:val="18"/>
          <w:szCs w:val="18"/>
        </w:rPr>
        <w:t>397</w:t>
      </w:r>
      <w:r>
        <w:rPr>
          <w:rFonts w:hint="eastAsia"/>
          <w:sz w:val="18"/>
          <w:szCs w:val="18"/>
        </w:rPr>
        <w:t>号”，并于</w:t>
      </w:r>
      <w:r w:rsidRPr="003B5BBD">
        <w:rPr>
          <w:sz w:val="18"/>
          <w:szCs w:val="18"/>
        </w:rPr>
        <w:t>2023</w:t>
      </w:r>
      <w:r>
        <w:rPr>
          <w:rFonts w:hint="eastAsia"/>
          <w:sz w:val="18"/>
          <w:szCs w:val="18"/>
        </w:rPr>
        <w:t>年委托青岛菲优特环境检测有限公司对以上环评涉及的建设项目进行环保验收，验收工作已完成。</w:t>
      </w:r>
    </w:p>
    <w:p w:rsidR="00CC38FA" w:rsidRPr="003B5BBD" w:rsidRDefault="00CC38FA" w:rsidP="003B5BBD">
      <w:pPr>
        <w:pStyle w:val="a3"/>
        <w:spacing w:before="0" w:beforeAutospacing="0" w:after="0" w:afterAutospacing="0"/>
        <w:ind w:firstLine="360"/>
        <w:divId w:val="1253970971"/>
        <w:rPr>
          <w:sz w:val="18"/>
          <w:szCs w:val="18"/>
        </w:rPr>
      </w:pPr>
      <w:r>
        <w:rPr>
          <w:rFonts w:hint="eastAsia"/>
          <w:sz w:val="18"/>
          <w:szCs w:val="18"/>
        </w:rPr>
        <w:t>现有项目已取得排污许可证，具体情况如下：</w:t>
      </w:r>
    </w:p>
    <w:p w:rsidR="00CC38FA" w:rsidRDefault="00CC38FA" w:rsidP="003B5BBD">
      <w:pPr>
        <w:pStyle w:val="a3"/>
        <w:spacing w:before="0" w:beforeAutospacing="0" w:after="0" w:afterAutospacing="0"/>
        <w:ind w:firstLine="360"/>
        <w:divId w:val="1253970971"/>
        <w:rPr>
          <w:sz w:val="18"/>
          <w:szCs w:val="18"/>
        </w:rPr>
      </w:pPr>
      <w:r>
        <w:rPr>
          <w:rFonts w:hint="eastAsia"/>
          <w:sz w:val="18"/>
          <w:szCs w:val="18"/>
        </w:rPr>
        <w:t>现有排污许可证有效期为</w:t>
      </w:r>
      <w:r w:rsidRPr="003B5BBD">
        <w:rPr>
          <w:sz w:val="18"/>
          <w:szCs w:val="18"/>
        </w:rPr>
        <w:t>2024</w:t>
      </w:r>
      <w:r>
        <w:rPr>
          <w:rFonts w:hint="eastAsia"/>
          <w:sz w:val="18"/>
          <w:szCs w:val="18"/>
        </w:rPr>
        <w:t>年</w:t>
      </w:r>
      <w:r w:rsidRPr="003B5BBD">
        <w:rPr>
          <w:sz w:val="18"/>
          <w:szCs w:val="18"/>
        </w:rPr>
        <w:t>3</w:t>
      </w:r>
      <w:r>
        <w:rPr>
          <w:rFonts w:hint="eastAsia"/>
          <w:sz w:val="18"/>
          <w:szCs w:val="18"/>
        </w:rPr>
        <w:t>月</w:t>
      </w:r>
      <w:r w:rsidRPr="003B5BBD">
        <w:rPr>
          <w:sz w:val="18"/>
          <w:szCs w:val="18"/>
        </w:rPr>
        <w:t>27</w:t>
      </w:r>
      <w:r>
        <w:rPr>
          <w:rFonts w:hint="eastAsia"/>
          <w:sz w:val="18"/>
          <w:szCs w:val="18"/>
        </w:rPr>
        <w:t>日至</w:t>
      </w:r>
      <w:r w:rsidRPr="003B5BBD">
        <w:rPr>
          <w:sz w:val="18"/>
          <w:szCs w:val="18"/>
        </w:rPr>
        <w:t>2029</w:t>
      </w:r>
      <w:r>
        <w:rPr>
          <w:rFonts w:hint="eastAsia"/>
          <w:sz w:val="18"/>
          <w:szCs w:val="18"/>
        </w:rPr>
        <w:t>年</w:t>
      </w:r>
      <w:r w:rsidRPr="003B5BBD">
        <w:rPr>
          <w:sz w:val="18"/>
          <w:szCs w:val="18"/>
        </w:rPr>
        <w:t>3</w:t>
      </w:r>
      <w:r>
        <w:rPr>
          <w:rFonts w:hint="eastAsia"/>
          <w:sz w:val="18"/>
          <w:szCs w:val="18"/>
        </w:rPr>
        <w:t>月</w:t>
      </w:r>
      <w:r w:rsidRPr="003B5BBD">
        <w:rPr>
          <w:sz w:val="18"/>
          <w:szCs w:val="18"/>
        </w:rPr>
        <w:t>26</w:t>
      </w:r>
      <w:r>
        <w:rPr>
          <w:rFonts w:hint="eastAsia"/>
          <w:sz w:val="18"/>
          <w:szCs w:val="18"/>
        </w:rPr>
        <w:t xml:space="preserve">日。 </w:t>
      </w:r>
    </w:p>
    <w:p w:rsidR="003B5BBD" w:rsidRDefault="003B5BBD" w:rsidP="003B5BBD">
      <w:pPr>
        <w:pStyle w:val="a3"/>
        <w:spacing w:before="0" w:beforeAutospacing="0" w:after="0" w:afterAutospacing="0"/>
        <w:ind w:firstLine="360"/>
        <w:divId w:val="1253970971"/>
        <w:rPr>
          <w:sz w:val="18"/>
          <w:szCs w:val="18"/>
        </w:rPr>
      </w:pPr>
    </w:p>
    <w:p w:rsidR="007F3A90" w:rsidRPr="003B5BBD" w:rsidRDefault="00CC38FA">
      <w:pPr>
        <w:spacing w:before="100" w:after="100" w:line="240" w:lineRule="exact"/>
        <w:rPr>
          <w:rFonts w:ascii="宋体" w:eastAsia="宋体" w:hAnsi="宋体" w:cs="宋体"/>
          <w:b/>
          <w:sz w:val="18"/>
          <w:szCs w:val="18"/>
        </w:rPr>
      </w:pPr>
      <w:r w:rsidRPr="003B5BBD">
        <w:rPr>
          <w:rFonts w:ascii="宋体" w:eastAsia="宋体" w:hAnsi="宋体" w:cs="宋体"/>
          <w:b/>
          <w:sz w:val="18"/>
          <w:szCs w:val="18"/>
        </w:rPr>
        <w:t>行业排放标准及生产经营活动中涉及的污染物排放的具体情况</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7"/>
        <w:gridCol w:w="877"/>
        <w:gridCol w:w="877"/>
        <w:gridCol w:w="1021"/>
        <w:gridCol w:w="567"/>
        <w:gridCol w:w="992"/>
        <w:gridCol w:w="709"/>
        <w:gridCol w:w="1701"/>
        <w:gridCol w:w="709"/>
        <w:gridCol w:w="709"/>
        <w:gridCol w:w="600"/>
      </w:tblGrid>
      <w:tr w:rsidR="007F3A90" w:rsidTr="003B5BBD">
        <w:trPr>
          <w:trHeight w:val="240"/>
        </w:trPr>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公司或子公司名称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主要污染物及特征污染物的种类</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主要污染物及特征污染物的名称</w:t>
            </w:r>
          </w:p>
        </w:tc>
        <w:tc>
          <w:tcPr>
            <w:tcW w:w="102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排放方式</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排放口数量</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排放口分布情况</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排放浓度/强度</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执行的污染物排放标准</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排放总量</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核定的排放总量</w:t>
            </w:r>
          </w:p>
        </w:tc>
        <w:tc>
          <w:tcPr>
            <w:tcW w:w="6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超标排放情况</w:t>
            </w:r>
          </w:p>
        </w:tc>
      </w:tr>
      <w:tr w:rsidR="007F3A90" w:rsidTr="003B5BBD">
        <w:trPr>
          <w:trHeight w:val="240"/>
        </w:trPr>
        <w:tc>
          <w:tcPr>
            <w:tcW w:w="8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大气环境</w:t>
            </w:r>
          </w:p>
        </w:tc>
        <w:tc>
          <w:tcPr>
            <w:tcW w:w="8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VOCs有机废气</w:t>
            </w:r>
          </w:p>
        </w:tc>
        <w:tc>
          <w:tcPr>
            <w:tcW w:w="102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有组织</w:t>
            </w: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软控产业园东园区</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2.0mg/m³</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70mg/m3</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4.07556t</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w:t>
            </w:r>
          </w:p>
        </w:tc>
        <w:tc>
          <w:tcPr>
            <w:tcW w:w="60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无</w:t>
            </w:r>
          </w:p>
        </w:tc>
      </w:tr>
      <w:tr w:rsidR="003B5BBD" w:rsidTr="003B5BBD">
        <w:trPr>
          <w:trHeight w:val="240"/>
        </w:trPr>
        <w:tc>
          <w:tcPr>
            <w:tcW w:w="877" w:type="dxa"/>
            <w:vMerge w:val="restart"/>
            <w:tcBorders>
              <w:top w:val="single" w:sz="2" w:space="0" w:color="auto"/>
              <w:left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抚顺伊科思新材料有限公司</w:t>
            </w:r>
          </w:p>
          <w:p w:rsidR="003B5BBD" w:rsidRDefault="003B5BBD" w:rsidP="00924AFE">
            <w:pPr>
              <w:spacing w:line="240" w:lineRule="exact"/>
              <w:rPr>
                <w:rFonts w:ascii="宋体" w:eastAsia="宋体" w:hAnsi="宋体" w:cs="宋体"/>
                <w:sz w:val="18"/>
                <w:szCs w:val="18"/>
              </w:rPr>
            </w:pPr>
          </w:p>
        </w:tc>
        <w:tc>
          <w:tcPr>
            <w:tcW w:w="877" w:type="dxa"/>
            <w:vMerge w:val="restart"/>
            <w:tcBorders>
              <w:top w:val="single" w:sz="2" w:space="0" w:color="auto"/>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r>
              <w:rPr>
                <w:rFonts w:ascii="宋体" w:eastAsia="宋体" w:hAnsi="宋体" w:cs="宋体"/>
                <w:sz w:val="18"/>
                <w:szCs w:val="18"/>
              </w:rPr>
              <w:t>废水</w:t>
            </w:r>
          </w:p>
        </w:tc>
        <w:tc>
          <w:tcPr>
            <w:tcW w:w="87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化学需氧量</w:t>
            </w:r>
          </w:p>
        </w:tc>
        <w:tc>
          <w:tcPr>
            <w:tcW w:w="102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污水处理厂</w:t>
            </w:r>
          </w:p>
        </w:tc>
        <w:tc>
          <w:tcPr>
            <w:tcW w:w="56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1</w:t>
            </w:r>
          </w:p>
        </w:tc>
        <w:tc>
          <w:tcPr>
            <w:tcW w:w="992" w:type="dxa"/>
            <w:vMerge w:val="restart"/>
            <w:tcBorders>
              <w:top w:val="single" w:sz="2" w:space="0" w:color="auto"/>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r>
              <w:rPr>
                <w:rFonts w:ascii="宋体" w:eastAsia="宋体" w:hAnsi="宋体" w:cs="宋体"/>
                <w:sz w:val="18"/>
                <w:szCs w:val="18"/>
              </w:rPr>
              <w:t>总排口</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97mg/L</w:t>
            </w:r>
          </w:p>
        </w:tc>
        <w:tc>
          <w:tcPr>
            <w:tcW w:w="170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《辽宁省污水综合排放标准》（DB21/1627-2008）300mg/L</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0.069t</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w:t>
            </w:r>
          </w:p>
        </w:tc>
        <w:tc>
          <w:tcPr>
            <w:tcW w:w="600"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无</w:t>
            </w:r>
          </w:p>
        </w:tc>
      </w:tr>
      <w:tr w:rsidR="003B5BBD" w:rsidTr="003B5BBD">
        <w:trPr>
          <w:trHeight w:val="240"/>
        </w:trPr>
        <w:tc>
          <w:tcPr>
            <w:tcW w:w="877" w:type="dxa"/>
            <w:vMerge/>
            <w:tcBorders>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氨氮</w:t>
            </w:r>
          </w:p>
        </w:tc>
        <w:tc>
          <w:tcPr>
            <w:tcW w:w="102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污水处理厂</w:t>
            </w:r>
          </w:p>
        </w:tc>
        <w:tc>
          <w:tcPr>
            <w:tcW w:w="56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1</w:t>
            </w:r>
          </w:p>
        </w:tc>
        <w:tc>
          <w:tcPr>
            <w:tcW w:w="992" w:type="dxa"/>
            <w:vMerge/>
            <w:tcBorders>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7.9mg/L</w:t>
            </w:r>
          </w:p>
        </w:tc>
        <w:tc>
          <w:tcPr>
            <w:tcW w:w="170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《辽宁省污水综合排放标准》（DB21/1627-2008）30mg/L</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0.042t</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w:t>
            </w:r>
          </w:p>
        </w:tc>
        <w:tc>
          <w:tcPr>
            <w:tcW w:w="600"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无</w:t>
            </w:r>
          </w:p>
        </w:tc>
      </w:tr>
      <w:tr w:rsidR="003B5BBD" w:rsidTr="003B5BBD">
        <w:trPr>
          <w:trHeight w:val="240"/>
        </w:trPr>
        <w:tc>
          <w:tcPr>
            <w:tcW w:w="877" w:type="dxa"/>
            <w:vMerge/>
            <w:tcBorders>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p>
        </w:tc>
        <w:tc>
          <w:tcPr>
            <w:tcW w:w="877" w:type="dxa"/>
            <w:vMerge w:val="restart"/>
            <w:tcBorders>
              <w:top w:val="single" w:sz="2" w:space="0" w:color="auto"/>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r>
              <w:rPr>
                <w:rFonts w:ascii="宋体" w:eastAsia="宋体" w:hAnsi="宋体" w:cs="宋体"/>
                <w:sz w:val="18"/>
                <w:szCs w:val="18"/>
              </w:rPr>
              <w:t>废气</w:t>
            </w:r>
          </w:p>
        </w:tc>
        <w:tc>
          <w:tcPr>
            <w:tcW w:w="877" w:type="dxa"/>
            <w:vMerge w:val="restart"/>
            <w:tcBorders>
              <w:top w:val="single" w:sz="2" w:space="0" w:color="auto"/>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r>
              <w:rPr>
                <w:rFonts w:ascii="宋体" w:eastAsia="宋体" w:hAnsi="宋体" w:cs="宋体"/>
                <w:sz w:val="18"/>
                <w:szCs w:val="18"/>
              </w:rPr>
              <w:t>非甲烷总烃</w:t>
            </w:r>
          </w:p>
        </w:tc>
        <w:tc>
          <w:tcPr>
            <w:tcW w:w="102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经过RCO处理设施</w:t>
            </w:r>
            <w:r>
              <w:rPr>
                <w:rFonts w:ascii="宋体" w:eastAsia="宋体" w:hAnsi="宋体" w:cs="宋体"/>
                <w:sz w:val="18"/>
                <w:szCs w:val="18"/>
              </w:rPr>
              <w:lastRenderedPageBreak/>
              <w:t>后，通过DA001达标排放。</w:t>
            </w:r>
          </w:p>
        </w:tc>
        <w:tc>
          <w:tcPr>
            <w:tcW w:w="56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lastRenderedPageBreak/>
              <w:t>1</w:t>
            </w:r>
          </w:p>
        </w:tc>
        <w:tc>
          <w:tcPr>
            <w:tcW w:w="992"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后处理废气排放口</w:t>
            </w:r>
            <w:r>
              <w:rPr>
                <w:rFonts w:ascii="宋体" w:eastAsia="宋体" w:hAnsi="宋体" w:cs="宋体"/>
                <w:sz w:val="18"/>
                <w:szCs w:val="18"/>
              </w:rPr>
              <w:lastRenderedPageBreak/>
              <w:t>DA001</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lastRenderedPageBreak/>
              <w:t>43mg/m³</w:t>
            </w:r>
          </w:p>
        </w:tc>
        <w:tc>
          <w:tcPr>
            <w:tcW w:w="170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《石油化学工业污染物排放标准》</w:t>
            </w:r>
            <w:r>
              <w:rPr>
                <w:rFonts w:ascii="宋体" w:eastAsia="宋体" w:hAnsi="宋体" w:cs="宋体"/>
                <w:sz w:val="18"/>
                <w:szCs w:val="18"/>
              </w:rPr>
              <w:lastRenderedPageBreak/>
              <w:t>（GB31571-2024）处理率97%</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lastRenderedPageBreak/>
              <w:t>9.8t</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w:t>
            </w:r>
          </w:p>
        </w:tc>
        <w:tc>
          <w:tcPr>
            <w:tcW w:w="600"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无</w:t>
            </w:r>
          </w:p>
        </w:tc>
      </w:tr>
      <w:tr w:rsidR="003B5BBD" w:rsidTr="003B5BBD">
        <w:trPr>
          <w:trHeight w:val="240"/>
        </w:trPr>
        <w:tc>
          <w:tcPr>
            <w:tcW w:w="877" w:type="dxa"/>
            <w:vMerge/>
            <w:tcBorders>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p>
        </w:tc>
        <w:tc>
          <w:tcPr>
            <w:tcW w:w="102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经过碱洗塔、活性炭吸附处理后排放</w:t>
            </w:r>
          </w:p>
        </w:tc>
        <w:tc>
          <w:tcPr>
            <w:tcW w:w="56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1</w:t>
            </w:r>
          </w:p>
        </w:tc>
        <w:tc>
          <w:tcPr>
            <w:tcW w:w="992"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污水加盖废气排放口DA002</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120mg/m³</w:t>
            </w:r>
          </w:p>
        </w:tc>
        <w:tc>
          <w:tcPr>
            <w:tcW w:w="170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《石油化学工业污染物排放标准》（GB31571-2024）</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0.14t</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w:t>
            </w:r>
          </w:p>
        </w:tc>
        <w:tc>
          <w:tcPr>
            <w:tcW w:w="600"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无</w:t>
            </w:r>
          </w:p>
        </w:tc>
      </w:tr>
      <w:tr w:rsidR="003B5BBD" w:rsidTr="003B5BBD">
        <w:trPr>
          <w:trHeight w:val="240"/>
        </w:trPr>
        <w:tc>
          <w:tcPr>
            <w:tcW w:w="877" w:type="dxa"/>
            <w:vMerge/>
            <w:tcBorders>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颗粒物</w:t>
            </w:r>
          </w:p>
        </w:tc>
        <w:tc>
          <w:tcPr>
            <w:tcW w:w="102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经过DA006排放口达标排放</w:t>
            </w:r>
          </w:p>
        </w:tc>
        <w:tc>
          <w:tcPr>
            <w:tcW w:w="56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1</w:t>
            </w:r>
          </w:p>
        </w:tc>
        <w:tc>
          <w:tcPr>
            <w:tcW w:w="992"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DA006排气筒</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20mg/m³</w:t>
            </w:r>
          </w:p>
        </w:tc>
        <w:tc>
          <w:tcPr>
            <w:tcW w:w="170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《锅炉大气污染物排放标准》（GB13271-2014）</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0.0054t</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w:t>
            </w:r>
          </w:p>
        </w:tc>
        <w:tc>
          <w:tcPr>
            <w:tcW w:w="600"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无</w:t>
            </w:r>
          </w:p>
        </w:tc>
      </w:tr>
      <w:tr w:rsidR="003B5BBD" w:rsidTr="003B5BBD">
        <w:trPr>
          <w:trHeight w:val="240"/>
        </w:trPr>
        <w:tc>
          <w:tcPr>
            <w:tcW w:w="877" w:type="dxa"/>
            <w:vMerge/>
            <w:tcBorders>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二氧化硫</w:t>
            </w:r>
          </w:p>
        </w:tc>
        <w:tc>
          <w:tcPr>
            <w:tcW w:w="102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经过DA006排放口达标排放</w:t>
            </w:r>
          </w:p>
        </w:tc>
        <w:tc>
          <w:tcPr>
            <w:tcW w:w="56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1</w:t>
            </w:r>
          </w:p>
        </w:tc>
        <w:tc>
          <w:tcPr>
            <w:tcW w:w="992"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DA006排气筒</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50mg/m³</w:t>
            </w:r>
          </w:p>
        </w:tc>
        <w:tc>
          <w:tcPr>
            <w:tcW w:w="170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《锅炉大气污染物排放标准》（GB13271-2014）</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0.008t</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w:t>
            </w:r>
          </w:p>
        </w:tc>
        <w:tc>
          <w:tcPr>
            <w:tcW w:w="600"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无</w:t>
            </w:r>
          </w:p>
        </w:tc>
      </w:tr>
      <w:tr w:rsidR="003B5BBD" w:rsidTr="003B5BBD">
        <w:trPr>
          <w:trHeight w:val="240"/>
        </w:trPr>
        <w:tc>
          <w:tcPr>
            <w:tcW w:w="877" w:type="dxa"/>
            <w:vMerge/>
            <w:tcBorders>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氮氧化物</w:t>
            </w:r>
          </w:p>
        </w:tc>
        <w:tc>
          <w:tcPr>
            <w:tcW w:w="102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经过DA006排放口达标排放</w:t>
            </w:r>
          </w:p>
        </w:tc>
        <w:tc>
          <w:tcPr>
            <w:tcW w:w="56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1</w:t>
            </w:r>
          </w:p>
        </w:tc>
        <w:tc>
          <w:tcPr>
            <w:tcW w:w="992"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DA006排气筒</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150mg/m³</w:t>
            </w:r>
          </w:p>
        </w:tc>
        <w:tc>
          <w:tcPr>
            <w:tcW w:w="170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《锅炉大气污染物排放标准》（GB13271-2014）</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4.215t</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w:t>
            </w:r>
          </w:p>
        </w:tc>
        <w:tc>
          <w:tcPr>
            <w:tcW w:w="600"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无</w:t>
            </w:r>
          </w:p>
        </w:tc>
      </w:tr>
      <w:tr w:rsidR="003B5BBD" w:rsidTr="005F11D2">
        <w:trPr>
          <w:trHeight w:val="240"/>
        </w:trPr>
        <w:tc>
          <w:tcPr>
            <w:tcW w:w="877" w:type="dxa"/>
            <w:vMerge w:val="restart"/>
            <w:tcBorders>
              <w:top w:val="single" w:sz="2" w:space="0" w:color="auto"/>
              <w:left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益凯新材料有限公司</w:t>
            </w:r>
          </w:p>
          <w:p w:rsidR="003B5BBD" w:rsidRDefault="003B5BBD" w:rsidP="005F11D2">
            <w:pPr>
              <w:spacing w:line="240" w:lineRule="exact"/>
              <w:rPr>
                <w:rFonts w:ascii="宋体" w:eastAsia="宋体" w:hAnsi="宋体" w:cs="宋体"/>
                <w:sz w:val="18"/>
                <w:szCs w:val="18"/>
              </w:rPr>
            </w:pPr>
          </w:p>
        </w:tc>
        <w:tc>
          <w:tcPr>
            <w:tcW w:w="877" w:type="dxa"/>
            <w:vMerge w:val="restart"/>
            <w:tcBorders>
              <w:top w:val="single" w:sz="2" w:space="0" w:color="auto"/>
              <w:left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大气污染物</w:t>
            </w:r>
          </w:p>
          <w:p w:rsidR="003B5BBD" w:rsidRDefault="003B5BBD" w:rsidP="005F11D2">
            <w:pPr>
              <w:spacing w:line="240" w:lineRule="exac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颗粒物</w:t>
            </w:r>
          </w:p>
        </w:tc>
        <w:tc>
          <w:tcPr>
            <w:tcW w:w="102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有组织</w:t>
            </w:r>
          </w:p>
        </w:tc>
        <w:tc>
          <w:tcPr>
            <w:tcW w:w="56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5</w:t>
            </w:r>
          </w:p>
        </w:tc>
        <w:tc>
          <w:tcPr>
            <w:tcW w:w="992"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H3排气筒、P2排气筒、P11排气筒、P7排气筒、P12排气筒</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2.0-4.0mg/m3</w:t>
            </w:r>
          </w:p>
        </w:tc>
        <w:tc>
          <w:tcPr>
            <w:tcW w:w="170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山东省区域性大气污染物综合排放标准; 区域性大气污染物综合排放标准;</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4.3185t</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w:t>
            </w:r>
          </w:p>
        </w:tc>
        <w:tc>
          <w:tcPr>
            <w:tcW w:w="600"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无</w:t>
            </w:r>
          </w:p>
        </w:tc>
      </w:tr>
      <w:tr w:rsidR="003B5BBD" w:rsidTr="005F11D2">
        <w:trPr>
          <w:trHeight w:val="240"/>
        </w:trPr>
        <w:tc>
          <w:tcPr>
            <w:tcW w:w="877" w:type="dxa"/>
            <w:vMerge/>
            <w:tcBorders>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正己烷</w:t>
            </w:r>
          </w:p>
        </w:tc>
        <w:tc>
          <w:tcPr>
            <w:tcW w:w="102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有组织</w:t>
            </w:r>
          </w:p>
        </w:tc>
        <w:tc>
          <w:tcPr>
            <w:tcW w:w="56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2</w:t>
            </w:r>
          </w:p>
        </w:tc>
        <w:tc>
          <w:tcPr>
            <w:tcW w:w="992"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P7排气筒、H2排气筒</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0.014-0.052</w:t>
            </w:r>
          </w:p>
          <w:p w:rsidR="003B5BBD" w:rsidRDefault="003B5BBD">
            <w:pPr>
              <w:spacing w:line="240" w:lineRule="exact"/>
              <w:rPr>
                <w:rFonts w:ascii="宋体" w:eastAsia="宋体" w:hAnsi="宋体" w:cs="宋体"/>
                <w:sz w:val="18"/>
                <w:szCs w:val="18"/>
              </w:rPr>
            </w:pPr>
            <w:r>
              <w:rPr>
                <w:rFonts w:ascii="宋体" w:eastAsia="宋体" w:hAnsi="宋体" w:cs="宋体"/>
                <w:sz w:val="18"/>
                <w:szCs w:val="18"/>
              </w:rPr>
              <w:t>mg/m3</w:t>
            </w:r>
          </w:p>
        </w:tc>
        <w:tc>
          <w:tcPr>
            <w:tcW w:w="170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挥发性有机物排放标准第6部分：有机化工行业</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0.013t</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w:t>
            </w:r>
          </w:p>
        </w:tc>
        <w:tc>
          <w:tcPr>
            <w:tcW w:w="600"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无</w:t>
            </w:r>
          </w:p>
        </w:tc>
      </w:tr>
      <w:tr w:rsidR="003B5BBD" w:rsidTr="005F11D2">
        <w:trPr>
          <w:trHeight w:val="240"/>
        </w:trPr>
        <w:tc>
          <w:tcPr>
            <w:tcW w:w="877" w:type="dxa"/>
            <w:vMerge/>
            <w:tcBorders>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挥发性有机物</w:t>
            </w:r>
          </w:p>
        </w:tc>
        <w:tc>
          <w:tcPr>
            <w:tcW w:w="102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有组织</w:t>
            </w:r>
          </w:p>
        </w:tc>
        <w:tc>
          <w:tcPr>
            <w:tcW w:w="56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3</w:t>
            </w:r>
          </w:p>
        </w:tc>
        <w:tc>
          <w:tcPr>
            <w:tcW w:w="992"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H2排气筒、P7排气筒、P12排气筒</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3.39-4.31</w:t>
            </w:r>
          </w:p>
          <w:p w:rsidR="003B5BBD" w:rsidRDefault="003B5BBD">
            <w:pPr>
              <w:spacing w:line="240" w:lineRule="exact"/>
              <w:rPr>
                <w:rFonts w:ascii="宋体" w:eastAsia="宋体" w:hAnsi="宋体" w:cs="宋体"/>
                <w:sz w:val="18"/>
                <w:szCs w:val="18"/>
              </w:rPr>
            </w:pPr>
            <w:r>
              <w:rPr>
                <w:rFonts w:ascii="宋体" w:eastAsia="宋体" w:hAnsi="宋体" w:cs="宋体"/>
                <w:sz w:val="18"/>
                <w:szCs w:val="18"/>
              </w:rPr>
              <w:t>mg/m3</w:t>
            </w:r>
          </w:p>
        </w:tc>
        <w:tc>
          <w:tcPr>
            <w:tcW w:w="170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挥发性有机物排放标准第6部分：有机化工行业</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5.6892t</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w:t>
            </w:r>
          </w:p>
        </w:tc>
        <w:tc>
          <w:tcPr>
            <w:tcW w:w="600"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无</w:t>
            </w:r>
          </w:p>
        </w:tc>
      </w:tr>
      <w:tr w:rsidR="003B5BBD" w:rsidTr="005F11D2">
        <w:trPr>
          <w:trHeight w:val="240"/>
        </w:trPr>
        <w:tc>
          <w:tcPr>
            <w:tcW w:w="877" w:type="dxa"/>
            <w:vMerge/>
            <w:tcBorders>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二氧化硫</w:t>
            </w:r>
          </w:p>
        </w:tc>
        <w:tc>
          <w:tcPr>
            <w:tcW w:w="102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有组织</w:t>
            </w:r>
          </w:p>
        </w:tc>
        <w:tc>
          <w:tcPr>
            <w:tcW w:w="56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3</w:t>
            </w:r>
          </w:p>
        </w:tc>
        <w:tc>
          <w:tcPr>
            <w:tcW w:w="992"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H2排气筒、P7排气筒、P12排气筒</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未检出</w:t>
            </w:r>
          </w:p>
        </w:tc>
        <w:tc>
          <w:tcPr>
            <w:tcW w:w="170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区域性大气污染物综合排放标准</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w:t>
            </w:r>
          </w:p>
        </w:tc>
        <w:tc>
          <w:tcPr>
            <w:tcW w:w="600"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无</w:t>
            </w:r>
          </w:p>
        </w:tc>
      </w:tr>
      <w:tr w:rsidR="003B5BBD" w:rsidTr="005F11D2">
        <w:trPr>
          <w:trHeight w:val="240"/>
        </w:trPr>
        <w:tc>
          <w:tcPr>
            <w:tcW w:w="877" w:type="dxa"/>
            <w:vMerge/>
            <w:tcBorders>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氮氧化物</w:t>
            </w:r>
          </w:p>
        </w:tc>
        <w:tc>
          <w:tcPr>
            <w:tcW w:w="102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有组织</w:t>
            </w:r>
          </w:p>
        </w:tc>
        <w:tc>
          <w:tcPr>
            <w:tcW w:w="56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3</w:t>
            </w:r>
          </w:p>
        </w:tc>
        <w:tc>
          <w:tcPr>
            <w:tcW w:w="992"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H2排气筒、P7排气筒、P12排气筒</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未检出</w:t>
            </w:r>
          </w:p>
        </w:tc>
        <w:tc>
          <w:tcPr>
            <w:tcW w:w="170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区域性大气污染物综合排放标准</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w:t>
            </w:r>
          </w:p>
        </w:tc>
        <w:tc>
          <w:tcPr>
            <w:tcW w:w="600"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无</w:t>
            </w:r>
          </w:p>
        </w:tc>
      </w:tr>
      <w:tr w:rsidR="003B5BBD" w:rsidTr="005F11D2">
        <w:trPr>
          <w:trHeight w:val="240"/>
        </w:trPr>
        <w:tc>
          <w:tcPr>
            <w:tcW w:w="877" w:type="dxa"/>
            <w:vMerge/>
            <w:tcBorders>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p>
        </w:tc>
        <w:tc>
          <w:tcPr>
            <w:tcW w:w="877" w:type="dxa"/>
            <w:vMerge w:val="restart"/>
            <w:tcBorders>
              <w:top w:val="single" w:sz="2" w:space="0" w:color="auto"/>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r>
              <w:rPr>
                <w:rFonts w:ascii="宋体" w:eastAsia="宋体" w:hAnsi="宋体" w:cs="宋体"/>
                <w:sz w:val="18"/>
                <w:szCs w:val="18"/>
              </w:rPr>
              <w:t>废水污染物</w:t>
            </w:r>
          </w:p>
        </w:tc>
        <w:tc>
          <w:tcPr>
            <w:tcW w:w="87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COD</w:t>
            </w:r>
          </w:p>
        </w:tc>
        <w:tc>
          <w:tcPr>
            <w:tcW w:w="102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间断排放，排放期间流量稳定</w:t>
            </w:r>
          </w:p>
        </w:tc>
        <w:tc>
          <w:tcPr>
            <w:tcW w:w="56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2</w:t>
            </w:r>
          </w:p>
        </w:tc>
        <w:tc>
          <w:tcPr>
            <w:tcW w:w="992"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有机废水排放口、无机废水排放口</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18.8</w:t>
            </w:r>
          </w:p>
          <w:p w:rsidR="003B5BBD" w:rsidRDefault="003B5BBD">
            <w:pPr>
              <w:spacing w:line="240" w:lineRule="exact"/>
              <w:rPr>
                <w:rFonts w:ascii="宋体" w:eastAsia="宋体" w:hAnsi="宋体" w:cs="宋体"/>
                <w:sz w:val="18"/>
                <w:szCs w:val="18"/>
              </w:rPr>
            </w:pPr>
            <w:r>
              <w:rPr>
                <w:rFonts w:ascii="宋体" w:eastAsia="宋体" w:hAnsi="宋体" w:cs="宋体"/>
                <w:sz w:val="18"/>
                <w:szCs w:val="18"/>
              </w:rPr>
              <w:t>mg/L</w:t>
            </w:r>
          </w:p>
        </w:tc>
        <w:tc>
          <w:tcPr>
            <w:tcW w:w="170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橡胶制品工业污染物排放标准</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0.1748t</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w:t>
            </w:r>
          </w:p>
        </w:tc>
        <w:tc>
          <w:tcPr>
            <w:tcW w:w="600"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无</w:t>
            </w:r>
          </w:p>
        </w:tc>
      </w:tr>
      <w:tr w:rsidR="003B5BBD" w:rsidTr="005F11D2">
        <w:trPr>
          <w:trHeight w:val="240"/>
        </w:trPr>
        <w:tc>
          <w:tcPr>
            <w:tcW w:w="877" w:type="dxa"/>
            <w:vMerge/>
            <w:tcBorders>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氨氮</w:t>
            </w:r>
          </w:p>
        </w:tc>
        <w:tc>
          <w:tcPr>
            <w:tcW w:w="102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间断排放，排放期间流量稳定</w:t>
            </w:r>
          </w:p>
        </w:tc>
        <w:tc>
          <w:tcPr>
            <w:tcW w:w="56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2</w:t>
            </w:r>
          </w:p>
        </w:tc>
        <w:tc>
          <w:tcPr>
            <w:tcW w:w="992"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有机废水排放口、无机废水排放口</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0.25</w:t>
            </w:r>
          </w:p>
          <w:p w:rsidR="003B5BBD" w:rsidRDefault="003B5BBD">
            <w:pPr>
              <w:spacing w:line="240" w:lineRule="exact"/>
              <w:rPr>
                <w:rFonts w:ascii="宋体" w:eastAsia="宋体" w:hAnsi="宋体" w:cs="宋体"/>
                <w:sz w:val="18"/>
                <w:szCs w:val="18"/>
              </w:rPr>
            </w:pPr>
            <w:r>
              <w:rPr>
                <w:rFonts w:ascii="宋体" w:eastAsia="宋体" w:hAnsi="宋体" w:cs="宋体"/>
                <w:sz w:val="18"/>
                <w:szCs w:val="18"/>
              </w:rPr>
              <w:t>mg/L</w:t>
            </w:r>
          </w:p>
        </w:tc>
        <w:tc>
          <w:tcPr>
            <w:tcW w:w="170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橡胶制品工业污染物排放标准</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0.0023t</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w:t>
            </w:r>
          </w:p>
        </w:tc>
        <w:tc>
          <w:tcPr>
            <w:tcW w:w="600"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无</w:t>
            </w:r>
          </w:p>
        </w:tc>
      </w:tr>
      <w:tr w:rsidR="003B5BBD" w:rsidTr="005F11D2">
        <w:trPr>
          <w:trHeight w:val="240"/>
        </w:trPr>
        <w:tc>
          <w:tcPr>
            <w:tcW w:w="877" w:type="dxa"/>
            <w:vMerge/>
            <w:tcBorders>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总氮</w:t>
            </w:r>
          </w:p>
        </w:tc>
        <w:tc>
          <w:tcPr>
            <w:tcW w:w="102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间断排放，排放期间流量</w:t>
            </w:r>
            <w:r>
              <w:rPr>
                <w:rFonts w:ascii="宋体" w:eastAsia="宋体" w:hAnsi="宋体" w:cs="宋体"/>
                <w:sz w:val="18"/>
                <w:szCs w:val="18"/>
              </w:rPr>
              <w:lastRenderedPageBreak/>
              <w:t>稳定</w:t>
            </w:r>
          </w:p>
        </w:tc>
        <w:tc>
          <w:tcPr>
            <w:tcW w:w="56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lastRenderedPageBreak/>
              <w:t>2</w:t>
            </w:r>
          </w:p>
        </w:tc>
        <w:tc>
          <w:tcPr>
            <w:tcW w:w="992"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有机废水排放口、无机废水</w:t>
            </w:r>
            <w:r>
              <w:rPr>
                <w:rFonts w:ascii="宋体" w:eastAsia="宋体" w:hAnsi="宋体" w:cs="宋体"/>
                <w:sz w:val="18"/>
                <w:szCs w:val="18"/>
              </w:rPr>
              <w:lastRenderedPageBreak/>
              <w:t>排放口</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lastRenderedPageBreak/>
              <w:t>3.92mg/L</w:t>
            </w:r>
          </w:p>
        </w:tc>
        <w:tc>
          <w:tcPr>
            <w:tcW w:w="170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橡胶制品工业污染物排放标准</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0.0364t</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w:t>
            </w:r>
          </w:p>
        </w:tc>
        <w:tc>
          <w:tcPr>
            <w:tcW w:w="600"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无</w:t>
            </w:r>
          </w:p>
        </w:tc>
      </w:tr>
      <w:tr w:rsidR="003B5BBD" w:rsidTr="005F11D2">
        <w:trPr>
          <w:trHeight w:val="240"/>
        </w:trPr>
        <w:tc>
          <w:tcPr>
            <w:tcW w:w="877" w:type="dxa"/>
            <w:vMerge/>
            <w:tcBorders>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BOD5</w:t>
            </w:r>
          </w:p>
        </w:tc>
        <w:tc>
          <w:tcPr>
            <w:tcW w:w="102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间断排放，排放期间流量稳定</w:t>
            </w:r>
          </w:p>
        </w:tc>
        <w:tc>
          <w:tcPr>
            <w:tcW w:w="56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1</w:t>
            </w:r>
          </w:p>
        </w:tc>
        <w:tc>
          <w:tcPr>
            <w:tcW w:w="992"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有机废水排放口</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4.2</w:t>
            </w:r>
          </w:p>
          <w:p w:rsidR="003B5BBD" w:rsidRDefault="003B5BBD">
            <w:pPr>
              <w:spacing w:line="240" w:lineRule="exact"/>
              <w:rPr>
                <w:rFonts w:ascii="宋体" w:eastAsia="宋体" w:hAnsi="宋体" w:cs="宋体"/>
                <w:sz w:val="18"/>
                <w:szCs w:val="18"/>
              </w:rPr>
            </w:pPr>
            <w:r>
              <w:rPr>
                <w:rFonts w:ascii="宋体" w:eastAsia="宋体" w:hAnsi="宋体" w:cs="宋体"/>
                <w:sz w:val="18"/>
                <w:szCs w:val="18"/>
              </w:rPr>
              <w:t>mg/L</w:t>
            </w:r>
          </w:p>
        </w:tc>
        <w:tc>
          <w:tcPr>
            <w:tcW w:w="170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橡胶制品工业污染物排放标准</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0.0390</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w:t>
            </w:r>
          </w:p>
        </w:tc>
        <w:tc>
          <w:tcPr>
            <w:tcW w:w="600"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无</w:t>
            </w:r>
          </w:p>
        </w:tc>
      </w:tr>
      <w:tr w:rsidR="003B5BBD" w:rsidTr="005F11D2">
        <w:trPr>
          <w:trHeight w:val="240"/>
        </w:trPr>
        <w:tc>
          <w:tcPr>
            <w:tcW w:w="877" w:type="dxa"/>
            <w:vMerge/>
            <w:tcBorders>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p>
        </w:tc>
        <w:tc>
          <w:tcPr>
            <w:tcW w:w="877" w:type="dxa"/>
            <w:vMerge/>
            <w:tcBorders>
              <w:left w:val="single" w:sz="2" w:space="0" w:color="auto"/>
              <w:right w:val="single" w:sz="2" w:space="0" w:color="auto"/>
            </w:tcBorders>
            <w:vAlign w:val="center"/>
          </w:tcPr>
          <w:p w:rsidR="003B5BBD" w:rsidRDefault="003B5BBD" w:rsidP="005F11D2">
            <w:pPr>
              <w:spacing w:line="240" w:lineRule="exac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总磷</w:t>
            </w:r>
          </w:p>
        </w:tc>
        <w:tc>
          <w:tcPr>
            <w:tcW w:w="102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间断排放，排放期间流量稳定</w:t>
            </w:r>
          </w:p>
        </w:tc>
        <w:tc>
          <w:tcPr>
            <w:tcW w:w="56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2</w:t>
            </w:r>
          </w:p>
        </w:tc>
        <w:tc>
          <w:tcPr>
            <w:tcW w:w="992"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有机废水排放口、无机废水排放口</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0.16</w:t>
            </w:r>
          </w:p>
          <w:p w:rsidR="003B5BBD" w:rsidRDefault="003B5BBD">
            <w:pPr>
              <w:spacing w:line="240" w:lineRule="exact"/>
              <w:rPr>
                <w:rFonts w:ascii="宋体" w:eastAsia="宋体" w:hAnsi="宋体" w:cs="宋体"/>
                <w:sz w:val="18"/>
                <w:szCs w:val="18"/>
              </w:rPr>
            </w:pPr>
            <w:r>
              <w:rPr>
                <w:rFonts w:ascii="宋体" w:eastAsia="宋体" w:hAnsi="宋体" w:cs="宋体"/>
                <w:sz w:val="18"/>
                <w:szCs w:val="18"/>
              </w:rPr>
              <w:t>mg/L</w:t>
            </w:r>
          </w:p>
        </w:tc>
        <w:tc>
          <w:tcPr>
            <w:tcW w:w="170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橡胶制品工业污染物排放标准</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0.0015t</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w:t>
            </w:r>
          </w:p>
        </w:tc>
        <w:tc>
          <w:tcPr>
            <w:tcW w:w="600"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无</w:t>
            </w:r>
          </w:p>
        </w:tc>
      </w:tr>
      <w:tr w:rsidR="003B5BBD" w:rsidTr="005F11D2">
        <w:trPr>
          <w:trHeight w:val="240"/>
        </w:trPr>
        <w:tc>
          <w:tcPr>
            <w:tcW w:w="877" w:type="dxa"/>
            <w:vMerge/>
            <w:tcBorders>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p>
        </w:tc>
        <w:tc>
          <w:tcPr>
            <w:tcW w:w="877" w:type="dxa"/>
            <w:vMerge/>
            <w:tcBorders>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SS</w:t>
            </w:r>
          </w:p>
        </w:tc>
        <w:tc>
          <w:tcPr>
            <w:tcW w:w="102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间断排放，排放期间流量稳定</w:t>
            </w:r>
          </w:p>
        </w:tc>
        <w:tc>
          <w:tcPr>
            <w:tcW w:w="567"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2</w:t>
            </w:r>
          </w:p>
        </w:tc>
        <w:tc>
          <w:tcPr>
            <w:tcW w:w="992"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有机废水排放口、无机废水排放口</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5</w:t>
            </w:r>
          </w:p>
          <w:p w:rsidR="003B5BBD" w:rsidRDefault="003B5BBD">
            <w:pPr>
              <w:spacing w:line="240" w:lineRule="exact"/>
              <w:rPr>
                <w:rFonts w:ascii="宋体" w:eastAsia="宋体" w:hAnsi="宋体" w:cs="宋体"/>
                <w:sz w:val="18"/>
                <w:szCs w:val="18"/>
              </w:rPr>
            </w:pPr>
            <w:r>
              <w:rPr>
                <w:rFonts w:ascii="宋体" w:eastAsia="宋体" w:hAnsi="宋体" w:cs="宋体"/>
                <w:sz w:val="18"/>
                <w:szCs w:val="18"/>
              </w:rPr>
              <w:t>mg/L</w:t>
            </w:r>
          </w:p>
        </w:tc>
        <w:tc>
          <w:tcPr>
            <w:tcW w:w="1701"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橡胶制品工业污染物排放标准</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0.0465t</w:t>
            </w:r>
          </w:p>
        </w:tc>
        <w:tc>
          <w:tcPr>
            <w:tcW w:w="709"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w:t>
            </w:r>
          </w:p>
        </w:tc>
        <w:tc>
          <w:tcPr>
            <w:tcW w:w="600" w:type="dxa"/>
            <w:tcBorders>
              <w:top w:val="single" w:sz="2" w:space="0" w:color="auto"/>
              <w:left w:val="single" w:sz="2" w:space="0" w:color="auto"/>
              <w:bottom w:val="single" w:sz="2" w:space="0" w:color="auto"/>
              <w:right w:val="single" w:sz="2" w:space="0" w:color="auto"/>
            </w:tcBorders>
            <w:vAlign w:val="center"/>
          </w:tcPr>
          <w:p w:rsidR="003B5BBD" w:rsidRDefault="003B5BBD">
            <w:pPr>
              <w:spacing w:line="240" w:lineRule="exact"/>
              <w:rPr>
                <w:rFonts w:ascii="宋体" w:eastAsia="宋体" w:hAnsi="宋体" w:cs="宋体"/>
                <w:sz w:val="18"/>
                <w:szCs w:val="18"/>
              </w:rPr>
            </w:pPr>
            <w:r>
              <w:rPr>
                <w:rFonts w:ascii="宋体" w:eastAsia="宋体" w:hAnsi="宋体" w:cs="宋体"/>
                <w:sz w:val="18"/>
                <w:szCs w:val="18"/>
              </w:rPr>
              <w:t>无</w:t>
            </w:r>
          </w:p>
        </w:tc>
      </w:tr>
    </w:tbl>
    <w:p w:rsidR="003B5BBD" w:rsidRDefault="003B5BBD">
      <w:pPr>
        <w:spacing w:before="100" w:after="100" w:line="240" w:lineRule="exact"/>
        <w:rPr>
          <w:rFonts w:ascii="宋体" w:eastAsia="宋体" w:hAnsi="宋体" w:cs="宋体"/>
          <w:sz w:val="18"/>
          <w:szCs w:val="18"/>
        </w:rPr>
      </w:pPr>
    </w:p>
    <w:p w:rsidR="007F3A90" w:rsidRPr="003B5BBD" w:rsidRDefault="00CC38FA">
      <w:pPr>
        <w:spacing w:before="100" w:after="100" w:line="240" w:lineRule="exact"/>
        <w:rPr>
          <w:rFonts w:ascii="宋体" w:eastAsia="宋体" w:hAnsi="宋体" w:cs="宋体"/>
          <w:b/>
          <w:sz w:val="18"/>
          <w:szCs w:val="18"/>
        </w:rPr>
      </w:pPr>
      <w:r w:rsidRPr="003B5BBD">
        <w:rPr>
          <w:rFonts w:ascii="宋体" w:eastAsia="宋体" w:hAnsi="宋体" w:cs="宋体"/>
          <w:b/>
          <w:sz w:val="18"/>
          <w:szCs w:val="18"/>
        </w:rPr>
        <w:t>对污染物的处理</w:t>
      </w:r>
    </w:p>
    <w:p w:rsidR="00CC38FA" w:rsidRDefault="00CC38FA" w:rsidP="003B5BBD">
      <w:pPr>
        <w:pStyle w:val="a3"/>
        <w:ind w:firstLineChars="200" w:firstLine="360"/>
        <w:divId w:val="1236352145"/>
      </w:pPr>
      <w:r>
        <w:rPr>
          <w:rFonts w:hint="eastAsia"/>
          <w:sz w:val="18"/>
          <w:szCs w:val="18"/>
        </w:rPr>
        <w:t>软控机电：</w:t>
      </w:r>
    </w:p>
    <w:p w:rsidR="003B5BBD" w:rsidRDefault="00CC38FA" w:rsidP="003B5BBD">
      <w:pPr>
        <w:pStyle w:val="a3"/>
        <w:ind w:firstLine="360"/>
        <w:divId w:val="1236352145"/>
      </w:pPr>
      <w:r>
        <w:rPr>
          <w:rFonts w:hint="eastAsia"/>
          <w:sz w:val="18"/>
          <w:szCs w:val="18"/>
        </w:rPr>
        <w:t>喷漆线作业产生的有机废气采用活性炭吸附</w:t>
      </w:r>
      <w:r>
        <w:rPr>
          <w:rFonts w:ascii="Calibri" w:hAnsi="Calibri" w:cs="Calibri"/>
          <w:sz w:val="18"/>
          <w:szCs w:val="18"/>
        </w:rPr>
        <w:t>+</w:t>
      </w:r>
      <w:r>
        <w:rPr>
          <w:rFonts w:hint="eastAsia"/>
          <w:sz w:val="18"/>
          <w:szCs w:val="18"/>
        </w:rPr>
        <w:t>催化燃烧的方式进行处理，</w:t>
      </w:r>
      <w:r>
        <w:rPr>
          <w:rFonts w:ascii="Calibri" w:hAnsi="Calibri" w:cs="Calibri"/>
          <w:sz w:val="18"/>
          <w:szCs w:val="18"/>
        </w:rPr>
        <w:t>VOCs</w:t>
      </w:r>
      <w:r>
        <w:rPr>
          <w:rFonts w:hint="eastAsia"/>
          <w:sz w:val="18"/>
          <w:szCs w:val="18"/>
        </w:rPr>
        <w:t>废气处理设备可实现减少甲苯、二甲苯有机废气的排放，有组织排放有机废气，排放达标。</w:t>
      </w:r>
    </w:p>
    <w:p w:rsidR="00CC38FA" w:rsidRDefault="00CC38FA" w:rsidP="003B5BBD">
      <w:pPr>
        <w:pStyle w:val="a3"/>
        <w:ind w:firstLine="360"/>
        <w:divId w:val="1236352145"/>
      </w:pPr>
      <w:r>
        <w:rPr>
          <w:rFonts w:hint="eastAsia"/>
          <w:sz w:val="18"/>
          <w:szCs w:val="18"/>
        </w:rPr>
        <w:t>抚顺伊科思：</w:t>
      </w:r>
    </w:p>
    <w:p w:rsidR="003B5BBD" w:rsidRDefault="00CC38FA" w:rsidP="003B5BBD">
      <w:pPr>
        <w:pStyle w:val="a3"/>
        <w:spacing w:before="0" w:beforeAutospacing="0" w:after="0" w:afterAutospacing="0"/>
        <w:ind w:firstLine="360"/>
        <w:divId w:val="1236352145"/>
      </w:pPr>
      <w:r>
        <w:rPr>
          <w:rFonts w:hint="eastAsia"/>
          <w:sz w:val="18"/>
          <w:szCs w:val="18"/>
        </w:rPr>
        <w:t>设置污水预处理单元，预处理单元全部封闭进行废气收集及集中处理，安装一套尾气回收系统，碱洗塔+活性炭吸附设施。在污水总排口安装在线监测设备，每两小时做样一次，装置区安装冷凝回收装置，均平稳运行。后处理有组织废气通过RCO处理设施后达标排放，现已经通过环保验收，处理效率97%.非甲烷总烃减排大约15吨左右。2023年11月在污水预处理单元废气收集中增加一个除湿设备，提高废气中水含量，减轻后端活性炭使用活性，2023年12月对804常压罐区的储罐进行废气收集改造，实现了储罐统一收集，集中排放至油气回收系统，减少废气排放，达标排放。</w:t>
      </w:r>
    </w:p>
    <w:p w:rsidR="003B5BBD" w:rsidRDefault="003B5BBD" w:rsidP="003B5BBD">
      <w:pPr>
        <w:pStyle w:val="a3"/>
        <w:spacing w:before="0" w:beforeAutospacing="0" w:after="0" w:afterAutospacing="0"/>
        <w:ind w:firstLine="360"/>
        <w:divId w:val="1236352145"/>
      </w:pPr>
    </w:p>
    <w:p w:rsidR="00CC38FA" w:rsidRDefault="00CC38FA" w:rsidP="003B5BBD">
      <w:pPr>
        <w:pStyle w:val="a3"/>
        <w:spacing w:before="0" w:beforeAutospacing="0" w:after="0" w:afterAutospacing="0"/>
        <w:ind w:firstLine="360"/>
        <w:divId w:val="1236352145"/>
      </w:pPr>
      <w:r>
        <w:rPr>
          <w:rFonts w:hint="eastAsia"/>
          <w:sz w:val="18"/>
          <w:szCs w:val="18"/>
        </w:rPr>
        <w:t>益凯新材料：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2"/>
        <w:gridCol w:w="1251"/>
        <w:gridCol w:w="2126"/>
        <w:gridCol w:w="1135"/>
        <w:gridCol w:w="991"/>
        <w:gridCol w:w="3508"/>
      </w:tblGrid>
      <w:tr w:rsidR="00CC38FA" w:rsidTr="00154FC9">
        <w:trPr>
          <w:divId w:val="1236352145"/>
          <w:cantSplit/>
          <w:trHeight w:val="397"/>
        </w:trPr>
        <w:tc>
          <w:tcPr>
            <w:tcW w:w="427" w:type="pct"/>
            <w:shd w:val="clear" w:color="auto" w:fill="D3D3D3"/>
            <w:tcMar>
              <w:top w:w="0" w:type="dxa"/>
              <w:left w:w="108" w:type="dxa"/>
              <w:bottom w:w="0" w:type="dxa"/>
              <w:right w:w="108" w:type="dxa"/>
            </w:tcMar>
            <w:vAlign w:val="center"/>
            <w:hideMark/>
          </w:tcPr>
          <w:p w:rsidR="00CC38FA" w:rsidRDefault="00CC38FA" w:rsidP="003B5BBD">
            <w:pPr>
              <w:pStyle w:val="a3"/>
              <w:spacing w:before="0" w:beforeAutospacing="0" w:after="0" w:afterAutospacing="0"/>
              <w:jc w:val="center"/>
              <w:rPr>
                <w:rFonts w:ascii="Calibri" w:hAnsi="Calibri" w:cs="Calibri"/>
                <w:sz w:val="21"/>
                <w:szCs w:val="21"/>
              </w:rPr>
            </w:pPr>
            <w:r>
              <w:rPr>
                <w:rFonts w:cs="Calibri" w:hint="eastAsia"/>
                <w:sz w:val="18"/>
                <w:szCs w:val="18"/>
              </w:rPr>
              <w:t>分类</w:t>
            </w:r>
          </w:p>
        </w:tc>
        <w:tc>
          <w:tcPr>
            <w:tcW w:w="635" w:type="pct"/>
            <w:shd w:val="clear" w:color="auto" w:fill="D3D3D3"/>
            <w:tcMar>
              <w:top w:w="0" w:type="dxa"/>
              <w:left w:w="108" w:type="dxa"/>
              <w:bottom w:w="0" w:type="dxa"/>
              <w:right w:w="108" w:type="dxa"/>
            </w:tcMar>
            <w:vAlign w:val="center"/>
            <w:hideMark/>
          </w:tcPr>
          <w:p w:rsidR="00CC38FA" w:rsidRDefault="00CC38FA" w:rsidP="003B5BBD">
            <w:pPr>
              <w:pStyle w:val="a3"/>
              <w:spacing w:before="0" w:beforeAutospacing="0" w:after="0" w:afterAutospacing="0"/>
              <w:jc w:val="center"/>
              <w:rPr>
                <w:rFonts w:ascii="Calibri" w:hAnsi="Calibri" w:cs="Calibri"/>
                <w:sz w:val="21"/>
                <w:szCs w:val="21"/>
              </w:rPr>
            </w:pPr>
            <w:r>
              <w:rPr>
                <w:rFonts w:cs="Calibri" w:hint="eastAsia"/>
                <w:sz w:val="18"/>
                <w:szCs w:val="18"/>
              </w:rPr>
              <w:t>车间名称</w:t>
            </w:r>
          </w:p>
        </w:tc>
        <w:tc>
          <w:tcPr>
            <w:tcW w:w="1079" w:type="pct"/>
            <w:shd w:val="clear" w:color="auto" w:fill="D3D3D3"/>
            <w:tcMar>
              <w:top w:w="0" w:type="dxa"/>
              <w:left w:w="108" w:type="dxa"/>
              <w:bottom w:w="0" w:type="dxa"/>
              <w:right w:w="108" w:type="dxa"/>
            </w:tcMar>
            <w:vAlign w:val="center"/>
            <w:hideMark/>
          </w:tcPr>
          <w:p w:rsidR="00CC38FA" w:rsidRDefault="00CC38FA" w:rsidP="003B5BBD">
            <w:pPr>
              <w:pStyle w:val="a3"/>
              <w:spacing w:before="0" w:beforeAutospacing="0" w:after="0" w:afterAutospacing="0"/>
              <w:jc w:val="center"/>
              <w:rPr>
                <w:rFonts w:ascii="Calibri" w:hAnsi="Calibri" w:cs="Calibri"/>
                <w:sz w:val="21"/>
                <w:szCs w:val="21"/>
              </w:rPr>
            </w:pPr>
            <w:r>
              <w:rPr>
                <w:rFonts w:cs="Calibri" w:hint="eastAsia"/>
                <w:sz w:val="18"/>
                <w:szCs w:val="18"/>
              </w:rPr>
              <w:t>产污环节</w:t>
            </w:r>
          </w:p>
        </w:tc>
        <w:tc>
          <w:tcPr>
            <w:tcW w:w="576" w:type="pct"/>
            <w:shd w:val="clear" w:color="auto" w:fill="D3D3D3"/>
            <w:tcMar>
              <w:top w:w="0" w:type="dxa"/>
              <w:left w:w="108" w:type="dxa"/>
              <w:bottom w:w="0" w:type="dxa"/>
              <w:right w:w="108" w:type="dxa"/>
            </w:tcMar>
            <w:vAlign w:val="center"/>
            <w:hideMark/>
          </w:tcPr>
          <w:p w:rsidR="00CC38FA" w:rsidRDefault="00CC38FA" w:rsidP="003B5BBD">
            <w:pPr>
              <w:pStyle w:val="a3"/>
              <w:spacing w:before="0" w:beforeAutospacing="0" w:after="0" w:afterAutospacing="0"/>
              <w:jc w:val="center"/>
              <w:rPr>
                <w:rFonts w:ascii="Calibri" w:hAnsi="Calibri" w:cs="Calibri"/>
                <w:sz w:val="21"/>
                <w:szCs w:val="21"/>
              </w:rPr>
            </w:pPr>
            <w:r>
              <w:rPr>
                <w:rFonts w:cs="Calibri" w:hint="eastAsia"/>
                <w:sz w:val="18"/>
                <w:szCs w:val="18"/>
              </w:rPr>
              <w:t>污染物种类</w:t>
            </w:r>
          </w:p>
        </w:tc>
        <w:tc>
          <w:tcPr>
            <w:tcW w:w="503" w:type="pct"/>
            <w:shd w:val="clear" w:color="auto" w:fill="D3D3D3"/>
            <w:tcMar>
              <w:top w:w="0" w:type="dxa"/>
              <w:left w:w="108" w:type="dxa"/>
              <w:bottom w:w="0" w:type="dxa"/>
              <w:right w:w="108" w:type="dxa"/>
            </w:tcMar>
            <w:vAlign w:val="center"/>
            <w:hideMark/>
          </w:tcPr>
          <w:p w:rsidR="00CC38FA" w:rsidRDefault="00CC38FA" w:rsidP="003B5BBD">
            <w:pPr>
              <w:pStyle w:val="a3"/>
              <w:spacing w:before="0" w:beforeAutospacing="0" w:after="0" w:afterAutospacing="0"/>
              <w:jc w:val="center"/>
              <w:rPr>
                <w:rFonts w:ascii="Calibri" w:hAnsi="Calibri" w:cs="Calibri"/>
                <w:sz w:val="21"/>
                <w:szCs w:val="21"/>
              </w:rPr>
            </w:pPr>
            <w:r>
              <w:rPr>
                <w:rFonts w:cs="Calibri" w:hint="eastAsia"/>
                <w:sz w:val="18"/>
                <w:szCs w:val="18"/>
              </w:rPr>
              <w:t>排放方式</w:t>
            </w:r>
          </w:p>
        </w:tc>
        <w:tc>
          <w:tcPr>
            <w:tcW w:w="1780" w:type="pct"/>
            <w:shd w:val="clear" w:color="auto" w:fill="D3D3D3"/>
            <w:tcMar>
              <w:top w:w="0" w:type="dxa"/>
              <w:left w:w="108" w:type="dxa"/>
              <w:bottom w:w="0" w:type="dxa"/>
              <w:right w:w="108" w:type="dxa"/>
            </w:tcMar>
            <w:vAlign w:val="center"/>
            <w:hideMark/>
          </w:tcPr>
          <w:p w:rsidR="00CC38FA" w:rsidRDefault="00CC38FA" w:rsidP="003B5BBD">
            <w:pPr>
              <w:pStyle w:val="a3"/>
              <w:spacing w:before="0" w:beforeAutospacing="0" w:after="0" w:afterAutospacing="0"/>
              <w:jc w:val="center"/>
              <w:rPr>
                <w:rFonts w:ascii="Calibri" w:hAnsi="Calibri" w:cs="Calibri"/>
                <w:sz w:val="21"/>
                <w:szCs w:val="21"/>
              </w:rPr>
            </w:pPr>
            <w:r>
              <w:rPr>
                <w:rFonts w:cs="Calibri" w:hint="eastAsia"/>
                <w:sz w:val="18"/>
                <w:szCs w:val="18"/>
              </w:rPr>
              <w:t>处理方式</w:t>
            </w:r>
          </w:p>
        </w:tc>
      </w:tr>
      <w:tr w:rsidR="00CC38FA" w:rsidTr="00154FC9">
        <w:trPr>
          <w:divId w:val="1236352145"/>
          <w:cantSplit/>
          <w:trHeight w:val="397"/>
        </w:trPr>
        <w:tc>
          <w:tcPr>
            <w:tcW w:w="427" w:type="pct"/>
            <w:vMerge w:val="restar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有组织废气</w:t>
            </w:r>
          </w:p>
        </w:tc>
        <w:tc>
          <w:tcPr>
            <w:tcW w:w="635" w:type="pct"/>
            <w:vMerge w:val="restar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ATCMT装置区</w:t>
            </w:r>
          </w:p>
        </w:tc>
        <w:tc>
          <w:tcPr>
            <w:tcW w:w="1079"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后处理过程</w:t>
            </w:r>
          </w:p>
        </w:tc>
        <w:tc>
          <w:tcPr>
            <w:tcW w:w="576"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VOCs、正己烷</w:t>
            </w:r>
          </w:p>
        </w:tc>
        <w:tc>
          <w:tcPr>
            <w:tcW w:w="503"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有组织</w:t>
            </w:r>
          </w:p>
        </w:tc>
        <w:tc>
          <w:tcPr>
            <w:tcW w:w="1780"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由引风机引入RTO系统处理后通过1根23m高排气筒H2排放</w:t>
            </w:r>
          </w:p>
        </w:tc>
      </w:tr>
      <w:tr w:rsidR="00CC38FA" w:rsidTr="00154FC9">
        <w:trPr>
          <w:divId w:val="1236352145"/>
          <w:cantSplit/>
          <w:trHeight w:val="397"/>
        </w:trPr>
        <w:tc>
          <w:tcPr>
            <w:tcW w:w="0" w:type="auto"/>
            <w:vMerge/>
            <w:vAlign w:val="center"/>
            <w:hideMark/>
          </w:tcPr>
          <w:p w:rsidR="00CC38FA" w:rsidRDefault="00CC38FA">
            <w:pPr>
              <w:rPr>
                <w:rFonts w:ascii="Calibri" w:eastAsia="宋体" w:hAnsi="Calibri" w:cs="Calibri"/>
                <w:szCs w:val="21"/>
              </w:rPr>
            </w:pPr>
          </w:p>
        </w:tc>
        <w:tc>
          <w:tcPr>
            <w:tcW w:w="635" w:type="pct"/>
            <w:vMerge/>
            <w:vAlign w:val="center"/>
            <w:hideMark/>
          </w:tcPr>
          <w:p w:rsidR="00CC38FA" w:rsidRDefault="00CC38FA">
            <w:pPr>
              <w:rPr>
                <w:rFonts w:ascii="Calibri" w:eastAsia="宋体" w:hAnsi="Calibri" w:cs="Calibri"/>
                <w:szCs w:val="21"/>
              </w:rPr>
            </w:pPr>
          </w:p>
        </w:tc>
        <w:tc>
          <w:tcPr>
            <w:tcW w:w="1079"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白炭黑输送</w:t>
            </w:r>
          </w:p>
        </w:tc>
        <w:tc>
          <w:tcPr>
            <w:tcW w:w="576"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颗粒物</w:t>
            </w:r>
          </w:p>
        </w:tc>
        <w:tc>
          <w:tcPr>
            <w:tcW w:w="503"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有组织</w:t>
            </w:r>
          </w:p>
        </w:tc>
        <w:tc>
          <w:tcPr>
            <w:tcW w:w="1780"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经2台布袋除尘器处理后经1根25m高排气筒H3排放</w:t>
            </w:r>
          </w:p>
        </w:tc>
      </w:tr>
      <w:tr w:rsidR="00CC38FA" w:rsidTr="00154FC9">
        <w:trPr>
          <w:divId w:val="1236352145"/>
          <w:cantSplit/>
          <w:trHeight w:val="397"/>
        </w:trPr>
        <w:tc>
          <w:tcPr>
            <w:tcW w:w="0" w:type="auto"/>
            <w:vMerge/>
            <w:vAlign w:val="center"/>
            <w:hideMark/>
          </w:tcPr>
          <w:p w:rsidR="00CC38FA" w:rsidRDefault="00CC38FA">
            <w:pPr>
              <w:rPr>
                <w:rFonts w:ascii="Calibri" w:eastAsia="宋体" w:hAnsi="Calibri" w:cs="Calibri"/>
                <w:szCs w:val="21"/>
              </w:rPr>
            </w:pPr>
          </w:p>
        </w:tc>
        <w:tc>
          <w:tcPr>
            <w:tcW w:w="635" w:type="pct"/>
            <w:vMerge w:val="restar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AB装置区</w:t>
            </w:r>
          </w:p>
        </w:tc>
        <w:tc>
          <w:tcPr>
            <w:tcW w:w="1079"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白炭黑缓存料仓</w:t>
            </w:r>
          </w:p>
        </w:tc>
        <w:tc>
          <w:tcPr>
            <w:tcW w:w="576"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颗粒物</w:t>
            </w:r>
          </w:p>
        </w:tc>
        <w:tc>
          <w:tcPr>
            <w:tcW w:w="503"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有组织</w:t>
            </w:r>
          </w:p>
        </w:tc>
        <w:tc>
          <w:tcPr>
            <w:tcW w:w="1780"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经设置于仓顶的覆膜式袋式除尘器处理后通过 排放 23m 高的 P2 排气筒</w:t>
            </w:r>
          </w:p>
        </w:tc>
      </w:tr>
      <w:tr w:rsidR="00CC38FA" w:rsidTr="00154FC9">
        <w:trPr>
          <w:divId w:val="1236352145"/>
          <w:cantSplit/>
          <w:trHeight w:val="397"/>
        </w:trPr>
        <w:tc>
          <w:tcPr>
            <w:tcW w:w="0" w:type="auto"/>
            <w:vMerge/>
            <w:vAlign w:val="center"/>
            <w:hideMark/>
          </w:tcPr>
          <w:p w:rsidR="00CC38FA" w:rsidRDefault="00CC38FA">
            <w:pPr>
              <w:rPr>
                <w:rFonts w:ascii="Calibri" w:eastAsia="宋体" w:hAnsi="Calibri" w:cs="Calibri"/>
                <w:szCs w:val="21"/>
              </w:rPr>
            </w:pPr>
          </w:p>
        </w:tc>
        <w:tc>
          <w:tcPr>
            <w:tcW w:w="635" w:type="pct"/>
            <w:vMerge/>
            <w:vAlign w:val="center"/>
            <w:hideMark/>
          </w:tcPr>
          <w:p w:rsidR="00CC38FA" w:rsidRDefault="00CC38FA">
            <w:pPr>
              <w:rPr>
                <w:rFonts w:ascii="Calibri" w:eastAsia="宋体" w:hAnsi="Calibri" w:cs="Calibri"/>
                <w:szCs w:val="21"/>
              </w:rPr>
            </w:pPr>
          </w:p>
        </w:tc>
        <w:tc>
          <w:tcPr>
            <w:tcW w:w="1079"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双螺杆挤出</w:t>
            </w:r>
          </w:p>
        </w:tc>
        <w:tc>
          <w:tcPr>
            <w:tcW w:w="576"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VOCs、正己烷</w:t>
            </w:r>
          </w:p>
        </w:tc>
        <w:tc>
          <w:tcPr>
            <w:tcW w:w="503"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有组织</w:t>
            </w:r>
          </w:p>
        </w:tc>
        <w:tc>
          <w:tcPr>
            <w:tcW w:w="1780"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经“冷冻+水喷淋+两级过滤+RTO”装置处理后通过30m高P7排气筒排放</w:t>
            </w:r>
          </w:p>
        </w:tc>
      </w:tr>
      <w:tr w:rsidR="00CC38FA" w:rsidTr="00154FC9">
        <w:trPr>
          <w:divId w:val="1236352145"/>
          <w:cantSplit/>
          <w:trHeight w:val="397"/>
        </w:trPr>
        <w:tc>
          <w:tcPr>
            <w:tcW w:w="0" w:type="auto"/>
            <w:vMerge/>
            <w:vAlign w:val="center"/>
            <w:hideMark/>
          </w:tcPr>
          <w:p w:rsidR="00CC38FA" w:rsidRDefault="00CC38FA">
            <w:pPr>
              <w:rPr>
                <w:rFonts w:ascii="Calibri" w:eastAsia="宋体" w:hAnsi="Calibri" w:cs="Calibri"/>
                <w:szCs w:val="21"/>
              </w:rPr>
            </w:pPr>
          </w:p>
        </w:tc>
        <w:tc>
          <w:tcPr>
            <w:tcW w:w="635"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D1装置区</w:t>
            </w:r>
          </w:p>
        </w:tc>
        <w:tc>
          <w:tcPr>
            <w:tcW w:w="1079"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混炼、挤出、风冷</w:t>
            </w:r>
          </w:p>
        </w:tc>
        <w:tc>
          <w:tcPr>
            <w:tcW w:w="576"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正己烷、VOCs、颗粒物</w:t>
            </w:r>
          </w:p>
        </w:tc>
        <w:tc>
          <w:tcPr>
            <w:tcW w:w="503"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有组织</w:t>
            </w:r>
          </w:p>
        </w:tc>
        <w:tc>
          <w:tcPr>
            <w:tcW w:w="1780"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风冷废气经 “水喷淋+除雾”装置处理后通过30m高P7排气筒排放，炼胶废气经“磁吸式四面全包高效软集气罩”收集后引至 “水喷淋+三级</w:t>
            </w:r>
          </w:p>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过滤+沸石床吸附/脱附-RTO”装置处理后汇入P7排气筒排放</w:t>
            </w:r>
          </w:p>
        </w:tc>
      </w:tr>
      <w:tr w:rsidR="00CC38FA" w:rsidTr="00154FC9">
        <w:trPr>
          <w:divId w:val="1236352145"/>
          <w:cantSplit/>
          <w:trHeight w:val="397"/>
        </w:trPr>
        <w:tc>
          <w:tcPr>
            <w:tcW w:w="0" w:type="auto"/>
            <w:vMerge/>
            <w:vAlign w:val="center"/>
            <w:hideMark/>
          </w:tcPr>
          <w:p w:rsidR="00CC38FA" w:rsidRDefault="00CC38FA">
            <w:pPr>
              <w:rPr>
                <w:rFonts w:ascii="Calibri" w:eastAsia="宋体" w:hAnsi="Calibri" w:cs="Calibri"/>
                <w:szCs w:val="21"/>
              </w:rPr>
            </w:pPr>
          </w:p>
        </w:tc>
        <w:tc>
          <w:tcPr>
            <w:tcW w:w="635" w:type="pct"/>
            <w:vMerge w:val="restar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E1装置区</w:t>
            </w:r>
          </w:p>
        </w:tc>
        <w:tc>
          <w:tcPr>
            <w:tcW w:w="1079"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上辅机投料</w:t>
            </w:r>
          </w:p>
        </w:tc>
        <w:tc>
          <w:tcPr>
            <w:tcW w:w="576"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颗粒物</w:t>
            </w:r>
          </w:p>
        </w:tc>
        <w:tc>
          <w:tcPr>
            <w:tcW w:w="503"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有组织</w:t>
            </w:r>
          </w:p>
        </w:tc>
        <w:tc>
          <w:tcPr>
            <w:tcW w:w="1780"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经“三面围挡、一面半围挡”式固定式集气罩收集，经袋式除尘器处理后通过29m高的P11排气筒排放</w:t>
            </w:r>
          </w:p>
        </w:tc>
      </w:tr>
      <w:tr w:rsidR="00CC38FA" w:rsidTr="00154FC9">
        <w:trPr>
          <w:divId w:val="1236352145"/>
          <w:cantSplit/>
          <w:trHeight w:val="397"/>
        </w:trPr>
        <w:tc>
          <w:tcPr>
            <w:tcW w:w="0" w:type="auto"/>
            <w:vMerge/>
            <w:vAlign w:val="center"/>
            <w:hideMark/>
          </w:tcPr>
          <w:p w:rsidR="00CC38FA" w:rsidRDefault="00CC38FA">
            <w:pPr>
              <w:rPr>
                <w:rFonts w:ascii="Calibri" w:eastAsia="宋体" w:hAnsi="Calibri" w:cs="Calibri"/>
                <w:szCs w:val="21"/>
              </w:rPr>
            </w:pPr>
          </w:p>
        </w:tc>
        <w:tc>
          <w:tcPr>
            <w:tcW w:w="635" w:type="pct"/>
            <w:vMerge/>
            <w:vAlign w:val="center"/>
            <w:hideMark/>
          </w:tcPr>
          <w:p w:rsidR="00CC38FA" w:rsidRDefault="00CC38FA">
            <w:pPr>
              <w:rPr>
                <w:rFonts w:ascii="Calibri" w:eastAsia="宋体" w:hAnsi="Calibri" w:cs="Calibri"/>
                <w:szCs w:val="21"/>
              </w:rPr>
            </w:pPr>
          </w:p>
        </w:tc>
        <w:tc>
          <w:tcPr>
            <w:tcW w:w="1079"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混炼、挤出、开</w:t>
            </w:r>
          </w:p>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炼、压片、风冷</w:t>
            </w:r>
          </w:p>
        </w:tc>
        <w:tc>
          <w:tcPr>
            <w:tcW w:w="576"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VOCs、颗粒物</w:t>
            </w:r>
          </w:p>
        </w:tc>
        <w:tc>
          <w:tcPr>
            <w:tcW w:w="503"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有组织</w:t>
            </w:r>
          </w:p>
        </w:tc>
        <w:tc>
          <w:tcPr>
            <w:tcW w:w="1780"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风冷废气收集经 “水喷淋+除雾”处理后通过29m高P12排气筒排放，炼胶废气经“磁吸式四面全包高效软集气罩”收集经 “喷石灰粉+布袋除尘+三级过滤+沸石转轮+RTO”处理后汇入 P12 排气筒排放</w:t>
            </w:r>
          </w:p>
        </w:tc>
      </w:tr>
      <w:tr w:rsidR="00CC38FA" w:rsidTr="00154FC9">
        <w:trPr>
          <w:divId w:val="1236352145"/>
          <w:cantSplit/>
          <w:trHeight w:val="397"/>
        </w:trPr>
        <w:tc>
          <w:tcPr>
            <w:tcW w:w="427"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无组织废气</w:t>
            </w:r>
          </w:p>
        </w:tc>
        <w:tc>
          <w:tcPr>
            <w:tcW w:w="635"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ATCMT中试装置、AB装置区、D1车间、E1车间</w:t>
            </w:r>
          </w:p>
        </w:tc>
        <w:tc>
          <w:tcPr>
            <w:tcW w:w="1079"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 </w:t>
            </w:r>
          </w:p>
        </w:tc>
        <w:tc>
          <w:tcPr>
            <w:tcW w:w="576"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VOCs、颗粒物、臭气浓度</w:t>
            </w:r>
          </w:p>
        </w:tc>
        <w:tc>
          <w:tcPr>
            <w:tcW w:w="503"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无组织</w:t>
            </w:r>
          </w:p>
        </w:tc>
        <w:tc>
          <w:tcPr>
            <w:tcW w:w="1780"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 </w:t>
            </w:r>
          </w:p>
        </w:tc>
      </w:tr>
      <w:tr w:rsidR="00CC38FA" w:rsidTr="00154FC9">
        <w:trPr>
          <w:divId w:val="1236352145"/>
          <w:cantSplit/>
          <w:trHeight w:val="397"/>
        </w:trPr>
        <w:tc>
          <w:tcPr>
            <w:tcW w:w="427"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废水</w:t>
            </w:r>
          </w:p>
        </w:tc>
        <w:tc>
          <w:tcPr>
            <w:tcW w:w="635"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全厂</w:t>
            </w:r>
          </w:p>
        </w:tc>
        <w:tc>
          <w:tcPr>
            <w:tcW w:w="1079"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离子交换树脂再生废水、冷却塔循环排污水、开停车汽提废水、异戊橡胶脱水蒸汽冷凝水、初期雨水、分析化验室清洗废水、生活污水</w:t>
            </w:r>
          </w:p>
        </w:tc>
        <w:tc>
          <w:tcPr>
            <w:tcW w:w="576"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COD、氨氮、总氮、动植物油、SS、溶解性总固体、石油类、BOD5</w:t>
            </w:r>
          </w:p>
        </w:tc>
        <w:tc>
          <w:tcPr>
            <w:tcW w:w="503"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 </w:t>
            </w:r>
          </w:p>
        </w:tc>
        <w:tc>
          <w:tcPr>
            <w:tcW w:w="1780"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项目废水经“一企一管”进入青岛中法水务污水处理厂处理。</w:t>
            </w:r>
          </w:p>
        </w:tc>
      </w:tr>
      <w:tr w:rsidR="00CC38FA" w:rsidTr="00154FC9">
        <w:trPr>
          <w:divId w:val="1236352145"/>
          <w:cantSplit/>
          <w:trHeight w:val="397"/>
        </w:trPr>
        <w:tc>
          <w:tcPr>
            <w:tcW w:w="427"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噪声</w:t>
            </w:r>
          </w:p>
        </w:tc>
        <w:tc>
          <w:tcPr>
            <w:tcW w:w="635"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全厂各车间</w:t>
            </w:r>
          </w:p>
        </w:tc>
        <w:tc>
          <w:tcPr>
            <w:tcW w:w="1079"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风机、泵类等设备运行</w:t>
            </w:r>
          </w:p>
        </w:tc>
        <w:tc>
          <w:tcPr>
            <w:tcW w:w="576"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噪声</w:t>
            </w:r>
          </w:p>
        </w:tc>
        <w:tc>
          <w:tcPr>
            <w:tcW w:w="503"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 </w:t>
            </w:r>
          </w:p>
        </w:tc>
        <w:tc>
          <w:tcPr>
            <w:tcW w:w="1780" w:type="pct"/>
            <w:tcMar>
              <w:top w:w="0" w:type="dxa"/>
              <w:left w:w="108" w:type="dxa"/>
              <w:bottom w:w="0" w:type="dxa"/>
              <w:right w:w="108" w:type="dxa"/>
            </w:tcMar>
            <w:vAlign w:val="center"/>
            <w:hideMark/>
          </w:tcPr>
          <w:p w:rsidR="00CC38FA" w:rsidRDefault="00CC38FA">
            <w:pPr>
              <w:pStyle w:val="a3"/>
              <w:spacing w:before="0" w:beforeAutospacing="0" w:after="0" w:afterAutospacing="0"/>
              <w:rPr>
                <w:rFonts w:ascii="Calibri" w:hAnsi="Calibri" w:cs="Calibri"/>
                <w:sz w:val="21"/>
                <w:szCs w:val="21"/>
              </w:rPr>
            </w:pPr>
            <w:r>
              <w:rPr>
                <w:rFonts w:cs="Calibri" w:hint="eastAsia"/>
                <w:sz w:val="18"/>
                <w:szCs w:val="18"/>
              </w:rPr>
              <w:t>噪声源布设在室内，采用消声、减振等措施</w:t>
            </w:r>
          </w:p>
        </w:tc>
      </w:tr>
    </w:tbl>
    <w:p w:rsidR="00CC38FA" w:rsidRDefault="00CC38FA">
      <w:pPr>
        <w:divId w:val="1236352145"/>
      </w:pPr>
    </w:p>
    <w:p w:rsidR="003B5BBD" w:rsidRDefault="00CC38FA" w:rsidP="003B5BBD">
      <w:pPr>
        <w:spacing w:before="100" w:after="100" w:line="240" w:lineRule="exact"/>
        <w:rPr>
          <w:rFonts w:ascii="宋体" w:eastAsia="宋体" w:hAnsi="宋体" w:cs="宋体"/>
          <w:b/>
          <w:sz w:val="18"/>
          <w:szCs w:val="18"/>
        </w:rPr>
      </w:pPr>
      <w:r w:rsidRPr="003B5BBD">
        <w:rPr>
          <w:rFonts w:ascii="宋体" w:eastAsia="宋体" w:hAnsi="宋体" w:cs="宋体"/>
          <w:b/>
          <w:sz w:val="18"/>
          <w:szCs w:val="18"/>
        </w:rPr>
        <w:t>突发环境事件应急预案</w:t>
      </w:r>
    </w:p>
    <w:p w:rsidR="003B5BBD" w:rsidRDefault="00CC38FA" w:rsidP="003B5BBD">
      <w:pPr>
        <w:spacing w:before="100" w:after="100" w:line="240" w:lineRule="exact"/>
        <w:rPr>
          <w:rFonts w:ascii="宋体" w:hAnsi="宋体" w:cs="宋体"/>
          <w:sz w:val="18"/>
          <w:szCs w:val="18"/>
        </w:rPr>
      </w:pPr>
      <w:r w:rsidRPr="003B5BBD">
        <w:rPr>
          <w:rFonts w:ascii="宋体" w:hAnsi="宋体" w:cs="宋体" w:hint="eastAsia"/>
          <w:sz w:val="18"/>
          <w:szCs w:val="18"/>
        </w:rPr>
        <w:t>软控机电：</w:t>
      </w:r>
    </w:p>
    <w:p w:rsidR="003B5BBD" w:rsidRDefault="00CC38FA" w:rsidP="003B5BBD">
      <w:pPr>
        <w:spacing w:before="100" w:after="100" w:line="240" w:lineRule="exact"/>
        <w:rPr>
          <w:rFonts w:ascii="宋体" w:hAnsi="宋体" w:cs="宋体"/>
          <w:sz w:val="18"/>
          <w:szCs w:val="18"/>
        </w:rPr>
      </w:pPr>
      <w:r w:rsidRPr="003B5BBD">
        <w:rPr>
          <w:rFonts w:ascii="宋体" w:hAnsi="宋体" w:cs="宋体" w:hint="eastAsia"/>
          <w:sz w:val="18"/>
          <w:szCs w:val="18"/>
        </w:rPr>
        <w:t>青岛软控机电工程有限公司《突发环境事件应急预案》已报备青岛市生态环境局胶州分局，对现有污染防治措施安全评估，并严格按照预案内容定期演练。</w:t>
      </w:r>
      <w:r w:rsidRPr="003B5BBD">
        <w:rPr>
          <w:rFonts w:ascii="宋体" w:hAnsi="宋体" w:cs="宋体"/>
          <w:sz w:val="18"/>
          <w:szCs w:val="18"/>
        </w:rPr>
        <w:t xml:space="preserve"> </w:t>
      </w:r>
    </w:p>
    <w:p w:rsidR="003B5BBD" w:rsidRDefault="00CC38FA" w:rsidP="003B5BBD">
      <w:pPr>
        <w:spacing w:before="100" w:after="100" w:line="240" w:lineRule="exact"/>
        <w:rPr>
          <w:sz w:val="18"/>
          <w:szCs w:val="18"/>
        </w:rPr>
      </w:pPr>
      <w:r>
        <w:rPr>
          <w:rFonts w:ascii="Calibri" w:hAnsi="Calibri" w:cs="Calibri"/>
          <w:szCs w:val="21"/>
        </w:rPr>
        <w:t> </w:t>
      </w:r>
      <w:r>
        <w:rPr>
          <w:rFonts w:hint="eastAsia"/>
          <w:sz w:val="18"/>
          <w:szCs w:val="18"/>
        </w:rPr>
        <w:t>抚顺伊科思：</w:t>
      </w:r>
    </w:p>
    <w:p w:rsidR="003B5BBD" w:rsidRDefault="00CC38FA" w:rsidP="003B5BBD">
      <w:pPr>
        <w:spacing w:before="100" w:after="100" w:line="240" w:lineRule="exact"/>
        <w:rPr>
          <w:sz w:val="18"/>
          <w:szCs w:val="18"/>
        </w:rPr>
      </w:pPr>
      <w:r>
        <w:rPr>
          <w:rFonts w:hint="eastAsia"/>
          <w:sz w:val="18"/>
          <w:szCs w:val="18"/>
        </w:rPr>
        <w:t>抚顺伊科思已编制《抚顺伊科思新材料有限公司突发环境事件应急预案》并在抚顺市环境保护局备案。</w:t>
      </w:r>
    </w:p>
    <w:p w:rsidR="00CC38FA" w:rsidRPr="003B5BBD" w:rsidRDefault="00CC38FA" w:rsidP="003B5BBD">
      <w:pPr>
        <w:spacing w:before="100" w:after="100" w:line="240" w:lineRule="exact"/>
        <w:rPr>
          <w:rFonts w:ascii="宋体" w:eastAsia="宋体" w:hAnsi="宋体" w:cs="宋体"/>
          <w:b/>
          <w:sz w:val="18"/>
          <w:szCs w:val="18"/>
        </w:rPr>
      </w:pPr>
      <w:r>
        <w:rPr>
          <w:rFonts w:hint="eastAsia"/>
          <w:sz w:val="18"/>
          <w:szCs w:val="18"/>
        </w:rPr>
        <w:t>益凯新材料：</w:t>
      </w:r>
    </w:p>
    <w:p w:rsidR="00CC38FA" w:rsidRDefault="00CC38FA">
      <w:pPr>
        <w:pStyle w:val="a3"/>
        <w:spacing w:before="0" w:beforeAutospacing="0" w:after="0" w:afterAutospacing="0"/>
        <w:divId w:val="510143243"/>
        <w:rPr>
          <w:sz w:val="18"/>
          <w:szCs w:val="18"/>
        </w:rPr>
      </w:pPr>
      <w:r>
        <w:rPr>
          <w:rFonts w:hint="eastAsia"/>
          <w:sz w:val="18"/>
          <w:szCs w:val="18"/>
        </w:rPr>
        <w:t>已编制《益凯新材料有限公司突发环境事件应急预案》并在青岛市生态环境局西海岸新区分局备案。备案号： 370211-2024-09013-H</w:t>
      </w:r>
    </w:p>
    <w:p w:rsidR="003B5BBD" w:rsidRPr="003B5BBD" w:rsidRDefault="003B5BBD">
      <w:pPr>
        <w:pStyle w:val="a3"/>
        <w:spacing w:before="0" w:beforeAutospacing="0" w:after="0" w:afterAutospacing="0"/>
        <w:divId w:val="510143243"/>
        <w:rPr>
          <w:b/>
        </w:rPr>
      </w:pPr>
    </w:p>
    <w:p w:rsidR="003B5BBD" w:rsidRDefault="00CC38FA" w:rsidP="003B5BBD">
      <w:pPr>
        <w:spacing w:before="100" w:after="100" w:line="240" w:lineRule="exact"/>
        <w:rPr>
          <w:rFonts w:ascii="宋体" w:eastAsia="宋体" w:hAnsi="宋体" w:cs="宋体"/>
          <w:b/>
          <w:sz w:val="18"/>
          <w:szCs w:val="18"/>
        </w:rPr>
      </w:pPr>
      <w:r w:rsidRPr="003B5BBD">
        <w:rPr>
          <w:rFonts w:ascii="宋体" w:eastAsia="宋体" w:hAnsi="宋体" w:cs="宋体"/>
          <w:b/>
          <w:sz w:val="18"/>
          <w:szCs w:val="18"/>
        </w:rPr>
        <w:t>环境治理和保护的投入及缴纳环境保护税的相关情况</w:t>
      </w:r>
    </w:p>
    <w:p w:rsidR="00CC38FA" w:rsidRPr="003B5BBD" w:rsidRDefault="00CC38FA" w:rsidP="003B5BBD">
      <w:pPr>
        <w:spacing w:before="100" w:after="100" w:line="240" w:lineRule="exact"/>
        <w:rPr>
          <w:rFonts w:ascii="宋体" w:eastAsia="宋体" w:hAnsi="宋体" w:cs="宋体"/>
          <w:b/>
          <w:sz w:val="18"/>
          <w:szCs w:val="18"/>
        </w:rPr>
      </w:pPr>
      <w:r>
        <w:rPr>
          <w:rFonts w:hint="eastAsia"/>
          <w:sz w:val="18"/>
          <w:szCs w:val="18"/>
        </w:rPr>
        <w:t>软控机电：</w:t>
      </w:r>
    </w:p>
    <w:p w:rsidR="00CC38FA" w:rsidRDefault="00CC38FA">
      <w:pPr>
        <w:pStyle w:val="a3"/>
        <w:spacing w:before="0" w:beforeAutospacing="0" w:after="0" w:afterAutospacing="0"/>
        <w:divId w:val="1562793680"/>
      </w:pPr>
      <w:r>
        <w:rPr>
          <w:rFonts w:hint="eastAsia"/>
          <w:sz w:val="18"/>
          <w:szCs w:val="18"/>
        </w:rPr>
        <w:t>2024年上半年环境治理和保护的投入约20万。</w:t>
      </w:r>
    </w:p>
    <w:p w:rsidR="00CC38FA" w:rsidRDefault="00CC38FA">
      <w:pPr>
        <w:pStyle w:val="a3"/>
        <w:spacing w:before="0" w:beforeAutospacing="0" w:after="0" w:afterAutospacing="0"/>
        <w:divId w:val="1562793680"/>
      </w:pPr>
    </w:p>
    <w:p w:rsidR="00CC38FA" w:rsidRDefault="00CC38FA">
      <w:pPr>
        <w:pStyle w:val="a3"/>
        <w:spacing w:before="0" w:beforeAutospacing="0" w:after="0" w:afterAutospacing="0"/>
        <w:divId w:val="1562793680"/>
      </w:pPr>
      <w:r>
        <w:rPr>
          <w:rFonts w:hint="eastAsia"/>
          <w:sz w:val="18"/>
          <w:szCs w:val="18"/>
        </w:rPr>
        <w:t>抚顺伊科思：</w:t>
      </w:r>
    </w:p>
    <w:p w:rsidR="00CC38FA" w:rsidRDefault="00CC38FA">
      <w:pPr>
        <w:pStyle w:val="a3"/>
        <w:divId w:val="1562793680"/>
      </w:pPr>
      <w:r>
        <w:rPr>
          <w:rFonts w:hint="eastAsia"/>
          <w:sz w:val="18"/>
          <w:szCs w:val="18"/>
        </w:rPr>
        <w:t>2023年更换油气回收设施活性炭及催化剂，大约40万元。因废水需要统一排放至高新区污水处理厂，不属于直接排放，天然气锅炉项目新增废气污染因子已经按照环保税相关要求缴纳第二季度环保税。</w:t>
      </w:r>
    </w:p>
    <w:p w:rsidR="00CC38FA" w:rsidRDefault="00CC38FA">
      <w:pPr>
        <w:pStyle w:val="a3"/>
        <w:spacing w:before="0" w:beforeAutospacing="0" w:after="0" w:afterAutospacing="0"/>
        <w:divId w:val="1562793680"/>
      </w:pPr>
      <w:r>
        <w:rPr>
          <w:rFonts w:hint="eastAsia"/>
          <w:sz w:val="18"/>
          <w:szCs w:val="18"/>
        </w:rPr>
        <w:t>益凯新材料：</w:t>
      </w:r>
    </w:p>
    <w:p w:rsidR="00CC38FA" w:rsidRDefault="00CC38FA">
      <w:pPr>
        <w:pStyle w:val="a3"/>
        <w:spacing w:before="0" w:beforeAutospacing="0" w:after="0" w:afterAutospacing="0"/>
        <w:divId w:val="1562793680"/>
      </w:pPr>
      <w:r>
        <w:rPr>
          <w:rFonts w:hint="eastAsia"/>
          <w:sz w:val="18"/>
          <w:szCs w:val="18"/>
        </w:rPr>
        <w:t>2024年上半年益凯新材料有限公司环境保护税应缴0元，实缴0元。</w:t>
      </w:r>
    </w:p>
    <w:p w:rsidR="003B5BBD" w:rsidRDefault="003B5BBD">
      <w:pPr>
        <w:spacing w:before="100" w:after="100" w:line="240" w:lineRule="exact"/>
        <w:rPr>
          <w:rFonts w:ascii="宋体" w:eastAsia="宋体" w:hAnsi="宋体" w:cs="宋体"/>
          <w:sz w:val="18"/>
          <w:szCs w:val="18"/>
        </w:rPr>
      </w:pPr>
    </w:p>
    <w:p w:rsidR="007F3A90" w:rsidRPr="003B5BBD" w:rsidRDefault="00CC38FA">
      <w:pPr>
        <w:spacing w:before="100" w:after="100" w:line="240" w:lineRule="exact"/>
        <w:rPr>
          <w:rFonts w:ascii="宋体" w:eastAsia="宋体" w:hAnsi="宋体" w:cs="宋体"/>
          <w:b/>
          <w:sz w:val="18"/>
          <w:szCs w:val="18"/>
        </w:rPr>
      </w:pPr>
      <w:r w:rsidRPr="003B5BBD">
        <w:rPr>
          <w:rFonts w:ascii="宋体" w:eastAsia="宋体" w:hAnsi="宋体" w:cs="宋体"/>
          <w:b/>
          <w:sz w:val="18"/>
          <w:szCs w:val="18"/>
        </w:rPr>
        <w:t>环境自行监测方案</w:t>
      </w:r>
    </w:p>
    <w:p w:rsidR="00CC38FA" w:rsidRDefault="00CC38FA">
      <w:pPr>
        <w:pStyle w:val="a3"/>
        <w:spacing w:before="0" w:beforeAutospacing="0" w:after="0" w:afterAutospacing="0"/>
        <w:divId w:val="240796853"/>
      </w:pPr>
      <w:r>
        <w:rPr>
          <w:rFonts w:hint="eastAsia"/>
          <w:sz w:val="18"/>
          <w:szCs w:val="18"/>
        </w:rPr>
        <w:t>软控机电：</w:t>
      </w:r>
    </w:p>
    <w:p w:rsidR="00CC38FA" w:rsidRDefault="00CC38FA">
      <w:pPr>
        <w:pStyle w:val="a3"/>
        <w:spacing w:before="0" w:beforeAutospacing="0" w:after="0" w:afterAutospacing="0"/>
        <w:ind w:firstLine="360"/>
        <w:divId w:val="240796853"/>
      </w:pPr>
      <w:r>
        <w:rPr>
          <w:rFonts w:hint="eastAsia"/>
          <w:sz w:val="18"/>
          <w:szCs w:val="18"/>
        </w:rPr>
        <w:t>青岛软控机电工程有限公司规范按照排污许可证执行报告规定进行季度、年报，上传全国排污许可证管理信息平台。2024年5月，公司委托青岛顺昌检测评价有限公司进行环境检测，严格按照排污许可证规定项目执行检测频次，各项检测结果均达标。</w:t>
      </w:r>
    </w:p>
    <w:p w:rsidR="00CC38FA" w:rsidRDefault="00CC38FA">
      <w:pPr>
        <w:pStyle w:val="a3"/>
        <w:spacing w:before="0" w:beforeAutospacing="0" w:after="0" w:afterAutospacing="0"/>
        <w:divId w:val="240796853"/>
      </w:pPr>
      <w:r>
        <w:rPr>
          <w:rFonts w:hint="eastAsia"/>
          <w:sz w:val="18"/>
          <w:szCs w:val="18"/>
        </w:rPr>
        <w:t> </w:t>
      </w:r>
    </w:p>
    <w:p w:rsidR="00CC38FA" w:rsidRDefault="00CC38FA">
      <w:pPr>
        <w:pStyle w:val="a3"/>
        <w:spacing w:before="0" w:beforeAutospacing="0" w:after="0" w:afterAutospacing="0"/>
        <w:divId w:val="240796853"/>
      </w:pPr>
      <w:r>
        <w:rPr>
          <w:rFonts w:hint="eastAsia"/>
          <w:sz w:val="18"/>
          <w:szCs w:val="18"/>
        </w:rPr>
        <w:lastRenderedPageBreak/>
        <w:t>抚顺伊科思：</w:t>
      </w:r>
    </w:p>
    <w:p w:rsidR="00CC38FA" w:rsidRDefault="00CC38FA">
      <w:pPr>
        <w:pStyle w:val="a3"/>
        <w:spacing w:before="0" w:beforeAutospacing="0" w:after="0" w:afterAutospacing="0"/>
        <w:ind w:firstLine="420"/>
        <w:divId w:val="240796853"/>
      </w:pPr>
      <w:r>
        <w:rPr>
          <w:rFonts w:hint="eastAsia"/>
          <w:sz w:val="18"/>
          <w:szCs w:val="18"/>
        </w:rPr>
        <w:t>抚顺伊科思已委托辽宁鑫铭环保科技有限公司进行环境检测，检测项目包括：废水、废气、噪声等，检测结果均达标。污水总排口安装在线监测设施并上传至辽宁省环境监测站监控平台。按照规范要求定期进行</w:t>
      </w:r>
      <w:r>
        <w:rPr>
          <w:rFonts w:ascii="Calibri" w:hAnsi="Calibri" w:cs="Calibri"/>
          <w:sz w:val="18"/>
          <w:szCs w:val="18"/>
        </w:rPr>
        <w:t>LDAR</w:t>
      </w:r>
      <w:r>
        <w:rPr>
          <w:rFonts w:hint="eastAsia"/>
          <w:sz w:val="18"/>
          <w:szCs w:val="18"/>
        </w:rPr>
        <w:t>检测。后处理有组织废气已安装在线监测设备，现已经联网，在线设备已经通过验收。</w:t>
      </w:r>
    </w:p>
    <w:p w:rsidR="00CC38FA" w:rsidRDefault="00CC38FA">
      <w:pPr>
        <w:pStyle w:val="a3"/>
        <w:spacing w:before="0" w:beforeAutospacing="0" w:after="0" w:afterAutospacing="0"/>
        <w:divId w:val="240796853"/>
      </w:pPr>
      <w:r>
        <w:rPr>
          <w:rFonts w:ascii="Calibri" w:hAnsi="Calibri" w:cs="Calibri"/>
          <w:sz w:val="18"/>
          <w:szCs w:val="18"/>
        </w:rPr>
        <w:t> </w:t>
      </w:r>
    </w:p>
    <w:p w:rsidR="003B5BBD" w:rsidRDefault="00CC38FA" w:rsidP="003B5BBD">
      <w:pPr>
        <w:pStyle w:val="a3"/>
        <w:spacing w:before="0" w:beforeAutospacing="0" w:after="0" w:afterAutospacing="0"/>
        <w:divId w:val="240796853"/>
      </w:pPr>
      <w:r>
        <w:rPr>
          <w:rFonts w:hint="eastAsia"/>
          <w:sz w:val="18"/>
          <w:szCs w:val="18"/>
        </w:rPr>
        <w:t>益凯新材料：</w:t>
      </w:r>
    </w:p>
    <w:p w:rsidR="00CC38FA" w:rsidRDefault="00CC38FA" w:rsidP="003B5BBD">
      <w:pPr>
        <w:pStyle w:val="a3"/>
        <w:spacing w:before="0" w:beforeAutospacing="0" w:after="0" w:afterAutospacing="0"/>
        <w:ind w:firstLineChars="200" w:firstLine="360"/>
        <w:divId w:val="240796853"/>
        <w:rPr>
          <w:sz w:val="18"/>
          <w:szCs w:val="18"/>
        </w:rPr>
      </w:pPr>
      <w:r>
        <w:rPr>
          <w:rFonts w:hint="eastAsia"/>
          <w:sz w:val="18"/>
          <w:szCs w:val="18"/>
        </w:rPr>
        <w:t>益凯新材料有限公司已委托青岛菲优特环境检测有限公司进行环境检测，检测项目包括：废气、废水和噪声等，</w:t>
      </w:r>
      <w:r>
        <w:rPr>
          <w:rFonts w:ascii="Calibri" w:hAnsi="Calibri" w:cs="Calibri"/>
          <w:sz w:val="18"/>
          <w:szCs w:val="18"/>
        </w:rPr>
        <w:t>2024</w:t>
      </w:r>
      <w:r>
        <w:rPr>
          <w:rFonts w:hint="eastAsia"/>
          <w:sz w:val="18"/>
          <w:szCs w:val="18"/>
        </w:rPr>
        <w:t xml:space="preserve">年上半年检测结果均达标。 </w:t>
      </w:r>
    </w:p>
    <w:p w:rsidR="003B5BBD" w:rsidRPr="003B5BBD" w:rsidRDefault="003B5BBD" w:rsidP="003B5BBD">
      <w:pPr>
        <w:pStyle w:val="a3"/>
        <w:spacing w:before="0" w:beforeAutospacing="0" w:after="0" w:afterAutospacing="0"/>
        <w:ind w:firstLineChars="200" w:firstLine="480"/>
        <w:divId w:val="240796853"/>
      </w:pPr>
    </w:p>
    <w:p w:rsidR="007F3A90" w:rsidRPr="003B5BBD" w:rsidRDefault="00CC38FA">
      <w:pPr>
        <w:spacing w:before="100" w:after="100" w:line="240" w:lineRule="exact"/>
        <w:rPr>
          <w:rFonts w:ascii="宋体" w:eastAsia="宋体" w:hAnsi="宋体" w:cs="宋体"/>
          <w:b/>
          <w:sz w:val="18"/>
          <w:szCs w:val="18"/>
        </w:rPr>
      </w:pPr>
      <w:r w:rsidRPr="003B5BBD">
        <w:rPr>
          <w:rFonts w:ascii="宋体" w:eastAsia="宋体" w:hAnsi="宋体" w:cs="宋体"/>
          <w:b/>
          <w:sz w:val="18"/>
          <w:szCs w:val="18"/>
        </w:rPr>
        <w:t>报告期内因环境问题受到行政处罚的情况</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公司或子公司名称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处罚原因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违规情形</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处罚结果</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对上市公司生产经营的影响</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公司的整改措施</w:t>
            </w: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无</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无</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无</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无</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无</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无</w:t>
            </w:r>
          </w:p>
        </w:tc>
      </w:tr>
    </w:tbl>
    <w:p w:rsidR="00CC38FA" w:rsidRDefault="00CC38FA" w:rsidP="003B5BBD">
      <w:pPr>
        <w:spacing w:before="100" w:after="100" w:line="240" w:lineRule="exact"/>
        <w:rPr>
          <w:sz w:val="18"/>
          <w:szCs w:val="18"/>
        </w:rPr>
      </w:pPr>
      <w:r>
        <w:rPr>
          <w:rFonts w:ascii="宋体" w:eastAsia="宋体" w:hAnsi="宋体" w:cs="宋体"/>
          <w:sz w:val="18"/>
          <w:szCs w:val="18"/>
        </w:rPr>
        <w:t>其他应当公开的环境信息</w:t>
      </w:r>
      <w:r w:rsidR="003B5BBD">
        <w:rPr>
          <w:rFonts w:ascii="宋体" w:eastAsia="宋体" w:hAnsi="宋体" w:cs="宋体" w:hint="eastAsia"/>
          <w:sz w:val="18"/>
          <w:szCs w:val="18"/>
        </w:rPr>
        <w:t>：</w:t>
      </w:r>
      <w:r>
        <w:rPr>
          <w:rFonts w:hint="eastAsia"/>
          <w:sz w:val="18"/>
          <w:szCs w:val="18"/>
        </w:rPr>
        <w:t>无</w:t>
      </w:r>
    </w:p>
    <w:p w:rsidR="003B5BBD" w:rsidRPr="003B5BBD" w:rsidRDefault="003B5BBD" w:rsidP="003B5BBD">
      <w:pPr>
        <w:spacing w:before="100" w:after="100" w:line="240" w:lineRule="exact"/>
        <w:rPr>
          <w:rFonts w:ascii="宋体" w:eastAsia="宋体" w:hAnsi="宋体" w:cs="宋体"/>
          <w:b/>
          <w:sz w:val="18"/>
          <w:szCs w:val="18"/>
        </w:rPr>
      </w:pPr>
    </w:p>
    <w:p w:rsidR="007F3A90" w:rsidRPr="003B5BBD" w:rsidRDefault="00CC38FA">
      <w:pPr>
        <w:spacing w:before="100" w:after="100" w:line="240" w:lineRule="exact"/>
        <w:rPr>
          <w:rFonts w:ascii="宋体" w:eastAsia="宋体" w:hAnsi="宋体" w:cs="宋体"/>
          <w:b/>
          <w:sz w:val="18"/>
          <w:szCs w:val="18"/>
        </w:rPr>
      </w:pPr>
      <w:r w:rsidRPr="003B5BBD">
        <w:rPr>
          <w:rFonts w:ascii="宋体" w:eastAsia="宋体" w:hAnsi="宋体" w:cs="宋体"/>
          <w:b/>
          <w:sz w:val="18"/>
          <w:szCs w:val="18"/>
        </w:rPr>
        <w:t>在报告期内为减少其碳排放所采取的措施及效果</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其他环保相关信息</w:t>
      </w:r>
    </w:p>
    <w:p w:rsidR="00CC38FA" w:rsidRDefault="00CC38FA">
      <w:pPr>
        <w:pStyle w:val="a3"/>
        <w:divId w:val="247546593"/>
        <w:rPr>
          <w:sz w:val="18"/>
          <w:szCs w:val="18"/>
        </w:rPr>
      </w:pPr>
      <w:r>
        <w:rPr>
          <w:rFonts w:hint="eastAsia"/>
          <w:sz w:val="18"/>
          <w:szCs w:val="18"/>
        </w:rPr>
        <w:t>无</w:t>
      </w:r>
    </w:p>
    <w:p w:rsidR="007F3A90" w:rsidRDefault="00CC38FA">
      <w:pPr>
        <w:pStyle w:val="2"/>
        <w:spacing w:before="300" w:after="300" w:line="320" w:lineRule="exact"/>
        <w:rPr>
          <w:rFonts w:ascii="宋体" w:eastAsia="宋体" w:hAnsi="宋体" w:cs="宋体"/>
          <w:b/>
          <w:bCs/>
          <w:sz w:val="24"/>
          <w:szCs w:val="24"/>
        </w:rPr>
      </w:pPr>
      <w:bookmarkStart w:id="53" w:name="_Toc988942"/>
      <w:r>
        <w:rPr>
          <w:rFonts w:ascii="宋体" w:eastAsia="宋体" w:hAnsi="宋体" w:cs="宋体"/>
          <w:b/>
          <w:bCs/>
          <w:sz w:val="24"/>
          <w:szCs w:val="24"/>
        </w:rPr>
        <w:t>二、社会责任情况</w:t>
      </w:r>
      <w:bookmarkEnd w:id="53"/>
    </w:p>
    <w:p w:rsidR="00CC38FA" w:rsidRDefault="00CC38FA">
      <w:pPr>
        <w:pStyle w:val="a3"/>
        <w:divId w:val="1097098479"/>
        <w:rPr>
          <w:sz w:val="18"/>
          <w:szCs w:val="18"/>
        </w:rPr>
      </w:pPr>
      <w:r>
        <w:rPr>
          <w:rFonts w:hint="eastAsia"/>
          <w:sz w:val="18"/>
          <w:szCs w:val="18"/>
        </w:rPr>
        <w:t>公司截止</w:t>
      </w:r>
      <w:r>
        <w:rPr>
          <w:rFonts w:ascii="Calibri" w:hAnsi="Calibri" w:cs="Calibri"/>
          <w:sz w:val="18"/>
          <w:szCs w:val="18"/>
        </w:rPr>
        <w:t>2024</w:t>
      </w:r>
      <w:r>
        <w:rPr>
          <w:rFonts w:ascii="Calibri" w:hAnsi="Calibri" w:cs="Calibri"/>
          <w:sz w:val="18"/>
          <w:szCs w:val="18"/>
        </w:rPr>
        <w:t>年</w:t>
      </w:r>
      <w:r>
        <w:rPr>
          <w:rFonts w:hint="eastAsia"/>
          <w:sz w:val="18"/>
          <w:szCs w:val="18"/>
        </w:rPr>
        <w:t>半年度暂未开展脱贫攻坚成果、乡村振兴相关工作。</w:t>
      </w:r>
    </w:p>
    <w:p w:rsidR="007F3A90" w:rsidRDefault="00CC38FA">
      <w:r>
        <w:br w:type="page"/>
      </w:r>
    </w:p>
    <w:p w:rsidR="007F3A90" w:rsidRDefault="00CC38FA">
      <w:pPr>
        <w:pStyle w:val="headingh1"/>
        <w:spacing w:before="340" w:after="330" w:line="773" w:lineRule="exact"/>
        <w:jc w:val="center"/>
        <w:rPr>
          <w:rFonts w:ascii="宋体" w:eastAsia="宋体" w:hAnsi="宋体" w:cs="宋体"/>
          <w:b/>
          <w:bCs/>
          <w:sz w:val="32"/>
          <w:szCs w:val="32"/>
        </w:rPr>
      </w:pPr>
      <w:bookmarkStart w:id="54" w:name="_Toc988943"/>
      <w:r>
        <w:rPr>
          <w:rFonts w:ascii="宋体" w:eastAsia="宋体" w:hAnsi="宋体" w:cs="宋体"/>
          <w:b/>
          <w:bCs/>
          <w:sz w:val="32"/>
          <w:szCs w:val="32"/>
        </w:rPr>
        <w:lastRenderedPageBreak/>
        <w:t>第六节 重要事项</w:t>
      </w:r>
      <w:bookmarkEnd w:id="54"/>
    </w:p>
    <w:p w:rsidR="007F3A90" w:rsidRDefault="00CC38FA">
      <w:pPr>
        <w:pStyle w:val="2"/>
        <w:spacing w:before="300" w:after="300" w:line="320" w:lineRule="exact"/>
        <w:rPr>
          <w:rFonts w:ascii="宋体" w:eastAsia="宋体" w:hAnsi="宋体" w:cs="宋体"/>
          <w:b/>
          <w:bCs/>
          <w:sz w:val="24"/>
          <w:szCs w:val="24"/>
        </w:rPr>
      </w:pPr>
      <w:bookmarkStart w:id="55" w:name="_Toc988944"/>
      <w:r>
        <w:rPr>
          <w:rFonts w:ascii="宋体" w:eastAsia="宋体" w:hAnsi="宋体" w:cs="宋体"/>
          <w:b/>
          <w:bCs/>
          <w:sz w:val="24"/>
          <w:szCs w:val="24"/>
        </w:rPr>
        <w:t>一、公司实际控制人、股东、关联方、收购人以及公司等承诺相关方在报告期内履行完毕及截至报告期末超期未履行完毕的承诺事项</w:t>
      </w:r>
      <w:bookmarkEnd w:id="55"/>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公司报告期不存在由公司实际控制人、股东、关联方、收购人以及公司等承诺相关方在报告期内履行完毕及截至报告期末超期未履行完毕的承诺事项。</w:t>
      </w:r>
    </w:p>
    <w:p w:rsidR="007F3A90" w:rsidRDefault="00CC38FA">
      <w:pPr>
        <w:pStyle w:val="2"/>
        <w:spacing w:before="300" w:after="300" w:line="320" w:lineRule="exact"/>
        <w:rPr>
          <w:rFonts w:ascii="宋体" w:eastAsia="宋体" w:hAnsi="宋体" w:cs="宋体"/>
          <w:b/>
          <w:bCs/>
          <w:sz w:val="24"/>
          <w:szCs w:val="24"/>
        </w:rPr>
      </w:pPr>
      <w:bookmarkStart w:id="56" w:name="_Toc988945"/>
      <w:r>
        <w:rPr>
          <w:rFonts w:ascii="宋体" w:eastAsia="宋体" w:hAnsi="宋体" w:cs="宋体"/>
          <w:b/>
          <w:bCs/>
          <w:sz w:val="24"/>
          <w:szCs w:val="24"/>
        </w:rPr>
        <w:t>二、控股股东及其他关联方对上市公司的非经营性占用资金情况</w:t>
      </w:r>
      <w:bookmarkEnd w:id="56"/>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公司报告期不存在控股股东及其他关联方对上市公司的非经营性占用资金。</w:t>
      </w:r>
    </w:p>
    <w:p w:rsidR="007F3A90" w:rsidRDefault="00CC38FA">
      <w:pPr>
        <w:pStyle w:val="2"/>
        <w:spacing w:before="300" w:after="300" w:line="320" w:lineRule="exact"/>
        <w:rPr>
          <w:rFonts w:ascii="宋体" w:eastAsia="宋体" w:hAnsi="宋体" w:cs="宋体"/>
          <w:b/>
          <w:bCs/>
          <w:sz w:val="24"/>
          <w:szCs w:val="24"/>
        </w:rPr>
      </w:pPr>
      <w:bookmarkStart w:id="57" w:name="_Toc988946"/>
      <w:r>
        <w:rPr>
          <w:rFonts w:ascii="宋体" w:eastAsia="宋体" w:hAnsi="宋体" w:cs="宋体"/>
          <w:b/>
          <w:bCs/>
          <w:sz w:val="24"/>
          <w:szCs w:val="24"/>
        </w:rPr>
        <w:t>三、违规对外担保情况</w:t>
      </w:r>
      <w:bookmarkEnd w:id="57"/>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公司报告期无违规对外担保情况。</w:t>
      </w:r>
    </w:p>
    <w:p w:rsidR="007F3A90" w:rsidRDefault="00CC38FA">
      <w:pPr>
        <w:pStyle w:val="2"/>
        <w:spacing w:before="300" w:after="300" w:line="320" w:lineRule="exact"/>
        <w:rPr>
          <w:rFonts w:ascii="宋体" w:eastAsia="宋体" w:hAnsi="宋体" w:cs="宋体"/>
          <w:b/>
          <w:bCs/>
          <w:sz w:val="24"/>
          <w:szCs w:val="24"/>
        </w:rPr>
      </w:pPr>
      <w:bookmarkStart w:id="58" w:name="_Toc988947"/>
      <w:r>
        <w:rPr>
          <w:rFonts w:ascii="宋体" w:eastAsia="宋体" w:hAnsi="宋体" w:cs="宋体"/>
          <w:b/>
          <w:bCs/>
          <w:sz w:val="24"/>
          <w:szCs w:val="24"/>
        </w:rPr>
        <w:t>四、聘任、解聘会计师事务所情况</w:t>
      </w:r>
      <w:bookmarkEnd w:id="58"/>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半年度财务报告是否已经审计</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公司半年度报告未经审计。</w:t>
      </w:r>
    </w:p>
    <w:p w:rsidR="007F3A90" w:rsidRDefault="00CC38FA">
      <w:pPr>
        <w:pStyle w:val="2"/>
        <w:spacing w:before="300" w:after="300" w:line="320" w:lineRule="exact"/>
        <w:rPr>
          <w:rFonts w:ascii="宋体" w:eastAsia="宋体" w:hAnsi="宋体" w:cs="宋体"/>
          <w:b/>
          <w:bCs/>
          <w:sz w:val="24"/>
          <w:szCs w:val="24"/>
        </w:rPr>
      </w:pPr>
      <w:bookmarkStart w:id="59" w:name="_Toc988948"/>
      <w:r>
        <w:rPr>
          <w:rFonts w:ascii="宋体" w:eastAsia="宋体" w:hAnsi="宋体" w:cs="宋体"/>
          <w:b/>
          <w:bCs/>
          <w:sz w:val="24"/>
          <w:szCs w:val="24"/>
        </w:rPr>
        <w:t>五、董事会、监事会对会计师事务所本报告期“非标准审计报告”的说明</w:t>
      </w:r>
      <w:bookmarkEnd w:id="59"/>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pStyle w:val="2"/>
        <w:spacing w:before="300" w:after="300" w:line="320" w:lineRule="exact"/>
        <w:rPr>
          <w:rFonts w:ascii="宋体" w:eastAsia="宋体" w:hAnsi="宋体" w:cs="宋体"/>
          <w:b/>
          <w:bCs/>
          <w:sz w:val="24"/>
          <w:szCs w:val="24"/>
        </w:rPr>
      </w:pPr>
      <w:bookmarkStart w:id="60" w:name="_Toc988949"/>
      <w:r>
        <w:rPr>
          <w:rFonts w:ascii="宋体" w:eastAsia="宋体" w:hAnsi="宋体" w:cs="宋体"/>
          <w:b/>
          <w:bCs/>
          <w:sz w:val="24"/>
          <w:szCs w:val="24"/>
        </w:rPr>
        <w:t>六、董事会对上年度“非标准审计报告”相关情况的说明</w:t>
      </w:r>
      <w:bookmarkEnd w:id="60"/>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pStyle w:val="2"/>
        <w:spacing w:before="300" w:after="300" w:line="320" w:lineRule="exact"/>
        <w:rPr>
          <w:rFonts w:ascii="宋体" w:eastAsia="宋体" w:hAnsi="宋体" w:cs="宋体"/>
          <w:b/>
          <w:bCs/>
          <w:sz w:val="24"/>
          <w:szCs w:val="24"/>
        </w:rPr>
      </w:pPr>
      <w:bookmarkStart w:id="61" w:name="_Toc988950"/>
      <w:r>
        <w:rPr>
          <w:rFonts w:ascii="宋体" w:eastAsia="宋体" w:hAnsi="宋体" w:cs="宋体"/>
          <w:b/>
          <w:bCs/>
          <w:sz w:val="24"/>
          <w:szCs w:val="24"/>
        </w:rPr>
        <w:t>七、破产重整相关事项</w:t>
      </w:r>
      <w:bookmarkEnd w:id="61"/>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公司报告期未发生破产重整相关事项。</w:t>
      </w:r>
    </w:p>
    <w:p w:rsidR="007F3A90" w:rsidRDefault="00CC38FA">
      <w:pPr>
        <w:pStyle w:val="2"/>
        <w:spacing w:before="300" w:after="300" w:line="320" w:lineRule="exact"/>
        <w:rPr>
          <w:rFonts w:ascii="宋体" w:eastAsia="宋体" w:hAnsi="宋体" w:cs="宋体"/>
          <w:b/>
          <w:bCs/>
          <w:sz w:val="24"/>
          <w:szCs w:val="24"/>
        </w:rPr>
      </w:pPr>
      <w:bookmarkStart w:id="62" w:name="_Toc988951"/>
      <w:r>
        <w:rPr>
          <w:rFonts w:ascii="宋体" w:eastAsia="宋体" w:hAnsi="宋体" w:cs="宋体"/>
          <w:b/>
          <w:bCs/>
          <w:sz w:val="24"/>
          <w:szCs w:val="24"/>
        </w:rPr>
        <w:t>八、诉讼事项</w:t>
      </w:r>
      <w:bookmarkEnd w:id="62"/>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重大诉讼仲裁事项</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本报告期公司无重大诉讼、仲裁事项。</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其他诉讼事项</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pStyle w:val="2"/>
        <w:spacing w:before="300" w:after="300" w:line="320" w:lineRule="exact"/>
        <w:rPr>
          <w:rFonts w:ascii="宋体" w:eastAsia="宋体" w:hAnsi="宋体" w:cs="宋体"/>
          <w:b/>
          <w:bCs/>
          <w:sz w:val="24"/>
          <w:szCs w:val="24"/>
        </w:rPr>
      </w:pPr>
      <w:bookmarkStart w:id="63" w:name="_Toc988952"/>
      <w:r>
        <w:rPr>
          <w:rFonts w:ascii="宋体" w:eastAsia="宋体" w:hAnsi="宋体" w:cs="宋体"/>
          <w:b/>
          <w:bCs/>
          <w:sz w:val="24"/>
          <w:szCs w:val="24"/>
        </w:rPr>
        <w:lastRenderedPageBreak/>
        <w:t>九、处罚及整改情况</w:t>
      </w:r>
      <w:bookmarkEnd w:id="63"/>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公司报告期不存在处罚及整改情况。</w:t>
      </w:r>
    </w:p>
    <w:p w:rsidR="007F3A90" w:rsidRDefault="00CC38FA">
      <w:pPr>
        <w:pStyle w:val="2"/>
        <w:spacing w:before="300" w:after="300" w:line="320" w:lineRule="exact"/>
        <w:rPr>
          <w:rFonts w:ascii="宋体" w:eastAsia="宋体" w:hAnsi="宋体" w:cs="宋体"/>
          <w:b/>
          <w:bCs/>
          <w:sz w:val="24"/>
          <w:szCs w:val="24"/>
        </w:rPr>
      </w:pPr>
      <w:bookmarkStart w:id="64" w:name="_Toc988953"/>
      <w:r>
        <w:rPr>
          <w:rFonts w:ascii="宋体" w:eastAsia="宋体" w:hAnsi="宋体" w:cs="宋体"/>
          <w:b/>
          <w:bCs/>
          <w:sz w:val="24"/>
          <w:szCs w:val="24"/>
        </w:rPr>
        <w:t>十、公司及其控股股东、实际控制人的诚信状况</w:t>
      </w:r>
      <w:bookmarkEnd w:id="64"/>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pStyle w:val="2"/>
        <w:spacing w:before="300" w:after="300" w:line="320" w:lineRule="exact"/>
        <w:rPr>
          <w:rFonts w:ascii="宋体" w:eastAsia="宋体" w:hAnsi="宋体" w:cs="宋体"/>
          <w:b/>
          <w:bCs/>
          <w:sz w:val="24"/>
          <w:szCs w:val="24"/>
        </w:rPr>
      </w:pPr>
      <w:bookmarkStart w:id="65" w:name="_Toc988954"/>
      <w:r>
        <w:rPr>
          <w:rFonts w:ascii="宋体" w:eastAsia="宋体" w:hAnsi="宋体" w:cs="宋体"/>
          <w:b/>
          <w:bCs/>
          <w:sz w:val="24"/>
          <w:szCs w:val="24"/>
        </w:rPr>
        <w:t>十一、重大关联交易</w:t>
      </w:r>
      <w:bookmarkEnd w:id="65"/>
    </w:p>
    <w:p w:rsidR="007F3A90" w:rsidRDefault="00CC38FA">
      <w:pPr>
        <w:pStyle w:val="3"/>
        <w:spacing w:line="280" w:lineRule="exact"/>
        <w:jc w:val="left"/>
        <w:rPr>
          <w:rFonts w:ascii="宋体" w:hAnsi="宋体" w:cs="宋体"/>
          <w:b/>
          <w:bCs/>
        </w:rPr>
      </w:pPr>
      <w:bookmarkStart w:id="66" w:name="_Toc988955"/>
      <w:r>
        <w:rPr>
          <w:rFonts w:ascii="宋体" w:hAnsi="宋体" w:cs="宋体"/>
          <w:b/>
          <w:bCs/>
        </w:rPr>
        <w:t>1、与日常经营相关的关联交易</w:t>
      </w:r>
      <w:bookmarkEnd w:id="66"/>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689"/>
        <w:gridCol w:w="689"/>
        <w:gridCol w:w="689"/>
        <w:gridCol w:w="689"/>
        <w:gridCol w:w="689"/>
        <w:gridCol w:w="689"/>
        <w:gridCol w:w="689"/>
        <w:gridCol w:w="688"/>
        <w:gridCol w:w="688"/>
        <w:gridCol w:w="688"/>
        <w:gridCol w:w="688"/>
        <w:gridCol w:w="688"/>
        <w:gridCol w:w="688"/>
        <w:gridCol w:w="688"/>
      </w:tblGrid>
      <w:tr w:rsidR="007F3A90" w:rsidTr="003B5BBD">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关联交易方</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关联关系</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关联交易类型</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关联交易内容</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关联交易定价原则</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关联交易价格</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关联交易金额（万元）</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占同类交易金额的比例</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获批的交易额度（万元）</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是否超过获批额度</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关联交易结算方式</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可获得的同类交易市价</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披露日期</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披露索引</w:t>
            </w:r>
          </w:p>
        </w:tc>
      </w:tr>
      <w:tr w:rsidR="0092775E" w:rsidTr="005F11D2">
        <w:trPr>
          <w:trHeight w:val="240"/>
        </w:trPr>
        <w:tc>
          <w:tcPr>
            <w:tcW w:w="689" w:type="dxa"/>
            <w:vMerge w:val="restart"/>
            <w:tcBorders>
              <w:top w:val="single" w:sz="2" w:space="0" w:color="auto"/>
              <w:left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r>
              <w:rPr>
                <w:rFonts w:ascii="宋体" w:eastAsia="宋体" w:hAnsi="宋体" w:cs="宋体"/>
                <w:sz w:val="18"/>
                <w:szCs w:val="18"/>
              </w:rPr>
              <w:t>赛轮集团股份有限公司及其控股子公司</w:t>
            </w:r>
          </w:p>
          <w:p w:rsidR="0092775E" w:rsidRDefault="0092775E" w:rsidP="005F11D2">
            <w:pPr>
              <w:spacing w:line="240" w:lineRule="exact"/>
              <w:rPr>
                <w:rFonts w:ascii="宋体" w:eastAsia="宋体" w:hAnsi="宋体" w:cs="宋体"/>
                <w:sz w:val="18"/>
                <w:szCs w:val="18"/>
              </w:rPr>
            </w:pPr>
          </w:p>
        </w:tc>
        <w:tc>
          <w:tcPr>
            <w:tcW w:w="689" w:type="dxa"/>
            <w:vMerge w:val="restart"/>
            <w:tcBorders>
              <w:top w:val="single" w:sz="2" w:space="0" w:color="auto"/>
              <w:left w:val="single" w:sz="2" w:space="0" w:color="auto"/>
              <w:right w:val="single" w:sz="2" w:space="0" w:color="auto"/>
            </w:tcBorders>
            <w:vAlign w:val="center"/>
          </w:tcPr>
          <w:p w:rsidR="0092775E" w:rsidRDefault="0092775E" w:rsidP="005F11D2">
            <w:pPr>
              <w:spacing w:line="240" w:lineRule="exact"/>
              <w:rPr>
                <w:rFonts w:ascii="宋体" w:eastAsia="宋体" w:hAnsi="宋体" w:cs="宋体"/>
                <w:sz w:val="18"/>
                <w:szCs w:val="18"/>
              </w:rPr>
            </w:pPr>
            <w:r>
              <w:rPr>
                <w:rFonts w:ascii="宋体" w:eastAsia="宋体" w:hAnsi="宋体" w:cs="宋体"/>
                <w:sz w:val="18"/>
                <w:szCs w:val="18"/>
              </w:rPr>
              <w:t>公司实际控制人袁仲雪先生担任赛轮集团股份有限公司董事</w:t>
            </w:r>
          </w:p>
        </w:tc>
        <w:tc>
          <w:tcPr>
            <w:tcW w:w="689" w:type="dxa"/>
            <w:vMerge w:val="restart"/>
            <w:tcBorders>
              <w:top w:val="single" w:sz="2" w:space="0" w:color="auto"/>
              <w:left w:val="single" w:sz="2" w:space="0" w:color="auto"/>
              <w:right w:val="single" w:sz="2" w:space="0" w:color="auto"/>
            </w:tcBorders>
            <w:vAlign w:val="center"/>
          </w:tcPr>
          <w:p w:rsidR="0092775E" w:rsidRDefault="0092775E" w:rsidP="005F11D2">
            <w:pPr>
              <w:spacing w:line="240" w:lineRule="exact"/>
              <w:rPr>
                <w:rFonts w:ascii="宋体" w:eastAsia="宋体" w:hAnsi="宋体" w:cs="宋体"/>
                <w:sz w:val="18"/>
                <w:szCs w:val="18"/>
              </w:rPr>
            </w:pPr>
            <w:r>
              <w:rPr>
                <w:rFonts w:ascii="宋体" w:eastAsia="宋体" w:hAnsi="宋体" w:cs="宋体"/>
                <w:sz w:val="18"/>
                <w:szCs w:val="18"/>
              </w:rPr>
              <w:t>向关联人销售产品、商品</w:t>
            </w:r>
          </w:p>
        </w:tc>
        <w:tc>
          <w:tcPr>
            <w:tcW w:w="689"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r>
              <w:rPr>
                <w:rFonts w:ascii="宋体" w:eastAsia="宋体" w:hAnsi="宋体" w:cs="宋体"/>
                <w:sz w:val="18"/>
                <w:szCs w:val="18"/>
              </w:rPr>
              <w:t>设备、模具、软件、备件等</w:t>
            </w:r>
          </w:p>
        </w:tc>
        <w:tc>
          <w:tcPr>
            <w:tcW w:w="689"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r>
              <w:rPr>
                <w:rFonts w:ascii="宋体" w:eastAsia="宋体" w:hAnsi="宋体" w:cs="宋体"/>
                <w:sz w:val="18"/>
                <w:szCs w:val="18"/>
              </w:rPr>
              <w:t>市场公允定价</w:t>
            </w:r>
          </w:p>
        </w:tc>
        <w:tc>
          <w:tcPr>
            <w:tcW w:w="689"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r>
              <w:rPr>
                <w:rFonts w:ascii="宋体" w:eastAsia="宋体" w:hAnsi="宋体" w:cs="宋体"/>
                <w:sz w:val="18"/>
                <w:szCs w:val="18"/>
              </w:rPr>
              <w:t>市场价格</w:t>
            </w:r>
          </w:p>
        </w:tc>
        <w:tc>
          <w:tcPr>
            <w:tcW w:w="689"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jc w:val="right"/>
              <w:rPr>
                <w:rFonts w:ascii="宋体" w:eastAsia="宋体" w:hAnsi="宋体" w:cs="宋体"/>
                <w:sz w:val="18"/>
                <w:szCs w:val="18"/>
              </w:rPr>
            </w:pPr>
            <w:r>
              <w:rPr>
                <w:rFonts w:ascii="宋体" w:eastAsia="宋体" w:hAnsi="宋体" w:cs="宋体"/>
                <w:sz w:val="18"/>
                <w:szCs w:val="18"/>
              </w:rPr>
              <w:t>89,914.37</w:t>
            </w:r>
          </w:p>
        </w:tc>
        <w:tc>
          <w:tcPr>
            <w:tcW w:w="688"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jc w:val="right"/>
              <w:rPr>
                <w:rFonts w:ascii="宋体" w:eastAsia="宋体" w:hAnsi="宋体" w:cs="宋体"/>
                <w:sz w:val="18"/>
                <w:szCs w:val="18"/>
              </w:rPr>
            </w:pPr>
            <w:r>
              <w:rPr>
                <w:rFonts w:ascii="宋体" w:eastAsia="宋体" w:hAnsi="宋体" w:cs="宋体"/>
                <w:sz w:val="18"/>
                <w:szCs w:val="18"/>
              </w:rPr>
              <w:t>36.39%</w:t>
            </w:r>
          </w:p>
        </w:tc>
        <w:tc>
          <w:tcPr>
            <w:tcW w:w="688"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jc w:val="right"/>
              <w:rPr>
                <w:rFonts w:ascii="宋体" w:eastAsia="宋体" w:hAnsi="宋体" w:cs="宋体"/>
                <w:sz w:val="18"/>
                <w:szCs w:val="18"/>
              </w:rPr>
            </w:pPr>
            <w:r>
              <w:rPr>
                <w:rFonts w:ascii="宋体" w:eastAsia="宋体" w:hAnsi="宋体" w:cs="宋体"/>
                <w:sz w:val="18"/>
                <w:szCs w:val="18"/>
              </w:rPr>
              <w:t>152,000</w:t>
            </w:r>
          </w:p>
        </w:tc>
        <w:tc>
          <w:tcPr>
            <w:tcW w:w="688"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r>
              <w:rPr>
                <w:rFonts w:ascii="宋体" w:eastAsia="宋体" w:hAnsi="宋体" w:cs="宋体"/>
                <w:sz w:val="18"/>
                <w:szCs w:val="18"/>
              </w:rPr>
              <w:t>否</w:t>
            </w:r>
          </w:p>
        </w:tc>
        <w:tc>
          <w:tcPr>
            <w:tcW w:w="688"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r>
              <w:rPr>
                <w:rFonts w:ascii="宋体" w:eastAsia="宋体" w:hAnsi="宋体" w:cs="宋体"/>
                <w:sz w:val="18"/>
                <w:szCs w:val="18"/>
              </w:rPr>
              <w:t>依照合同约定结算</w:t>
            </w:r>
          </w:p>
        </w:tc>
        <w:tc>
          <w:tcPr>
            <w:tcW w:w="688"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r>
              <w:rPr>
                <w:rFonts w:ascii="宋体" w:eastAsia="宋体" w:hAnsi="宋体" w:cs="宋体"/>
                <w:sz w:val="18"/>
                <w:szCs w:val="18"/>
              </w:rPr>
              <w:t>市场价格</w:t>
            </w:r>
          </w:p>
        </w:tc>
        <w:tc>
          <w:tcPr>
            <w:tcW w:w="688"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r>
              <w:rPr>
                <w:rFonts w:ascii="宋体" w:eastAsia="宋体" w:hAnsi="宋体" w:cs="宋体"/>
                <w:sz w:val="18"/>
                <w:szCs w:val="18"/>
              </w:rPr>
              <w:t>2023年12月14日</w:t>
            </w:r>
          </w:p>
        </w:tc>
        <w:tc>
          <w:tcPr>
            <w:tcW w:w="688"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r>
              <w:rPr>
                <w:rFonts w:ascii="宋体" w:eastAsia="宋体" w:hAnsi="宋体" w:cs="宋体"/>
                <w:sz w:val="18"/>
                <w:szCs w:val="18"/>
              </w:rPr>
              <w:t>2023-078号公告刊登于巨潮资讯网</w:t>
            </w:r>
          </w:p>
        </w:tc>
      </w:tr>
      <w:tr w:rsidR="0092775E" w:rsidTr="005F11D2">
        <w:trPr>
          <w:trHeight w:val="240"/>
        </w:trPr>
        <w:tc>
          <w:tcPr>
            <w:tcW w:w="689" w:type="dxa"/>
            <w:vMerge/>
            <w:tcBorders>
              <w:left w:val="single" w:sz="2" w:space="0" w:color="auto"/>
              <w:right w:val="single" w:sz="2" w:space="0" w:color="auto"/>
            </w:tcBorders>
            <w:vAlign w:val="center"/>
          </w:tcPr>
          <w:p w:rsidR="0092775E" w:rsidRDefault="0092775E" w:rsidP="005F11D2">
            <w:pPr>
              <w:spacing w:line="240" w:lineRule="exact"/>
              <w:rPr>
                <w:rFonts w:ascii="宋体" w:eastAsia="宋体" w:hAnsi="宋体" w:cs="宋体"/>
                <w:sz w:val="18"/>
                <w:szCs w:val="18"/>
              </w:rPr>
            </w:pPr>
          </w:p>
        </w:tc>
        <w:tc>
          <w:tcPr>
            <w:tcW w:w="689" w:type="dxa"/>
            <w:vMerge/>
            <w:tcBorders>
              <w:left w:val="single" w:sz="2" w:space="0" w:color="auto"/>
              <w:right w:val="single" w:sz="2" w:space="0" w:color="auto"/>
            </w:tcBorders>
            <w:vAlign w:val="center"/>
          </w:tcPr>
          <w:p w:rsidR="0092775E" w:rsidRDefault="0092775E" w:rsidP="005F11D2">
            <w:pPr>
              <w:spacing w:line="240" w:lineRule="exact"/>
              <w:rPr>
                <w:rFonts w:ascii="宋体" w:eastAsia="宋体" w:hAnsi="宋体" w:cs="宋体"/>
                <w:sz w:val="18"/>
                <w:szCs w:val="18"/>
              </w:rPr>
            </w:pPr>
          </w:p>
        </w:tc>
        <w:tc>
          <w:tcPr>
            <w:tcW w:w="689" w:type="dxa"/>
            <w:vMerge/>
            <w:tcBorders>
              <w:left w:val="single" w:sz="2" w:space="0" w:color="auto"/>
              <w:bottom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r>
              <w:rPr>
                <w:rFonts w:ascii="宋体" w:eastAsia="宋体" w:hAnsi="宋体" w:cs="宋体"/>
                <w:sz w:val="18"/>
                <w:szCs w:val="18"/>
              </w:rPr>
              <w:t>合成橡胶</w:t>
            </w:r>
          </w:p>
        </w:tc>
        <w:tc>
          <w:tcPr>
            <w:tcW w:w="689"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r>
              <w:rPr>
                <w:rFonts w:ascii="宋体" w:eastAsia="宋体" w:hAnsi="宋体" w:cs="宋体"/>
                <w:sz w:val="18"/>
                <w:szCs w:val="18"/>
              </w:rPr>
              <w:t>市场公允定价</w:t>
            </w:r>
          </w:p>
        </w:tc>
        <w:tc>
          <w:tcPr>
            <w:tcW w:w="689"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r>
              <w:rPr>
                <w:rFonts w:ascii="宋体" w:eastAsia="宋体" w:hAnsi="宋体" w:cs="宋体"/>
                <w:sz w:val="18"/>
                <w:szCs w:val="18"/>
              </w:rPr>
              <w:t>市场价格</w:t>
            </w:r>
          </w:p>
        </w:tc>
        <w:tc>
          <w:tcPr>
            <w:tcW w:w="689"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jc w:val="right"/>
              <w:rPr>
                <w:rFonts w:ascii="宋体" w:eastAsia="宋体" w:hAnsi="宋体" w:cs="宋体"/>
                <w:sz w:val="18"/>
                <w:szCs w:val="18"/>
              </w:rPr>
            </w:pPr>
            <w:r>
              <w:rPr>
                <w:rFonts w:ascii="宋体" w:eastAsia="宋体" w:hAnsi="宋体" w:cs="宋体"/>
                <w:sz w:val="18"/>
                <w:szCs w:val="18"/>
              </w:rPr>
              <w:t>62,945.19</w:t>
            </w:r>
          </w:p>
        </w:tc>
        <w:tc>
          <w:tcPr>
            <w:tcW w:w="688"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jc w:val="right"/>
              <w:rPr>
                <w:rFonts w:ascii="宋体" w:eastAsia="宋体" w:hAnsi="宋体" w:cs="宋体"/>
                <w:sz w:val="18"/>
                <w:szCs w:val="18"/>
              </w:rPr>
            </w:pPr>
            <w:r>
              <w:rPr>
                <w:rFonts w:ascii="宋体" w:eastAsia="宋体" w:hAnsi="宋体" w:cs="宋体"/>
                <w:sz w:val="18"/>
                <w:szCs w:val="18"/>
              </w:rPr>
              <w:t>54.28%</w:t>
            </w:r>
          </w:p>
        </w:tc>
        <w:tc>
          <w:tcPr>
            <w:tcW w:w="688"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jc w:val="right"/>
              <w:rPr>
                <w:rFonts w:ascii="宋体" w:eastAsia="宋体" w:hAnsi="宋体" w:cs="宋体"/>
                <w:sz w:val="18"/>
                <w:szCs w:val="18"/>
              </w:rPr>
            </w:pPr>
            <w:r>
              <w:rPr>
                <w:rFonts w:ascii="宋体" w:eastAsia="宋体" w:hAnsi="宋体" w:cs="宋体"/>
                <w:sz w:val="18"/>
                <w:szCs w:val="18"/>
              </w:rPr>
              <w:t>150,000</w:t>
            </w:r>
          </w:p>
        </w:tc>
        <w:tc>
          <w:tcPr>
            <w:tcW w:w="688"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r>
              <w:rPr>
                <w:rFonts w:ascii="宋体" w:eastAsia="宋体" w:hAnsi="宋体" w:cs="宋体"/>
                <w:sz w:val="18"/>
                <w:szCs w:val="18"/>
              </w:rPr>
              <w:t>否</w:t>
            </w:r>
          </w:p>
        </w:tc>
        <w:tc>
          <w:tcPr>
            <w:tcW w:w="688"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r>
              <w:rPr>
                <w:rFonts w:ascii="宋体" w:eastAsia="宋体" w:hAnsi="宋体" w:cs="宋体"/>
                <w:sz w:val="18"/>
                <w:szCs w:val="18"/>
              </w:rPr>
              <w:t>依照合同约定结算</w:t>
            </w:r>
          </w:p>
        </w:tc>
        <w:tc>
          <w:tcPr>
            <w:tcW w:w="688"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r>
              <w:rPr>
                <w:rFonts w:ascii="宋体" w:eastAsia="宋体" w:hAnsi="宋体" w:cs="宋体"/>
                <w:sz w:val="18"/>
                <w:szCs w:val="18"/>
              </w:rPr>
              <w:t>市场价格</w:t>
            </w:r>
          </w:p>
        </w:tc>
        <w:tc>
          <w:tcPr>
            <w:tcW w:w="688"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r>
              <w:rPr>
                <w:rFonts w:ascii="宋体" w:eastAsia="宋体" w:hAnsi="宋体" w:cs="宋体"/>
                <w:sz w:val="18"/>
                <w:szCs w:val="18"/>
              </w:rPr>
              <w:t>2023年12月14日</w:t>
            </w:r>
          </w:p>
        </w:tc>
        <w:tc>
          <w:tcPr>
            <w:tcW w:w="688"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r>
              <w:rPr>
                <w:rFonts w:ascii="宋体" w:eastAsia="宋体" w:hAnsi="宋体" w:cs="宋体"/>
                <w:sz w:val="18"/>
                <w:szCs w:val="18"/>
              </w:rPr>
              <w:t>2023-078号公告刊登于巨潮资讯网</w:t>
            </w:r>
          </w:p>
        </w:tc>
      </w:tr>
      <w:tr w:rsidR="0092775E" w:rsidTr="005F11D2">
        <w:trPr>
          <w:trHeight w:val="240"/>
        </w:trPr>
        <w:tc>
          <w:tcPr>
            <w:tcW w:w="689" w:type="dxa"/>
            <w:vMerge/>
            <w:tcBorders>
              <w:left w:val="single" w:sz="2" w:space="0" w:color="auto"/>
              <w:bottom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p>
        </w:tc>
        <w:tc>
          <w:tcPr>
            <w:tcW w:w="689" w:type="dxa"/>
            <w:vMerge/>
            <w:tcBorders>
              <w:left w:val="single" w:sz="2" w:space="0" w:color="auto"/>
              <w:bottom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r>
              <w:rPr>
                <w:rFonts w:ascii="宋体" w:eastAsia="宋体" w:hAnsi="宋体" w:cs="宋体"/>
                <w:sz w:val="18"/>
                <w:szCs w:val="18"/>
              </w:rPr>
              <w:t>向关联人购买产品、商品</w:t>
            </w:r>
          </w:p>
        </w:tc>
        <w:tc>
          <w:tcPr>
            <w:tcW w:w="689"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r>
              <w:rPr>
                <w:rFonts w:ascii="宋体" w:eastAsia="宋体" w:hAnsi="宋体" w:cs="宋体"/>
                <w:sz w:val="18"/>
                <w:szCs w:val="18"/>
              </w:rPr>
              <w:t>胶料、试剂助剂等</w:t>
            </w:r>
          </w:p>
        </w:tc>
        <w:tc>
          <w:tcPr>
            <w:tcW w:w="689"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r>
              <w:rPr>
                <w:rFonts w:ascii="宋体" w:eastAsia="宋体" w:hAnsi="宋体" w:cs="宋体"/>
                <w:sz w:val="18"/>
                <w:szCs w:val="18"/>
              </w:rPr>
              <w:t>市场公允定价</w:t>
            </w:r>
          </w:p>
        </w:tc>
        <w:tc>
          <w:tcPr>
            <w:tcW w:w="689"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r>
              <w:rPr>
                <w:rFonts w:ascii="宋体" w:eastAsia="宋体" w:hAnsi="宋体" w:cs="宋体"/>
                <w:sz w:val="18"/>
                <w:szCs w:val="18"/>
              </w:rPr>
              <w:t>市场价格</w:t>
            </w:r>
          </w:p>
        </w:tc>
        <w:tc>
          <w:tcPr>
            <w:tcW w:w="689"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jc w:val="right"/>
              <w:rPr>
                <w:rFonts w:ascii="宋体" w:eastAsia="宋体" w:hAnsi="宋体" w:cs="宋体"/>
                <w:sz w:val="18"/>
                <w:szCs w:val="18"/>
              </w:rPr>
            </w:pPr>
            <w:r>
              <w:rPr>
                <w:rFonts w:ascii="宋体" w:eastAsia="宋体" w:hAnsi="宋体" w:cs="宋体"/>
                <w:sz w:val="18"/>
                <w:szCs w:val="18"/>
              </w:rPr>
              <w:t>478.44</w:t>
            </w:r>
          </w:p>
        </w:tc>
        <w:tc>
          <w:tcPr>
            <w:tcW w:w="688"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jc w:val="right"/>
              <w:rPr>
                <w:rFonts w:ascii="宋体" w:eastAsia="宋体" w:hAnsi="宋体" w:cs="宋体"/>
                <w:sz w:val="18"/>
                <w:szCs w:val="18"/>
              </w:rPr>
            </w:pPr>
            <w:r>
              <w:rPr>
                <w:rFonts w:ascii="宋体" w:eastAsia="宋体" w:hAnsi="宋体" w:cs="宋体"/>
                <w:sz w:val="18"/>
                <w:szCs w:val="18"/>
              </w:rPr>
              <w:t>0.20%</w:t>
            </w:r>
          </w:p>
        </w:tc>
        <w:tc>
          <w:tcPr>
            <w:tcW w:w="688"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jc w:val="right"/>
              <w:rPr>
                <w:rFonts w:ascii="宋体" w:eastAsia="宋体" w:hAnsi="宋体" w:cs="宋体"/>
                <w:sz w:val="18"/>
                <w:szCs w:val="18"/>
              </w:rPr>
            </w:pPr>
            <w:r>
              <w:rPr>
                <w:rFonts w:ascii="宋体" w:eastAsia="宋体" w:hAnsi="宋体" w:cs="宋体"/>
                <w:sz w:val="18"/>
                <w:szCs w:val="18"/>
              </w:rPr>
              <w:t>2,500</w:t>
            </w:r>
          </w:p>
        </w:tc>
        <w:tc>
          <w:tcPr>
            <w:tcW w:w="688"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r>
              <w:rPr>
                <w:rFonts w:ascii="宋体" w:eastAsia="宋体" w:hAnsi="宋体" w:cs="宋体"/>
                <w:sz w:val="18"/>
                <w:szCs w:val="18"/>
              </w:rPr>
              <w:t>否</w:t>
            </w:r>
          </w:p>
        </w:tc>
        <w:tc>
          <w:tcPr>
            <w:tcW w:w="688"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r>
              <w:rPr>
                <w:rFonts w:ascii="宋体" w:eastAsia="宋体" w:hAnsi="宋体" w:cs="宋体"/>
                <w:sz w:val="18"/>
                <w:szCs w:val="18"/>
              </w:rPr>
              <w:t>依照合同约定结算</w:t>
            </w:r>
          </w:p>
        </w:tc>
        <w:tc>
          <w:tcPr>
            <w:tcW w:w="688"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r>
              <w:rPr>
                <w:rFonts w:ascii="宋体" w:eastAsia="宋体" w:hAnsi="宋体" w:cs="宋体"/>
                <w:sz w:val="18"/>
                <w:szCs w:val="18"/>
              </w:rPr>
              <w:t>市场价格</w:t>
            </w:r>
          </w:p>
        </w:tc>
        <w:tc>
          <w:tcPr>
            <w:tcW w:w="688"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r>
              <w:rPr>
                <w:rFonts w:ascii="宋体" w:eastAsia="宋体" w:hAnsi="宋体" w:cs="宋体"/>
                <w:sz w:val="18"/>
                <w:szCs w:val="18"/>
              </w:rPr>
              <w:t>2023年12月14日</w:t>
            </w:r>
          </w:p>
        </w:tc>
        <w:tc>
          <w:tcPr>
            <w:tcW w:w="688" w:type="dxa"/>
            <w:tcBorders>
              <w:top w:val="single" w:sz="2" w:space="0" w:color="auto"/>
              <w:left w:val="single" w:sz="2" w:space="0" w:color="auto"/>
              <w:bottom w:val="single" w:sz="2" w:space="0" w:color="auto"/>
              <w:right w:val="single" w:sz="2" w:space="0" w:color="auto"/>
            </w:tcBorders>
            <w:vAlign w:val="center"/>
          </w:tcPr>
          <w:p w:rsidR="0092775E" w:rsidRDefault="0092775E">
            <w:pPr>
              <w:spacing w:line="240" w:lineRule="exact"/>
              <w:rPr>
                <w:rFonts w:ascii="宋体" w:eastAsia="宋体" w:hAnsi="宋体" w:cs="宋体"/>
                <w:sz w:val="18"/>
                <w:szCs w:val="18"/>
              </w:rPr>
            </w:pPr>
            <w:r>
              <w:rPr>
                <w:rFonts w:ascii="宋体" w:eastAsia="宋体" w:hAnsi="宋体" w:cs="宋体"/>
                <w:sz w:val="18"/>
                <w:szCs w:val="18"/>
              </w:rPr>
              <w:t>2023-078号公告刊登于巨潮资讯网</w:t>
            </w:r>
          </w:p>
        </w:tc>
      </w:tr>
      <w:tr w:rsidR="007F3A90" w:rsidTr="003B5BBD">
        <w:trPr>
          <w:trHeight w:val="240"/>
        </w:trPr>
        <w:tc>
          <w:tcPr>
            <w:tcW w:w="2756"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153,338</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8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304,500</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r w:rsidR="007F3A90" w:rsidTr="003B5BBD">
        <w:trPr>
          <w:trHeight w:val="240"/>
        </w:trPr>
        <w:tc>
          <w:tcPr>
            <w:tcW w:w="2756"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大额销货退回的详细情况</w:t>
            </w:r>
          </w:p>
        </w:tc>
        <w:tc>
          <w:tcPr>
            <w:tcW w:w="6883" w:type="dxa"/>
            <w:gridSpan w:val="10"/>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不适用</w:t>
            </w:r>
          </w:p>
        </w:tc>
      </w:tr>
      <w:tr w:rsidR="007F3A90" w:rsidTr="003B5BBD">
        <w:trPr>
          <w:trHeight w:val="240"/>
        </w:trPr>
        <w:tc>
          <w:tcPr>
            <w:tcW w:w="2756"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按类别对本期将发生的日常关联交易进行总金额预计的，在报告期内的实际履行情况（如有）</w:t>
            </w:r>
          </w:p>
        </w:tc>
        <w:tc>
          <w:tcPr>
            <w:tcW w:w="6883" w:type="dxa"/>
            <w:gridSpan w:val="10"/>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公司与关联方的2024半年度关联交易预计是业务部门基于当时的业务开展情况、产销计划、市场需求和价格进行评估和测算后的初步判断，半年度日常关联交易实际发生额在日常关联交易预计的审批范围内，但因实际市场情况与客户要求变化等影响，公司关联交易预计个别业务分类与实际发生情况存在差异，属于正常的经营行为。</w:t>
            </w:r>
          </w:p>
        </w:tc>
      </w:tr>
      <w:tr w:rsidR="007F3A90" w:rsidTr="003B5BBD">
        <w:trPr>
          <w:trHeight w:val="240"/>
        </w:trPr>
        <w:tc>
          <w:tcPr>
            <w:tcW w:w="2756"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交易价格与市场参考价格差异较大的原因（如适用）</w:t>
            </w:r>
          </w:p>
        </w:tc>
        <w:tc>
          <w:tcPr>
            <w:tcW w:w="6883" w:type="dxa"/>
            <w:gridSpan w:val="10"/>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不适用</w:t>
            </w:r>
          </w:p>
        </w:tc>
      </w:tr>
    </w:tbl>
    <w:p w:rsidR="007F3A90" w:rsidRDefault="00CC38FA">
      <w:pPr>
        <w:pStyle w:val="3"/>
        <w:spacing w:line="280" w:lineRule="exact"/>
        <w:jc w:val="left"/>
        <w:rPr>
          <w:rFonts w:ascii="宋体" w:hAnsi="宋体" w:cs="宋体"/>
          <w:b/>
          <w:bCs/>
        </w:rPr>
      </w:pPr>
      <w:bookmarkStart w:id="67" w:name="_Toc988956"/>
      <w:r>
        <w:rPr>
          <w:rFonts w:ascii="宋体" w:hAnsi="宋体" w:cs="宋体"/>
          <w:b/>
          <w:bCs/>
        </w:rPr>
        <w:lastRenderedPageBreak/>
        <w:t>2、资产或股权收购、出售发生的关联交易</w:t>
      </w:r>
      <w:bookmarkEnd w:id="67"/>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公司报告期未发生资产或股权收购、出售的关联交易。</w:t>
      </w:r>
    </w:p>
    <w:p w:rsidR="007F3A90" w:rsidRDefault="00CC38FA">
      <w:pPr>
        <w:pStyle w:val="3"/>
        <w:spacing w:line="280" w:lineRule="exact"/>
        <w:jc w:val="left"/>
        <w:rPr>
          <w:rFonts w:ascii="宋体" w:hAnsi="宋体" w:cs="宋体"/>
          <w:b/>
          <w:bCs/>
        </w:rPr>
      </w:pPr>
      <w:bookmarkStart w:id="68" w:name="_Toc988957"/>
      <w:r>
        <w:rPr>
          <w:rFonts w:ascii="宋体" w:hAnsi="宋体" w:cs="宋体"/>
          <w:b/>
          <w:bCs/>
        </w:rPr>
        <w:t>3、共同对外投资的关联交易</w:t>
      </w:r>
      <w:bookmarkEnd w:id="68"/>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公司报告期未发生共同对外投资的关联交易。</w:t>
      </w:r>
    </w:p>
    <w:p w:rsidR="007F3A90" w:rsidRDefault="00CC38FA">
      <w:pPr>
        <w:pStyle w:val="3"/>
        <w:spacing w:line="280" w:lineRule="exact"/>
        <w:jc w:val="left"/>
        <w:rPr>
          <w:rFonts w:ascii="宋体" w:hAnsi="宋体" w:cs="宋体"/>
          <w:b/>
          <w:bCs/>
        </w:rPr>
      </w:pPr>
      <w:bookmarkStart w:id="69" w:name="_Toc988958"/>
      <w:r>
        <w:rPr>
          <w:rFonts w:ascii="宋体" w:hAnsi="宋体" w:cs="宋体"/>
          <w:b/>
          <w:bCs/>
        </w:rPr>
        <w:t>4、关联债权债务往来</w:t>
      </w:r>
      <w:bookmarkEnd w:id="69"/>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公司报告期不存在关联债权债务往来。</w:t>
      </w:r>
    </w:p>
    <w:p w:rsidR="007F3A90" w:rsidRDefault="00CC38FA">
      <w:pPr>
        <w:pStyle w:val="3"/>
        <w:spacing w:line="280" w:lineRule="exact"/>
        <w:jc w:val="left"/>
        <w:rPr>
          <w:rFonts w:ascii="宋体" w:hAnsi="宋体" w:cs="宋体"/>
          <w:b/>
          <w:bCs/>
        </w:rPr>
      </w:pPr>
      <w:bookmarkStart w:id="70" w:name="_Toc988959"/>
      <w:r>
        <w:rPr>
          <w:rFonts w:ascii="宋体" w:hAnsi="宋体" w:cs="宋体"/>
          <w:b/>
          <w:bCs/>
        </w:rPr>
        <w:t>5、与存在关联关系的财务公司的往来情况</w:t>
      </w:r>
      <w:bookmarkEnd w:id="70"/>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公司与存在关联关系的财务公司与关联方之间不存在存款、贷款、授信或其他金融业务。</w:t>
      </w:r>
    </w:p>
    <w:p w:rsidR="007F3A90" w:rsidRDefault="00CC38FA">
      <w:pPr>
        <w:pStyle w:val="3"/>
        <w:spacing w:line="280" w:lineRule="exact"/>
        <w:jc w:val="left"/>
        <w:rPr>
          <w:rFonts w:ascii="宋体" w:hAnsi="宋体" w:cs="宋体"/>
          <w:b/>
          <w:bCs/>
        </w:rPr>
      </w:pPr>
      <w:bookmarkStart w:id="71" w:name="_Toc988960"/>
      <w:r>
        <w:rPr>
          <w:rFonts w:ascii="宋体" w:hAnsi="宋体" w:cs="宋体"/>
          <w:b/>
          <w:bCs/>
        </w:rPr>
        <w:t>6、公司控股的财务公司与关联方的往来情况</w:t>
      </w:r>
      <w:bookmarkEnd w:id="71"/>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公司控股的财务公司与关联方之间不存在存款、贷款、授信或其他金融业务。</w:t>
      </w:r>
    </w:p>
    <w:p w:rsidR="007F3A90" w:rsidRDefault="00CC38FA">
      <w:pPr>
        <w:pStyle w:val="3"/>
        <w:spacing w:line="280" w:lineRule="exact"/>
        <w:jc w:val="left"/>
        <w:rPr>
          <w:rFonts w:ascii="宋体" w:hAnsi="宋体" w:cs="宋体"/>
          <w:b/>
          <w:bCs/>
        </w:rPr>
      </w:pPr>
      <w:bookmarkStart w:id="72" w:name="_Toc988961"/>
      <w:r>
        <w:rPr>
          <w:rFonts w:ascii="宋体" w:hAnsi="宋体" w:cs="宋体"/>
          <w:b/>
          <w:bCs/>
        </w:rPr>
        <w:t>7、其他重大关联交易</w:t>
      </w:r>
      <w:bookmarkEnd w:id="72"/>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公司报告期无其他重大关联交易。</w:t>
      </w:r>
    </w:p>
    <w:p w:rsidR="007F3A90" w:rsidRDefault="00CC38FA">
      <w:pPr>
        <w:pStyle w:val="2"/>
        <w:spacing w:before="300" w:after="300" w:line="320" w:lineRule="exact"/>
        <w:rPr>
          <w:rFonts w:ascii="宋体" w:eastAsia="宋体" w:hAnsi="宋体" w:cs="宋体"/>
          <w:b/>
          <w:bCs/>
          <w:sz w:val="24"/>
          <w:szCs w:val="24"/>
        </w:rPr>
      </w:pPr>
      <w:bookmarkStart w:id="73" w:name="_Toc988962"/>
      <w:r>
        <w:rPr>
          <w:rFonts w:ascii="宋体" w:eastAsia="宋体" w:hAnsi="宋体" w:cs="宋体"/>
          <w:b/>
          <w:bCs/>
          <w:sz w:val="24"/>
          <w:szCs w:val="24"/>
        </w:rPr>
        <w:t>十二、重大合同及其履行情况</w:t>
      </w:r>
      <w:bookmarkEnd w:id="73"/>
    </w:p>
    <w:p w:rsidR="007F3A90" w:rsidRDefault="00CC38FA">
      <w:pPr>
        <w:pStyle w:val="3"/>
        <w:spacing w:line="280" w:lineRule="exact"/>
        <w:jc w:val="left"/>
        <w:rPr>
          <w:rFonts w:ascii="宋体" w:hAnsi="宋体" w:cs="宋体"/>
          <w:b/>
          <w:bCs/>
        </w:rPr>
      </w:pPr>
      <w:bookmarkStart w:id="74" w:name="_Toc988963"/>
      <w:r>
        <w:rPr>
          <w:rFonts w:ascii="宋体" w:hAnsi="宋体" w:cs="宋体"/>
          <w:b/>
          <w:bCs/>
        </w:rPr>
        <w:t>1、托管、承包、租赁事项情况</w:t>
      </w:r>
      <w:bookmarkEnd w:id="74"/>
    </w:p>
    <w:p w:rsidR="007F3A90" w:rsidRDefault="00CC38FA">
      <w:pPr>
        <w:keepNext/>
        <w:keepLines/>
        <w:spacing w:before="300" w:after="300" w:line="280" w:lineRule="exact"/>
        <w:outlineLvl w:val="3"/>
        <w:rPr>
          <w:rFonts w:ascii="宋体" w:eastAsia="宋体" w:hAnsi="宋体" w:cs="宋体"/>
          <w:b/>
          <w:bCs/>
          <w:sz w:val="18"/>
          <w:szCs w:val="18"/>
        </w:rPr>
      </w:pPr>
      <w:bookmarkStart w:id="75" w:name="_Toc988964"/>
      <w:r>
        <w:rPr>
          <w:rFonts w:ascii="宋体" w:eastAsia="宋体" w:hAnsi="宋体" w:cs="宋体"/>
          <w:b/>
          <w:bCs/>
          <w:sz w:val="18"/>
          <w:szCs w:val="18"/>
        </w:rPr>
        <w:t>（1） 托管情况</w:t>
      </w:r>
      <w:bookmarkEnd w:id="75"/>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公司报告期不存在托管情况。</w:t>
      </w:r>
    </w:p>
    <w:p w:rsidR="007F3A90" w:rsidRDefault="00CC38FA">
      <w:pPr>
        <w:keepNext/>
        <w:keepLines/>
        <w:spacing w:before="300" w:after="300" w:line="280" w:lineRule="exact"/>
        <w:outlineLvl w:val="3"/>
        <w:rPr>
          <w:rFonts w:ascii="宋体" w:eastAsia="宋体" w:hAnsi="宋体" w:cs="宋体"/>
          <w:b/>
          <w:bCs/>
          <w:sz w:val="18"/>
          <w:szCs w:val="18"/>
        </w:rPr>
      </w:pPr>
      <w:bookmarkStart w:id="76" w:name="_Toc988965"/>
      <w:r>
        <w:rPr>
          <w:rFonts w:ascii="宋体" w:eastAsia="宋体" w:hAnsi="宋体" w:cs="宋体"/>
          <w:b/>
          <w:bCs/>
          <w:sz w:val="18"/>
          <w:szCs w:val="18"/>
        </w:rPr>
        <w:t>（2） 承包情况</w:t>
      </w:r>
      <w:bookmarkEnd w:id="76"/>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公司报告期不存在承包情况。</w:t>
      </w:r>
    </w:p>
    <w:p w:rsidR="007F3A90" w:rsidRDefault="00CC38FA">
      <w:pPr>
        <w:keepNext/>
        <w:keepLines/>
        <w:spacing w:before="300" w:after="300" w:line="280" w:lineRule="exact"/>
        <w:outlineLvl w:val="3"/>
        <w:rPr>
          <w:rFonts w:ascii="宋体" w:eastAsia="宋体" w:hAnsi="宋体" w:cs="宋体"/>
          <w:b/>
          <w:bCs/>
          <w:sz w:val="18"/>
          <w:szCs w:val="18"/>
        </w:rPr>
      </w:pPr>
      <w:bookmarkStart w:id="77" w:name="_Toc988966"/>
      <w:r>
        <w:rPr>
          <w:rFonts w:ascii="宋体" w:eastAsia="宋体" w:hAnsi="宋体" w:cs="宋体"/>
          <w:b/>
          <w:bCs/>
          <w:sz w:val="18"/>
          <w:szCs w:val="18"/>
        </w:rPr>
        <w:t>（3） 租赁情况</w:t>
      </w:r>
      <w:bookmarkEnd w:id="77"/>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公司报告期不存在租赁情况。</w:t>
      </w:r>
    </w:p>
    <w:p w:rsidR="007F3A90" w:rsidRDefault="00CC38FA">
      <w:pPr>
        <w:pStyle w:val="3"/>
        <w:spacing w:line="280" w:lineRule="exact"/>
        <w:jc w:val="left"/>
        <w:rPr>
          <w:rFonts w:ascii="宋体" w:hAnsi="宋体" w:cs="宋体"/>
          <w:b/>
          <w:bCs/>
        </w:rPr>
      </w:pPr>
      <w:bookmarkStart w:id="78" w:name="_Toc988967"/>
      <w:r>
        <w:rPr>
          <w:rFonts w:ascii="宋体" w:hAnsi="宋体" w:cs="宋体"/>
          <w:b/>
          <w:bCs/>
        </w:rPr>
        <w:t>2、重大担保</w:t>
      </w:r>
      <w:bookmarkEnd w:id="78"/>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7"/>
        <w:gridCol w:w="876"/>
        <w:gridCol w:w="877"/>
        <w:gridCol w:w="876"/>
        <w:gridCol w:w="877"/>
        <w:gridCol w:w="876"/>
        <w:gridCol w:w="876"/>
        <w:gridCol w:w="876"/>
        <w:gridCol w:w="876"/>
        <w:gridCol w:w="877"/>
      </w:tblGrid>
      <w:tr w:rsidR="007F3A90">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公司及其子公司对外担保情况（不包括对子公司的担保）</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担保对象名称</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实际担保金额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担保物（如有）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反担保情况（如有）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是否履行完毕</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是否为关联方担保</w:t>
            </w:r>
          </w:p>
        </w:tc>
      </w:tr>
      <w:tr w:rsidR="007F3A90">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公司对子公司的担保情况</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担保对象名称</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实际担保金额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担保物（如有）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反担保情况（如有）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是否履行完毕</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是否为关联方担保</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2021年05月20日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818,513</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2021年12月22日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3,651.36</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30个月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2021年05月20日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818,513</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2022年03月02日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1,003.8</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28个月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2023年03月29日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2023年07月01日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147.49</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9个月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2023年07月26日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218.18</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2023年08月21日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67.32</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7个月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2023年08月22日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258.91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14个月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2023年09月07日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10.22</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5个月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2023年10月07日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393.76</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w:t>
            </w:r>
            <w:r>
              <w:rPr>
                <w:rFonts w:ascii="宋体" w:eastAsia="宋体" w:hAnsi="宋体" w:cs="宋体"/>
                <w:sz w:val="18"/>
                <w:szCs w:val="18"/>
              </w:rPr>
              <w:lastRenderedPageBreak/>
              <w:t>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lastRenderedPageBreak/>
              <w:t>2022年05月27</w:t>
            </w:r>
            <w:r>
              <w:rPr>
                <w:rFonts w:ascii="宋体" w:eastAsia="宋体" w:hAnsi="宋体" w:cs="宋体"/>
                <w:sz w:val="18"/>
                <w:szCs w:val="18"/>
              </w:rPr>
              <w:lastRenderedPageBreak/>
              <w:t>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lastRenderedPageBreak/>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2023年10月20</w:t>
            </w:r>
            <w:r>
              <w:rPr>
                <w:rFonts w:ascii="宋体" w:eastAsia="宋体" w:hAnsi="宋体" w:cs="宋体"/>
                <w:sz w:val="18"/>
                <w:szCs w:val="18"/>
              </w:rPr>
              <w:lastRenderedPageBreak/>
              <w:t>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lastRenderedPageBreak/>
              <w:t>2,400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lastRenderedPageBreak/>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2023年12月14日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2023年12月22日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2023年12月22日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2,066.4</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11个月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2023年12月22日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2,210.4</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14个月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2023年12月22日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3,163.8</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13个月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2023年12月22日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526.2</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10个月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2023年12月22日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551.07</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13个月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2023年12月22日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529.71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25个月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2023年12月22日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846.42</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2023年12月22日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582</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18个月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2023年12月22日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1,509</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13个月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2023年05月08日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775,040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2024年01月31日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736.8</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2023年05月08日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775,040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2024年01月31日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379.2</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10个月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w:t>
            </w:r>
            <w:r>
              <w:rPr>
                <w:rFonts w:ascii="宋体" w:eastAsia="宋体" w:hAnsi="宋体" w:cs="宋体"/>
                <w:sz w:val="18"/>
                <w:szCs w:val="18"/>
              </w:rPr>
              <w:lastRenderedPageBreak/>
              <w:t>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lastRenderedPageBreak/>
              <w:t>2023年05月08日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775,040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2024年03月14日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lastRenderedPageBreak/>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2023年05月08日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775,040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2024年03月26日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9个月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2023年05月08日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775,040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2024年03月26日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9个月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2023年05月08日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775,040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2024年03月26日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9个月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2023年05月08日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775,040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2024年03月26日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9个月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2023年05月08日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775,040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2024年05月06日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72.41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9个月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2024年06月19日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725.82</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2024年06月20日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1,105.26</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9个月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2024年06月20日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640.73</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10个月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2024年06月27日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26.62</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8个月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2024年06月27日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33.74</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8个月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软控欧洲研发和技术中心有限责任公司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2023年04月25日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582.84</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10个月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软控欧洲研发和技术中心有限责任公司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2023年11月03日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796.61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3个月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软控欧洲研发和技术中心有</w:t>
            </w:r>
            <w:r>
              <w:rPr>
                <w:rFonts w:ascii="宋体" w:eastAsia="宋体" w:hAnsi="宋体" w:cs="宋体"/>
                <w:sz w:val="18"/>
                <w:szCs w:val="18"/>
              </w:rPr>
              <w:lastRenderedPageBreak/>
              <w:t>限责任公司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lastRenderedPageBreak/>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2023年12月04日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1,448.83</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19个月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lastRenderedPageBreak/>
              <w:t>软控欧洲研发和技术中心有限责任公司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2023年12月11日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153.29</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19个月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软控欧洲研发和技术中心有限责任公司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2023年12月15日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548.1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软控欧洲研发和技术中心有限责任公司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2023年12月22日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312.72</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14个月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软控欧洲研发和技术中心有限责任公司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2023年12月22日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810.23</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15个月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软控欧洲研发和技术中心有限责任公司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2023年05月08日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775,040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2024年04月03日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138.19</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10个月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软控欧洲研发和技术中心有限责任公司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2023年05月08日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775,040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2024年04月11日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158.75</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10个月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软控欧洲研发和技术中心有限责任公司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2023年05月08日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775,040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2024年04月17日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160.83</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14个月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软控欧洲研发和技术中心有限责任公司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2024年05月29日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607.97</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14个月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浙江软控智能科技股份有限公司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2023年11月24日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浙江软控智能</w:t>
            </w:r>
            <w:r>
              <w:rPr>
                <w:rFonts w:ascii="宋体" w:eastAsia="宋体" w:hAnsi="宋体" w:cs="宋体"/>
                <w:sz w:val="18"/>
                <w:szCs w:val="18"/>
              </w:rPr>
              <w:lastRenderedPageBreak/>
              <w:t>科技股份有限公司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lastRenderedPageBreak/>
              <w:t>2023年05月08</w:t>
            </w:r>
            <w:r>
              <w:rPr>
                <w:rFonts w:ascii="宋体" w:eastAsia="宋体" w:hAnsi="宋体" w:cs="宋体"/>
                <w:sz w:val="18"/>
                <w:szCs w:val="18"/>
              </w:rPr>
              <w:lastRenderedPageBreak/>
              <w:t>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lastRenderedPageBreak/>
              <w:t>775,040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2024年01月24</w:t>
            </w:r>
            <w:r>
              <w:rPr>
                <w:rFonts w:ascii="宋体" w:eastAsia="宋体" w:hAnsi="宋体" w:cs="宋体"/>
                <w:sz w:val="18"/>
                <w:szCs w:val="18"/>
              </w:rPr>
              <w:lastRenderedPageBreak/>
              <w:t>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lastRenderedPageBreak/>
              <w:t>1,800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lastRenderedPageBreak/>
              <w:t>浙江软控智能科技股份有限公司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2023年05月08日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775,040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2024年03月15日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2,010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浙江软控智能科技股份有限公司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2024年05月17日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843,400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2024年05月24日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1,018</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益凯新材料有限公司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2020年06月30日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2020年12月31日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47,962.52</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132个月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益凯新材料有限公司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2020年06月30日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2022年04月02日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2,072.97</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109个月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益凯新材料有限公司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2020年06月30日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2022年05月18日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864.62</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108个月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益凯新材料有限公司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2022年06月27日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525.59</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107个月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益凯新材料有限公司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2022年06月27日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537.27</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41个月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益凯新材料有限公司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2022年07月27日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763.29</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106个月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益凯新材料有限公司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2022年08月25日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603.49</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105个月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益凯新材料有限公司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2022年09月27日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1,543.8</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益凯新材料有限公司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2022年09月29日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582.67</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104个月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益凯新材料有限公司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2022年10月28日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761.25</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25个月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益凯新材料有限公司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2022年11月02日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928.43</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103个月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益凯新材料有限公司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2022年11月29日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2,111.85</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30个月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益凯新材料有限公司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2022年11月30日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845.6</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78个月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益凯新材料有限公司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2022年11月30日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1,046.22</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24个月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益凯新材料有</w:t>
            </w:r>
            <w:r>
              <w:rPr>
                <w:rFonts w:ascii="宋体" w:eastAsia="宋体" w:hAnsi="宋体" w:cs="宋体"/>
                <w:sz w:val="18"/>
                <w:szCs w:val="18"/>
              </w:rPr>
              <w:lastRenderedPageBreak/>
              <w:t>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lastRenderedPageBreak/>
              <w:t>2022年05月27</w:t>
            </w:r>
            <w:r>
              <w:rPr>
                <w:rFonts w:ascii="宋体" w:eastAsia="宋体" w:hAnsi="宋体" w:cs="宋体"/>
                <w:sz w:val="18"/>
                <w:szCs w:val="18"/>
              </w:rPr>
              <w:lastRenderedPageBreak/>
              <w:t>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lastRenderedPageBreak/>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2022年12月02</w:t>
            </w:r>
            <w:r>
              <w:rPr>
                <w:rFonts w:ascii="宋体" w:eastAsia="宋体" w:hAnsi="宋体" w:cs="宋体"/>
                <w:sz w:val="18"/>
                <w:szCs w:val="18"/>
              </w:rPr>
              <w:lastRenderedPageBreak/>
              <w:t>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lastRenderedPageBreak/>
              <w:t>1,613.69</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101个月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lastRenderedPageBreak/>
              <w:t>益凯新材料有限公司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2023年02月24日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益凯新材料有限公司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2023年05月08日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775,040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2023年06月13日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24个月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益凯新材料有限公司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2023年05月08日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775,040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2023年06月19日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6,500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报告期内审批对子公司担保额度合计（B1）</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843,400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报告期内对子公司担保实际发生额合计（B2）</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24,877.32</w:t>
            </w:r>
          </w:p>
        </w:tc>
      </w:tr>
      <w:tr w:rsidR="007F3A90">
        <w:trPr>
          <w:trHeight w:val="240"/>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报告期末已审批的对子公司担保额度合计（B3）</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3,226,944</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报告期末对子公司实际担保余额合计（B4）</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108,807.62</w:t>
            </w:r>
          </w:p>
        </w:tc>
      </w:tr>
      <w:tr w:rsidR="007F3A90">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子公司对子公司的担保情况</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担保对象名称</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实际担保金额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担保物（如有）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反担保情况（如有）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是否履行完毕</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是否为关联方担保</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2023年09月26日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1,077.25</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72个月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2023年09月28日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660.14</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72个月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2023年10月17日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1,816.21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72个月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2023年11月02日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370.82</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71个月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2023年11月15日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988.25</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71个月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2023年11月29日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389.74</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70个月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2023年12月26日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1,139.31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69个月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2023年12月27日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1,492.05</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69个月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盘锦伊科思新材料有</w:t>
            </w:r>
            <w:r>
              <w:rPr>
                <w:rFonts w:ascii="宋体" w:eastAsia="宋体" w:hAnsi="宋体" w:cs="宋体"/>
                <w:sz w:val="18"/>
                <w:szCs w:val="18"/>
              </w:rPr>
              <w:lastRenderedPageBreak/>
              <w:t>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lastRenderedPageBreak/>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2024年01月09日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971.2</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68个月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lastRenderedPageBreak/>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2024年01月17日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1,424.44</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68个月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2024年02月01日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429.77</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67个月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2024年03月08日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243.91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66个月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2024年03月15日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325.83</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66个月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2024年03月25日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2,058</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65个月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115.29</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65个月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2024年04月23日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486.84</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64个月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2024年04月28日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488.1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64个月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2024年05月16日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778.95</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64个月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2024年06月25日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1,072.3</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62个月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青岛华控能源科技有限公司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2024年02月02日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57</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青岛华控能源科技有限公司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2024年03月01日</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282.09</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连带责任担保</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tc>
      </w:tr>
      <w:tr w:rsidR="007F3A90">
        <w:trPr>
          <w:trHeight w:val="240"/>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报告期内审批对子公司担保额度合计（C1）</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报告期内对子公司担保实际发生额合计（C2）</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8,733.72</w:t>
            </w:r>
          </w:p>
        </w:tc>
      </w:tr>
      <w:tr w:rsidR="007F3A90">
        <w:trPr>
          <w:trHeight w:val="240"/>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报告期末已审批的对子公司担保额度合计（C3）</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报告期末对子公司实际担保余额合计（C4）</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16,667.49</w:t>
            </w:r>
          </w:p>
        </w:tc>
      </w:tr>
      <w:tr w:rsidR="007F3A90">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公司担保总额（即前三大项的合计）</w:t>
            </w:r>
          </w:p>
        </w:tc>
      </w:tr>
      <w:tr w:rsidR="007F3A90">
        <w:trPr>
          <w:trHeight w:val="240"/>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lastRenderedPageBreak/>
              <w:t>报告期内审批担保额度合计（A1+B1+C1）</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883,400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报告期内担保实际发生额合计（A2+B2+C2）</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33,611.04</w:t>
            </w:r>
          </w:p>
        </w:tc>
      </w:tr>
      <w:tr w:rsidR="007F3A90">
        <w:trPr>
          <w:trHeight w:val="240"/>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报告期末已审批的担保额度合计（A3+B3+C3）</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3,266,944</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报告期末实际担保余额合计（A4+B4+C4）</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125,475.11</w:t>
            </w:r>
          </w:p>
        </w:tc>
      </w:tr>
      <w:tr w:rsidR="007F3A90">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实际担保总额（即A4+B4+C4）占公司净资产的比例</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23.01%</w:t>
            </w:r>
          </w:p>
        </w:tc>
      </w:tr>
      <w:tr w:rsidR="007F3A90">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其中：</w:t>
            </w:r>
          </w:p>
        </w:tc>
      </w:tr>
      <w:tr w:rsidR="007F3A90">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为股东、实际控制人及其关联方提供担保的余额（D）</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7F3A90">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直接或间接为资产负债率超过70%的被担保对象提供的债务担保余额（E）</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108,807.62</w:t>
            </w:r>
          </w:p>
        </w:tc>
      </w:tr>
      <w:tr w:rsidR="007F3A90">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担保总额超过净资产50%部分的金额（F）</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7F3A90">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上述三项担保金额合计（D+E+F）</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108,807.62</w:t>
            </w:r>
          </w:p>
        </w:tc>
      </w:tr>
      <w:tr w:rsidR="007F3A90">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对未到期担保合同，报告期内发生担保责任或有证据表明有可能承担连带清偿责任的情况说明（如有）</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不适用</w:t>
            </w:r>
          </w:p>
        </w:tc>
      </w:tr>
      <w:tr w:rsidR="007F3A90">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违反规定程序对外提供担保的说明（如有）</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不适用</w:t>
            </w:r>
          </w:p>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采用复合方式担保的具体情况说明</w:t>
      </w:r>
    </w:p>
    <w:p w:rsidR="00CC38FA" w:rsidRDefault="00CC38FA">
      <w:pPr>
        <w:pStyle w:val="a3"/>
        <w:divId w:val="1478759893"/>
        <w:rPr>
          <w:sz w:val="18"/>
          <w:szCs w:val="18"/>
        </w:rPr>
      </w:pPr>
      <w:r>
        <w:rPr>
          <w:rFonts w:hint="eastAsia"/>
          <w:sz w:val="18"/>
          <w:szCs w:val="18"/>
        </w:rPr>
        <w:t>无</w:t>
      </w:r>
    </w:p>
    <w:p w:rsidR="007F3A90" w:rsidRDefault="00CC38FA">
      <w:pPr>
        <w:pStyle w:val="3"/>
        <w:spacing w:line="280" w:lineRule="exact"/>
        <w:jc w:val="left"/>
        <w:rPr>
          <w:rFonts w:ascii="宋体" w:hAnsi="宋体" w:cs="宋体"/>
          <w:b/>
          <w:bCs/>
        </w:rPr>
      </w:pPr>
      <w:bookmarkStart w:id="79" w:name="_Toc988968"/>
      <w:r>
        <w:rPr>
          <w:rFonts w:ascii="宋体" w:hAnsi="宋体" w:cs="宋体"/>
          <w:b/>
          <w:bCs/>
        </w:rPr>
        <w:t>3、委托理财</w:t>
      </w:r>
      <w:bookmarkEnd w:id="79"/>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7"/>
        <w:gridCol w:w="1608"/>
        <w:gridCol w:w="1606"/>
        <w:gridCol w:w="1606"/>
        <w:gridCol w:w="1606"/>
        <w:gridCol w:w="1606"/>
      </w:tblGrid>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具体类型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委托理财的资金来源</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委托理财发生额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未到期余额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逾期未收回的金额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逾期未收回理财已计提减值金额</w:t>
            </w: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银行理财产品</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募集资金</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银行理财产品</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自有资金</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145,000</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144,603.38</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7F3A90">
        <w:trPr>
          <w:trHeight w:val="240"/>
        </w:trPr>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145,000</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144,603.38</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单项金额重大或安全性较低、流动性较差的高风险委托理财具体情况</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委托理财出现预期无法收回本金或存在其他可能导致减值的情形</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pStyle w:val="3"/>
        <w:spacing w:line="280" w:lineRule="exact"/>
        <w:jc w:val="left"/>
        <w:rPr>
          <w:rFonts w:ascii="宋体" w:hAnsi="宋体" w:cs="宋体"/>
          <w:b/>
          <w:bCs/>
        </w:rPr>
      </w:pPr>
      <w:bookmarkStart w:id="80" w:name="_Toc988969"/>
      <w:r>
        <w:rPr>
          <w:rFonts w:ascii="宋体" w:hAnsi="宋体" w:cs="宋体"/>
          <w:b/>
          <w:bCs/>
        </w:rPr>
        <w:t>4、其他重大合同</w:t>
      </w:r>
      <w:bookmarkEnd w:id="80"/>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公司报告期不存在其他重大合同。</w:t>
      </w:r>
    </w:p>
    <w:p w:rsidR="007F3A90" w:rsidRDefault="00CC38FA">
      <w:pPr>
        <w:pStyle w:val="2"/>
        <w:spacing w:before="300" w:after="300" w:line="320" w:lineRule="exact"/>
        <w:rPr>
          <w:rFonts w:ascii="宋体" w:eastAsia="宋体" w:hAnsi="宋体" w:cs="宋体"/>
          <w:b/>
          <w:bCs/>
          <w:sz w:val="24"/>
          <w:szCs w:val="24"/>
        </w:rPr>
      </w:pPr>
      <w:bookmarkStart w:id="81" w:name="_Toc988970"/>
      <w:r>
        <w:rPr>
          <w:rFonts w:ascii="宋体" w:eastAsia="宋体" w:hAnsi="宋体" w:cs="宋体"/>
          <w:b/>
          <w:bCs/>
          <w:sz w:val="24"/>
          <w:szCs w:val="24"/>
        </w:rPr>
        <w:t>十三、其他重大事项的说明</w:t>
      </w:r>
      <w:bookmarkEnd w:id="81"/>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公司报告期不存在需要说明的其他重大事项。</w:t>
      </w:r>
    </w:p>
    <w:p w:rsidR="007F3A90" w:rsidRDefault="00CC38FA">
      <w:pPr>
        <w:pStyle w:val="2"/>
        <w:spacing w:before="300" w:after="300" w:line="320" w:lineRule="exact"/>
        <w:rPr>
          <w:rFonts w:ascii="宋体" w:eastAsia="宋体" w:hAnsi="宋体" w:cs="宋体"/>
          <w:b/>
          <w:bCs/>
          <w:sz w:val="24"/>
          <w:szCs w:val="24"/>
        </w:rPr>
      </w:pPr>
      <w:bookmarkStart w:id="82" w:name="_Toc988971"/>
      <w:r>
        <w:rPr>
          <w:rFonts w:ascii="宋体" w:eastAsia="宋体" w:hAnsi="宋体" w:cs="宋体"/>
          <w:b/>
          <w:bCs/>
          <w:sz w:val="24"/>
          <w:szCs w:val="24"/>
        </w:rPr>
        <w:lastRenderedPageBreak/>
        <w:t>十四、公司子公司重大事项</w:t>
      </w:r>
      <w:bookmarkEnd w:id="82"/>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r>
        <w:br w:type="page"/>
      </w:r>
    </w:p>
    <w:p w:rsidR="007F3A90" w:rsidRDefault="00CC38FA">
      <w:pPr>
        <w:pStyle w:val="headingh1"/>
        <w:spacing w:before="340" w:after="330" w:line="773" w:lineRule="exact"/>
        <w:jc w:val="center"/>
        <w:rPr>
          <w:rFonts w:ascii="宋体" w:eastAsia="宋体" w:hAnsi="宋体" w:cs="宋体"/>
          <w:b/>
          <w:bCs/>
          <w:sz w:val="32"/>
          <w:szCs w:val="32"/>
        </w:rPr>
      </w:pPr>
      <w:bookmarkStart w:id="83" w:name="_Toc988972"/>
      <w:r>
        <w:rPr>
          <w:rFonts w:ascii="宋体" w:eastAsia="宋体" w:hAnsi="宋体" w:cs="宋体"/>
          <w:b/>
          <w:bCs/>
          <w:sz w:val="32"/>
          <w:szCs w:val="32"/>
        </w:rPr>
        <w:lastRenderedPageBreak/>
        <w:t>第七节 股份变动及股东情况</w:t>
      </w:r>
      <w:bookmarkEnd w:id="83"/>
    </w:p>
    <w:p w:rsidR="007F3A90" w:rsidRDefault="00CC38FA">
      <w:pPr>
        <w:pStyle w:val="2"/>
        <w:spacing w:before="300" w:after="300" w:line="320" w:lineRule="exact"/>
        <w:rPr>
          <w:rFonts w:ascii="宋体" w:eastAsia="宋体" w:hAnsi="宋体" w:cs="宋体"/>
          <w:b/>
          <w:bCs/>
          <w:sz w:val="24"/>
          <w:szCs w:val="24"/>
        </w:rPr>
      </w:pPr>
      <w:bookmarkStart w:id="84" w:name="_Toc988973"/>
      <w:r>
        <w:rPr>
          <w:rFonts w:ascii="宋体" w:eastAsia="宋体" w:hAnsi="宋体" w:cs="宋体"/>
          <w:b/>
          <w:bCs/>
          <w:sz w:val="24"/>
          <w:szCs w:val="24"/>
        </w:rPr>
        <w:t>一、股份变动情况</w:t>
      </w:r>
      <w:bookmarkEnd w:id="84"/>
    </w:p>
    <w:p w:rsidR="007F3A90" w:rsidRDefault="00CC38FA">
      <w:pPr>
        <w:pStyle w:val="3"/>
        <w:spacing w:line="280" w:lineRule="exact"/>
        <w:jc w:val="left"/>
        <w:rPr>
          <w:rFonts w:ascii="宋体" w:hAnsi="宋体" w:cs="宋体"/>
          <w:b/>
          <w:bCs/>
        </w:rPr>
      </w:pPr>
      <w:bookmarkStart w:id="85" w:name="_Toc988974"/>
      <w:r>
        <w:rPr>
          <w:rFonts w:ascii="宋体" w:hAnsi="宋体" w:cs="宋体"/>
          <w:b/>
          <w:bCs/>
        </w:rPr>
        <w:t>1、股份变动情况</w:t>
      </w:r>
      <w:bookmarkEnd w:id="85"/>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84"/>
        <w:gridCol w:w="992"/>
        <w:gridCol w:w="851"/>
        <w:gridCol w:w="709"/>
        <w:gridCol w:w="567"/>
        <w:gridCol w:w="850"/>
        <w:gridCol w:w="1134"/>
        <w:gridCol w:w="1134"/>
        <w:gridCol w:w="1134"/>
        <w:gridCol w:w="884"/>
      </w:tblGrid>
      <w:tr w:rsidR="007F3A90" w:rsidTr="0092775E">
        <w:trPr>
          <w:trHeight w:val="240"/>
        </w:trPr>
        <w:tc>
          <w:tcPr>
            <w:tcW w:w="138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84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本次变动前</w:t>
            </w:r>
          </w:p>
        </w:tc>
        <w:tc>
          <w:tcPr>
            <w:tcW w:w="4394"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本次变动增减（＋，－）</w:t>
            </w:r>
          </w:p>
        </w:tc>
        <w:tc>
          <w:tcPr>
            <w:tcW w:w="201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本次变动后</w:t>
            </w:r>
          </w:p>
        </w:tc>
      </w:tr>
      <w:tr w:rsidR="007F3A90" w:rsidTr="0092775E">
        <w:trPr>
          <w:trHeight w:val="240"/>
        </w:trPr>
        <w:tc>
          <w:tcPr>
            <w:tcW w:w="138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发行新股</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送股</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公积金转股</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88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r>
      <w:tr w:rsidR="007F3A90" w:rsidTr="0092775E">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一、有限售条件股份</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54,780,600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5.41%</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-1,221,200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-1,221,200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53,559,400</w:t>
            </w:r>
          </w:p>
        </w:tc>
        <w:tc>
          <w:tcPr>
            <w:tcW w:w="8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5.28%</w:t>
            </w:r>
          </w:p>
        </w:tc>
      </w:tr>
      <w:tr w:rsidR="007F3A90" w:rsidTr="0092775E">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1、国家持股</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7F3A90" w:rsidTr="0092775E">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2、国有法人持股</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7F3A90" w:rsidTr="0092775E">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3、其他内资持股</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54,778,200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5.41%</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-1,221,200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-1,221,200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53,557,000</w:t>
            </w:r>
          </w:p>
        </w:tc>
        <w:tc>
          <w:tcPr>
            <w:tcW w:w="8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5.28%</w:t>
            </w:r>
          </w:p>
        </w:tc>
      </w:tr>
      <w:tr w:rsidR="007F3A90" w:rsidTr="0092775E">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其中：境内法人持股</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7F3A90" w:rsidTr="0092775E">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境内自然人持股</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54,778,200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5.41%</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-1,221,200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-1,221,200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53,557,000</w:t>
            </w:r>
          </w:p>
        </w:tc>
        <w:tc>
          <w:tcPr>
            <w:tcW w:w="8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5.28%</w:t>
            </w:r>
          </w:p>
        </w:tc>
      </w:tr>
      <w:tr w:rsidR="007F3A90" w:rsidTr="0092775E">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4、外资持股</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2,400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2,400</w:t>
            </w:r>
          </w:p>
        </w:tc>
        <w:tc>
          <w:tcPr>
            <w:tcW w:w="8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7F3A90" w:rsidTr="0092775E">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其中：境外法人持股</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7F3A90" w:rsidTr="0092775E">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境外自然人持股</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2,400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2,400</w:t>
            </w:r>
          </w:p>
        </w:tc>
        <w:tc>
          <w:tcPr>
            <w:tcW w:w="8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7F3A90" w:rsidTr="0092775E">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二、无限售条件股份</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957,315,904</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94.59%</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3,434,570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3,434,570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960,750,474</w:t>
            </w:r>
          </w:p>
        </w:tc>
        <w:tc>
          <w:tcPr>
            <w:tcW w:w="8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94.72%</w:t>
            </w:r>
          </w:p>
        </w:tc>
      </w:tr>
      <w:tr w:rsidR="007F3A90" w:rsidTr="0092775E">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1、人民币普通股</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957,315,904</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94.59%</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3,434,570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3,434,570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960,750,474</w:t>
            </w:r>
          </w:p>
        </w:tc>
        <w:tc>
          <w:tcPr>
            <w:tcW w:w="8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94.72%</w:t>
            </w:r>
          </w:p>
        </w:tc>
      </w:tr>
      <w:tr w:rsidR="007F3A90" w:rsidTr="0092775E">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2、境内上市的外资股</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7F3A90" w:rsidTr="0092775E">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3、境外上市的外资股</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7F3A90" w:rsidTr="0092775E">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4、其他</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7F3A90" w:rsidTr="0092775E">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三、股份总数</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1,012,096,504</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2,213,370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2,213,370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1,014,309,874</w:t>
            </w:r>
          </w:p>
        </w:tc>
        <w:tc>
          <w:tcPr>
            <w:tcW w:w="8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股份变动的原因</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CC38FA" w:rsidRDefault="00CC38FA">
      <w:pPr>
        <w:pStyle w:val="a3"/>
        <w:spacing w:before="0" w:beforeAutospacing="0" w:after="0" w:afterAutospacing="0"/>
        <w:ind w:firstLine="360"/>
        <w:divId w:val="593050052"/>
      </w:pPr>
      <w:r>
        <w:rPr>
          <w:rFonts w:hint="eastAsia"/>
          <w:sz w:val="18"/>
          <w:szCs w:val="18"/>
        </w:rPr>
        <w:t>2023年10月13日，公司披露了《关于公司2022年股票期权与限制性股票激励计划第一个行权期采用自主行权模式的提示性公告》，本次激励计划第一个可行权期自2023年9月30日起至2024年9月29日止，因行权日期须为交易日，因此本次激励计划第一个可行权期自2023年10月13日起至2024年9月27日止，本次符合行权条件的激励对象为248人，本次可行权的股票期权数量为947.20万份。报告期内，行权的股份数为2,364,570股。</w:t>
      </w:r>
    </w:p>
    <w:p w:rsidR="00CC38FA" w:rsidRDefault="00CC38FA">
      <w:pPr>
        <w:pStyle w:val="a3"/>
        <w:spacing w:before="0" w:beforeAutospacing="0" w:after="0" w:afterAutospacing="0"/>
        <w:ind w:firstLine="360"/>
        <w:divId w:val="593050052"/>
      </w:pPr>
      <w:r>
        <w:rPr>
          <w:rFonts w:hint="eastAsia"/>
          <w:sz w:val="18"/>
          <w:szCs w:val="18"/>
        </w:rPr>
        <w:lastRenderedPageBreak/>
        <w:t>2024年3月16日，公司披露了《关于注销部分股票期权和回购注销部分限制性股票完成的公告》，因2名激励对象离职，公司完成了对其已获授但尚未解除限售的限制性股票合计151,200股予以回购注销，其已获授但尚未行权的股票期权合计226,800份予以注销。</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股份变动的批准情况</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CC38FA" w:rsidRDefault="00CC38FA" w:rsidP="0092775E">
      <w:pPr>
        <w:pStyle w:val="a3"/>
        <w:spacing w:before="0" w:beforeAutospacing="0" w:after="0" w:afterAutospacing="0"/>
        <w:ind w:firstLineChars="200" w:firstLine="360"/>
        <w:jc w:val="both"/>
        <w:divId w:val="629215427"/>
        <w:rPr>
          <w:rFonts w:ascii="Calibri" w:hAnsi="Calibri" w:cs="Calibri"/>
          <w:sz w:val="21"/>
          <w:szCs w:val="21"/>
        </w:rPr>
      </w:pPr>
      <w:r>
        <w:rPr>
          <w:rFonts w:ascii="Calibri" w:hAnsi="Calibri" w:cs="Calibri"/>
          <w:sz w:val="18"/>
          <w:szCs w:val="18"/>
        </w:rPr>
        <w:t>2023</w:t>
      </w:r>
      <w:r>
        <w:rPr>
          <w:rFonts w:cs="Calibri" w:hint="eastAsia"/>
          <w:sz w:val="18"/>
          <w:szCs w:val="18"/>
        </w:rPr>
        <w:t>年</w:t>
      </w:r>
      <w:r>
        <w:rPr>
          <w:rFonts w:ascii="Calibri" w:hAnsi="Calibri" w:cs="Calibri"/>
          <w:sz w:val="18"/>
          <w:szCs w:val="18"/>
        </w:rPr>
        <w:t>9</w:t>
      </w:r>
      <w:r>
        <w:rPr>
          <w:rFonts w:cs="Calibri" w:hint="eastAsia"/>
          <w:sz w:val="18"/>
          <w:szCs w:val="18"/>
        </w:rPr>
        <w:t>月</w:t>
      </w:r>
      <w:r>
        <w:rPr>
          <w:rFonts w:ascii="Calibri" w:hAnsi="Calibri" w:cs="Calibri"/>
          <w:sz w:val="18"/>
          <w:szCs w:val="18"/>
        </w:rPr>
        <w:t>20</w:t>
      </w:r>
      <w:r>
        <w:rPr>
          <w:rFonts w:cs="Calibri" w:hint="eastAsia"/>
          <w:sz w:val="18"/>
          <w:szCs w:val="18"/>
        </w:rPr>
        <w:t>日，公司召开第八届董事会第十二次会议和第八届监事会第十四次会议，审议通过了《关于公司</w:t>
      </w:r>
      <w:r>
        <w:rPr>
          <w:rFonts w:ascii="Calibri" w:hAnsi="Calibri" w:cs="Calibri"/>
          <w:sz w:val="18"/>
          <w:szCs w:val="18"/>
        </w:rPr>
        <w:t>2022</w:t>
      </w:r>
      <w:r>
        <w:rPr>
          <w:rFonts w:cs="Calibri" w:hint="eastAsia"/>
          <w:sz w:val="18"/>
          <w:szCs w:val="18"/>
        </w:rPr>
        <w:t>年股票期权与限制性股票激励计划第一个行权期行权条件成就及调整行权价格的议案》，董事会认为本次激励计划第一个行权期行权条件已经成就，本次符合行权条件的激励对象共</w:t>
      </w:r>
      <w:r>
        <w:rPr>
          <w:rFonts w:ascii="Calibri" w:hAnsi="Calibri" w:cs="Calibri"/>
          <w:sz w:val="18"/>
          <w:szCs w:val="18"/>
        </w:rPr>
        <w:t>248</w:t>
      </w:r>
      <w:r>
        <w:rPr>
          <w:rFonts w:cs="Calibri" w:hint="eastAsia"/>
          <w:sz w:val="18"/>
          <w:szCs w:val="18"/>
        </w:rPr>
        <w:t>人，可行权的股票期权数量为</w:t>
      </w:r>
      <w:r>
        <w:rPr>
          <w:rFonts w:ascii="Calibri" w:hAnsi="Calibri" w:cs="Calibri"/>
          <w:sz w:val="18"/>
          <w:szCs w:val="18"/>
        </w:rPr>
        <w:t>947.20</w:t>
      </w:r>
      <w:r>
        <w:rPr>
          <w:rFonts w:cs="Calibri" w:hint="eastAsia"/>
          <w:sz w:val="18"/>
          <w:szCs w:val="18"/>
        </w:rPr>
        <w:t>万份。公司独立董事对相关事项发表了同意的独立意见</w:t>
      </w:r>
      <w:r>
        <w:rPr>
          <w:rFonts w:ascii="Calibri" w:hAnsi="Calibri" w:cs="Calibri"/>
          <w:sz w:val="18"/>
          <w:szCs w:val="18"/>
        </w:rPr>
        <w:t>,</w:t>
      </w:r>
      <w:r>
        <w:rPr>
          <w:rFonts w:cs="Calibri" w:hint="eastAsia"/>
          <w:sz w:val="18"/>
          <w:szCs w:val="18"/>
        </w:rPr>
        <w:t>监事会对相关事项并发表了核查意见。</w:t>
      </w:r>
    </w:p>
    <w:p w:rsidR="00CC38FA" w:rsidRDefault="00CC38FA" w:rsidP="0092775E">
      <w:pPr>
        <w:pStyle w:val="a3"/>
        <w:spacing w:before="0" w:beforeAutospacing="0" w:after="0" w:afterAutospacing="0"/>
        <w:ind w:firstLineChars="200" w:firstLine="360"/>
        <w:jc w:val="both"/>
        <w:divId w:val="629215427"/>
        <w:rPr>
          <w:rFonts w:ascii="Calibri" w:hAnsi="Calibri" w:cs="Calibri"/>
          <w:sz w:val="21"/>
          <w:szCs w:val="21"/>
        </w:rPr>
      </w:pPr>
      <w:r>
        <w:rPr>
          <w:rFonts w:ascii="Calibri" w:hAnsi="Calibri" w:cs="Calibri"/>
          <w:sz w:val="18"/>
          <w:szCs w:val="18"/>
        </w:rPr>
        <w:t>2023</w:t>
      </w:r>
      <w:r>
        <w:rPr>
          <w:rFonts w:ascii="Calibri" w:hAnsi="Calibri" w:cs="Calibri"/>
          <w:sz w:val="18"/>
          <w:szCs w:val="18"/>
        </w:rPr>
        <w:t>年</w:t>
      </w:r>
      <w:r>
        <w:rPr>
          <w:rFonts w:ascii="Calibri" w:hAnsi="Calibri" w:cs="Calibri"/>
          <w:sz w:val="18"/>
          <w:szCs w:val="18"/>
        </w:rPr>
        <w:t>12</w:t>
      </w:r>
      <w:r>
        <w:rPr>
          <w:rFonts w:ascii="Calibri" w:hAnsi="Calibri" w:cs="Calibri"/>
          <w:sz w:val="18"/>
          <w:szCs w:val="18"/>
        </w:rPr>
        <w:t>月</w:t>
      </w:r>
      <w:r>
        <w:rPr>
          <w:rFonts w:ascii="Calibri" w:hAnsi="Calibri" w:cs="Calibri"/>
          <w:sz w:val="18"/>
          <w:szCs w:val="18"/>
        </w:rPr>
        <w:t>13</w:t>
      </w:r>
      <w:r>
        <w:rPr>
          <w:rFonts w:ascii="Calibri" w:hAnsi="Calibri" w:cs="Calibri"/>
          <w:sz w:val="18"/>
          <w:szCs w:val="18"/>
        </w:rPr>
        <w:t>日，公司召开第八届董事会第十五次会议与第八届监事会十六次会议，审议通过了《关于注销部分股票期权和回购注销部分限制性股票的议案》，因</w:t>
      </w:r>
      <w:r>
        <w:rPr>
          <w:rFonts w:ascii="Calibri" w:hAnsi="Calibri" w:cs="Calibri"/>
          <w:sz w:val="18"/>
          <w:szCs w:val="18"/>
        </w:rPr>
        <w:t>2</w:t>
      </w:r>
      <w:r>
        <w:rPr>
          <w:rFonts w:ascii="Calibri" w:hAnsi="Calibri" w:cs="Calibri"/>
          <w:sz w:val="18"/>
          <w:szCs w:val="18"/>
        </w:rPr>
        <w:t>名激励对象离职，同意对其已获授但尚未解除限售的限制性股票合计</w:t>
      </w:r>
      <w:r>
        <w:rPr>
          <w:rFonts w:ascii="Calibri" w:hAnsi="Calibri" w:cs="Calibri"/>
          <w:sz w:val="18"/>
          <w:szCs w:val="18"/>
        </w:rPr>
        <w:t>151,200</w:t>
      </w:r>
      <w:r>
        <w:rPr>
          <w:rFonts w:ascii="Calibri" w:hAnsi="Calibri" w:cs="Calibri"/>
          <w:sz w:val="18"/>
          <w:szCs w:val="18"/>
        </w:rPr>
        <w:t>股予以回购注销，其已获授但尚未行权的股票期权合计</w:t>
      </w:r>
      <w:r>
        <w:rPr>
          <w:rFonts w:ascii="Calibri" w:hAnsi="Calibri" w:cs="Calibri"/>
          <w:sz w:val="18"/>
          <w:szCs w:val="18"/>
        </w:rPr>
        <w:t>226,800</w:t>
      </w:r>
      <w:r>
        <w:rPr>
          <w:rFonts w:ascii="Calibri" w:hAnsi="Calibri" w:cs="Calibri"/>
          <w:sz w:val="18"/>
          <w:szCs w:val="18"/>
        </w:rPr>
        <w:t>份予以注销。</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股份变动的过户情况</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CC38FA" w:rsidRDefault="00CC38FA" w:rsidP="0092775E">
      <w:pPr>
        <w:pStyle w:val="a3"/>
        <w:ind w:firstLineChars="200" w:firstLine="360"/>
        <w:divId w:val="309017014"/>
        <w:rPr>
          <w:sz w:val="18"/>
          <w:szCs w:val="18"/>
        </w:rPr>
      </w:pPr>
      <w:r>
        <w:rPr>
          <w:rFonts w:ascii="Calibri" w:hAnsi="Calibri" w:cs="Calibri"/>
          <w:sz w:val="18"/>
          <w:szCs w:val="18"/>
        </w:rPr>
        <w:t>2024</w:t>
      </w:r>
      <w:r>
        <w:rPr>
          <w:rFonts w:hint="eastAsia"/>
          <w:sz w:val="18"/>
          <w:szCs w:val="18"/>
        </w:rPr>
        <w:t>年3月</w:t>
      </w:r>
      <w:r>
        <w:rPr>
          <w:rFonts w:ascii="Calibri" w:hAnsi="Calibri" w:cs="Calibri"/>
          <w:sz w:val="18"/>
          <w:szCs w:val="18"/>
        </w:rPr>
        <w:t>16</w:t>
      </w:r>
      <w:r>
        <w:rPr>
          <w:rFonts w:hint="eastAsia"/>
          <w:sz w:val="18"/>
          <w:szCs w:val="18"/>
        </w:rPr>
        <w:t>日，公司披露了《关于注销部分股票期权和回购注销部分限制性股票完成的公告》，因2名激励对象离职，公司完成了对其已获授但尚未解除限售的限制性股票合计</w:t>
      </w:r>
      <w:r>
        <w:rPr>
          <w:rFonts w:ascii="Calibri" w:hAnsi="Calibri" w:cs="Calibri"/>
          <w:sz w:val="18"/>
          <w:szCs w:val="18"/>
        </w:rPr>
        <w:t>151,200</w:t>
      </w:r>
      <w:r>
        <w:rPr>
          <w:rFonts w:hint="eastAsia"/>
          <w:sz w:val="18"/>
          <w:szCs w:val="18"/>
        </w:rPr>
        <w:t>股予以回购注销，其已获授但尚未行权的股票期权合计</w:t>
      </w:r>
      <w:r>
        <w:rPr>
          <w:rFonts w:ascii="Calibri" w:hAnsi="Calibri" w:cs="Calibri"/>
          <w:sz w:val="18"/>
          <w:szCs w:val="18"/>
        </w:rPr>
        <w:t>226,800</w:t>
      </w:r>
      <w:r>
        <w:rPr>
          <w:rFonts w:hint="eastAsia"/>
          <w:sz w:val="18"/>
          <w:szCs w:val="18"/>
        </w:rPr>
        <w:t>份予以注销。</w:t>
      </w:r>
    </w:p>
    <w:p w:rsidR="007F3A90" w:rsidRDefault="00CC38FA" w:rsidP="00CC38FA">
      <w:pPr>
        <w:pStyle w:val="a3"/>
        <w:rPr>
          <w:sz w:val="18"/>
          <w:szCs w:val="18"/>
        </w:rPr>
      </w:pPr>
      <w:r>
        <w:rPr>
          <w:sz w:val="18"/>
          <w:szCs w:val="18"/>
        </w:rPr>
        <w:t>股份回购的实施进展情况</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采用集中竞价方式减持回购股份的实施进展情况</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股份变动对最近一年和最近一期基本每股收益和稀释每股收益、归属于公司普通股股东的每股净资产等财务指标的影响</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公司认为必要或证券监管机构要求披露的其他内容</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pStyle w:val="3"/>
        <w:spacing w:line="280" w:lineRule="exact"/>
        <w:jc w:val="left"/>
        <w:rPr>
          <w:rFonts w:ascii="宋体" w:hAnsi="宋体" w:cs="宋体"/>
          <w:b/>
          <w:bCs/>
        </w:rPr>
      </w:pPr>
      <w:bookmarkStart w:id="86" w:name="_Toc988975"/>
      <w:r w:rsidRPr="003C6C54">
        <w:rPr>
          <w:rFonts w:ascii="宋体" w:hAnsi="宋体" w:cs="宋体"/>
          <w:b/>
          <w:bCs/>
        </w:rPr>
        <w:t>2、限售股份变动情况</w:t>
      </w:r>
      <w:bookmarkEnd w:id="86"/>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74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425"/>
        <w:gridCol w:w="1417"/>
        <w:gridCol w:w="992"/>
        <w:gridCol w:w="1418"/>
        <w:gridCol w:w="1417"/>
        <w:gridCol w:w="1701"/>
      </w:tblGrid>
      <w:tr w:rsidR="007F3A90" w:rsidTr="00154FC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142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期初限售股数</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本期解除限售股数</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本期增加限售股数</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期末限售股数</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限售原因</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解除限售日期</w:t>
            </w:r>
          </w:p>
        </w:tc>
      </w:tr>
      <w:tr w:rsidR="000457AA" w:rsidRPr="000457AA" w:rsidTr="00154FC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官炳政</w:t>
            </w:r>
          </w:p>
        </w:tc>
        <w:tc>
          <w:tcPr>
            <w:tcW w:w="1425"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6,500,000.00</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540,000.00</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0.00</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5,960,000.00</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股权激励限售股高管锁定股</w:t>
            </w:r>
          </w:p>
        </w:tc>
        <w:tc>
          <w:tcPr>
            <w:tcW w:w="170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按照股权激励解锁日期及高管法定解锁日期解除限售</w:t>
            </w:r>
          </w:p>
        </w:tc>
      </w:tr>
      <w:tr w:rsidR="000457AA" w:rsidRPr="000457AA" w:rsidTr="00154FC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杨慧丽</w:t>
            </w:r>
          </w:p>
        </w:tc>
        <w:tc>
          <w:tcPr>
            <w:tcW w:w="1425"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1,900,000.00</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250,000.00</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0.00</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1,650,000.00</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股权激励限售股高管锁定股</w:t>
            </w:r>
          </w:p>
        </w:tc>
        <w:tc>
          <w:tcPr>
            <w:tcW w:w="170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按照股权激励解锁日期及高管法定解锁日期解除限售</w:t>
            </w:r>
          </w:p>
        </w:tc>
      </w:tr>
      <w:tr w:rsidR="00154FC9" w:rsidRPr="000457AA" w:rsidTr="00154FC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张垚</w:t>
            </w:r>
          </w:p>
        </w:tc>
        <w:tc>
          <w:tcPr>
            <w:tcW w:w="1425"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1,900,000.00</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250,000.00</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0.00</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1,650,000.00</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Default="00154FC9" w:rsidP="00154FC9">
            <w:r w:rsidRPr="003C4F48">
              <w:rPr>
                <w:rFonts w:ascii="宋体" w:eastAsia="宋体" w:hAnsi="宋体" w:cs="宋体" w:hint="eastAsia"/>
                <w:sz w:val="18"/>
                <w:szCs w:val="18"/>
              </w:rPr>
              <w:t>股权激励限售股高管锁定股</w:t>
            </w:r>
          </w:p>
        </w:tc>
        <w:tc>
          <w:tcPr>
            <w:tcW w:w="170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按照股权激励解锁日期及高管法定解锁日期解除限售</w:t>
            </w:r>
          </w:p>
        </w:tc>
      </w:tr>
      <w:tr w:rsidR="00154FC9" w:rsidRPr="000457AA" w:rsidTr="00154FC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李云涛</w:t>
            </w:r>
          </w:p>
        </w:tc>
        <w:tc>
          <w:tcPr>
            <w:tcW w:w="1425"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1,150,000.00</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30,000.00</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0.00</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1,120,000.00</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Default="00154FC9" w:rsidP="00154FC9">
            <w:r w:rsidRPr="003C4F48">
              <w:rPr>
                <w:rFonts w:ascii="宋体" w:eastAsia="宋体" w:hAnsi="宋体" w:cs="宋体" w:hint="eastAsia"/>
                <w:sz w:val="18"/>
                <w:szCs w:val="18"/>
              </w:rPr>
              <w:t>股权激励限售</w:t>
            </w:r>
            <w:r w:rsidRPr="003C4F48">
              <w:rPr>
                <w:rFonts w:ascii="宋体" w:eastAsia="宋体" w:hAnsi="宋体" w:cs="宋体" w:hint="eastAsia"/>
                <w:sz w:val="18"/>
                <w:szCs w:val="18"/>
              </w:rPr>
              <w:lastRenderedPageBreak/>
              <w:t>股高管锁定股</w:t>
            </w:r>
          </w:p>
        </w:tc>
        <w:tc>
          <w:tcPr>
            <w:tcW w:w="170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lastRenderedPageBreak/>
              <w:t>按照股权激励解锁</w:t>
            </w:r>
            <w:r w:rsidRPr="000457AA">
              <w:rPr>
                <w:rFonts w:ascii="宋体" w:eastAsia="宋体" w:hAnsi="宋体" w:cs="宋体" w:hint="eastAsia"/>
                <w:sz w:val="18"/>
                <w:szCs w:val="18"/>
              </w:rPr>
              <w:lastRenderedPageBreak/>
              <w:t>日期及高管法定解锁日期解除限售</w:t>
            </w:r>
          </w:p>
        </w:tc>
      </w:tr>
      <w:tr w:rsidR="00154FC9" w:rsidRPr="000457AA" w:rsidTr="00154FC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lastRenderedPageBreak/>
              <w:t>向坤宏</w:t>
            </w:r>
          </w:p>
        </w:tc>
        <w:tc>
          <w:tcPr>
            <w:tcW w:w="1425"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150,000.00</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0.00</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0.00</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150,000.00</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Default="00154FC9" w:rsidP="00154FC9">
            <w:r w:rsidRPr="003C4F48">
              <w:rPr>
                <w:rFonts w:ascii="宋体" w:eastAsia="宋体" w:hAnsi="宋体" w:cs="宋体" w:hint="eastAsia"/>
                <w:sz w:val="18"/>
                <w:szCs w:val="18"/>
              </w:rPr>
              <w:t>股权激励限售股高管锁定股</w:t>
            </w:r>
          </w:p>
        </w:tc>
        <w:tc>
          <w:tcPr>
            <w:tcW w:w="170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按照股权激励解锁日期及高管法定解锁日期解除限售</w:t>
            </w:r>
          </w:p>
        </w:tc>
      </w:tr>
      <w:tr w:rsidR="00154FC9" w:rsidRPr="000457AA" w:rsidTr="00154FC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刘峰</w:t>
            </w:r>
          </w:p>
        </w:tc>
        <w:tc>
          <w:tcPr>
            <w:tcW w:w="1425"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150,000.00</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0.00</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0.00</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150,000.00</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Default="00154FC9" w:rsidP="00154FC9">
            <w:r w:rsidRPr="003C4F48">
              <w:rPr>
                <w:rFonts w:ascii="宋体" w:eastAsia="宋体" w:hAnsi="宋体" w:cs="宋体" w:hint="eastAsia"/>
                <w:sz w:val="18"/>
                <w:szCs w:val="18"/>
              </w:rPr>
              <w:t>股权激励限售股高管锁定股</w:t>
            </w:r>
          </w:p>
        </w:tc>
        <w:tc>
          <w:tcPr>
            <w:tcW w:w="170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按照股权激励解锁日期及高管法定解锁日期解除限售</w:t>
            </w:r>
          </w:p>
        </w:tc>
      </w:tr>
      <w:tr w:rsidR="00154FC9" w:rsidRPr="000457AA" w:rsidTr="00154FC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武守涛</w:t>
            </w:r>
          </w:p>
        </w:tc>
        <w:tc>
          <w:tcPr>
            <w:tcW w:w="1425"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150,000.00</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0.00</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0.00</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150,000.00</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Default="00154FC9" w:rsidP="00154FC9">
            <w:r w:rsidRPr="003C4F48">
              <w:rPr>
                <w:rFonts w:ascii="宋体" w:eastAsia="宋体" w:hAnsi="宋体" w:cs="宋体" w:hint="eastAsia"/>
                <w:sz w:val="18"/>
                <w:szCs w:val="18"/>
              </w:rPr>
              <w:t>股权激励限售股高管锁定股</w:t>
            </w:r>
          </w:p>
        </w:tc>
        <w:tc>
          <w:tcPr>
            <w:tcW w:w="170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按照股权激励解锁日期及高管法定解锁日期解除限售</w:t>
            </w:r>
          </w:p>
        </w:tc>
      </w:tr>
      <w:tr w:rsidR="00154FC9" w:rsidRPr="000457AA" w:rsidTr="00154FC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王志明</w:t>
            </w:r>
          </w:p>
        </w:tc>
        <w:tc>
          <w:tcPr>
            <w:tcW w:w="1425"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150,000.00</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0.00</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0.00</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150,000.00</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Default="00154FC9" w:rsidP="00154FC9">
            <w:r w:rsidRPr="003C4F48">
              <w:rPr>
                <w:rFonts w:ascii="宋体" w:eastAsia="宋体" w:hAnsi="宋体" w:cs="宋体" w:hint="eastAsia"/>
                <w:sz w:val="18"/>
                <w:szCs w:val="18"/>
              </w:rPr>
              <w:t>股权激励限售股高管锁定股</w:t>
            </w:r>
          </w:p>
        </w:tc>
        <w:tc>
          <w:tcPr>
            <w:tcW w:w="170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按照股权激励解锁日期及高管法定解锁日期解除限售</w:t>
            </w:r>
          </w:p>
        </w:tc>
      </w:tr>
      <w:tr w:rsidR="00154FC9" w:rsidRPr="000457AA" w:rsidTr="00154FC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鲁丽娜</w:t>
            </w:r>
          </w:p>
        </w:tc>
        <w:tc>
          <w:tcPr>
            <w:tcW w:w="1425"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204,600.00</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0.00</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0.00</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204,600.00</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Default="00154FC9" w:rsidP="00154FC9">
            <w:r w:rsidRPr="003C4F48">
              <w:rPr>
                <w:rFonts w:ascii="宋体" w:eastAsia="宋体" w:hAnsi="宋体" w:cs="宋体" w:hint="eastAsia"/>
                <w:sz w:val="18"/>
                <w:szCs w:val="18"/>
              </w:rPr>
              <w:t>股权激励限售股高管锁定股</w:t>
            </w:r>
          </w:p>
        </w:tc>
        <w:tc>
          <w:tcPr>
            <w:tcW w:w="170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154FC9" w:rsidRPr="000457AA" w:rsidRDefault="00154FC9" w:rsidP="00154FC9">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按照股权激励解锁日期及高管法定解锁日期解除限售</w:t>
            </w:r>
          </w:p>
        </w:tc>
      </w:tr>
      <w:tr w:rsidR="000457AA" w:rsidRPr="000457AA" w:rsidTr="00154FC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核心业务人员和骨干员工（17人）</w:t>
            </w:r>
          </w:p>
        </w:tc>
        <w:tc>
          <w:tcPr>
            <w:tcW w:w="1425"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4,920,000.00</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0.00</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0.00</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4,920,000.00</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股权激励限售股</w:t>
            </w:r>
          </w:p>
        </w:tc>
        <w:tc>
          <w:tcPr>
            <w:tcW w:w="170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按照股权激励解锁日期解除限售</w:t>
            </w:r>
          </w:p>
        </w:tc>
      </w:tr>
      <w:tr w:rsidR="000457AA" w:rsidRPr="000457AA" w:rsidTr="00154FC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核心业务人员和骨干员工（235人）</w:t>
            </w:r>
          </w:p>
        </w:tc>
        <w:tc>
          <w:tcPr>
            <w:tcW w:w="1425"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8,106,000.00</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151,200.00</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0.00</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7,954,800.00</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股权激励限售股</w:t>
            </w:r>
          </w:p>
        </w:tc>
        <w:tc>
          <w:tcPr>
            <w:tcW w:w="170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按照股权激励解锁日期解除限售</w:t>
            </w:r>
          </w:p>
        </w:tc>
      </w:tr>
      <w:tr w:rsidR="000457AA" w:rsidRPr="000457AA" w:rsidTr="00154FC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核心业务人员和骨干员工（47人）</w:t>
            </w:r>
          </w:p>
        </w:tc>
        <w:tc>
          <w:tcPr>
            <w:tcW w:w="1425"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29,500,000.00</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0.00</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0.00</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29,500,000.00</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股权激励限售股</w:t>
            </w:r>
          </w:p>
        </w:tc>
        <w:tc>
          <w:tcPr>
            <w:tcW w:w="170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按照股权激励解锁日期解除限售</w:t>
            </w:r>
          </w:p>
        </w:tc>
      </w:tr>
      <w:tr w:rsidR="000457AA" w:rsidRPr="000457AA" w:rsidTr="00154FC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合计</w:t>
            </w:r>
          </w:p>
        </w:tc>
        <w:tc>
          <w:tcPr>
            <w:tcW w:w="1425"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54,780,600.00</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1,221,200.00</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0.00</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53,559,400.00</w:t>
            </w:r>
          </w:p>
        </w:tc>
        <w:tc>
          <w:tcPr>
            <w:tcW w:w="1417"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w:t>
            </w:r>
          </w:p>
        </w:tc>
        <w:tc>
          <w:tcPr>
            <w:tcW w:w="170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457AA" w:rsidRPr="000457AA" w:rsidRDefault="000457AA" w:rsidP="000457AA">
            <w:pPr>
              <w:spacing w:before="40" w:after="40" w:line="240" w:lineRule="exact"/>
              <w:jc w:val="center"/>
              <w:rPr>
                <w:rFonts w:ascii="宋体" w:eastAsia="宋体" w:hAnsi="宋体" w:cs="宋体"/>
                <w:sz w:val="18"/>
                <w:szCs w:val="18"/>
              </w:rPr>
            </w:pPr>
            <w:r w:rsidRPr="000457AA">
              <w:rPr>
                <w:rFonts w:ascii="宋体" w:eastAsia="宋体" w:hAnsi="宋体" w:cs="宋体" w:hint="eastAsia"/>
                <w:sz w:val="18"/>
                <w:szCs w:val="18"/>
              </w:rPr>
              <w:t>--</w:t>
            </w:r>
          </w:p>
        </w:tc>
      </w:tr>
    </w:tbl>
    <w:p w:rsidR="007F3A90" w:rsidRDefault="00CC38FA">
      <w:pPr>
        <w:pStyle w:val="2"/>
        <w:spacing w:before="300" w:after="300" w:line="320" w:lineRule="exact"/>
        <w:rPr>
          <w:rFonts w:ascii="宋体" w:eastAsia="宋体" w:hAnsi="宋体" w:cs="宋体"/>
          <w:b/>
          <w:bCs/>
          <w:sz w:val="24"/>
          <w:szCs w:val="24"/>
        </w:rPr>
      </w:pPr>
      <w:bookmarkStart w:id="87" w:name="_Toc988976"/>
      <w:r>
        <w:rPr>
          <w:rFonts w:ascii="宋体" w:eastAsia="宋体" w:hAnsi="宋体" w:cs="宋体"/>
          <w:b/>
          <w:bCs/>
          <w:sz w:val="24"/>
          <w:szCs w:val="24"/>
        </w:rPr>
        <w:t>二、证券发行与上市情况</w:t>
      </w:r>
      <w:bookmarkEnd w:id="87"/>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pStyle w:val="2"/>
        <w:spacing w:before="300" w:after="300" w:line="320" w:lineRule="exact"/>
        <w:rPr>
          <w:rFonts w:ascii="宋体" w:eastAsia="宋体" w:hAnsi="宋体" w:cs="宋体"/>
          <w:b/>
          <w:bCs/>
          <w:sz w:val="24"/>
          <w:szCs w:val="24"/>
        </w:rPr>
      </w:pPr>
      <w:bookmarkStart w:id="88" w:name="_Toc988977"/>
      <w:r>
        <w:rPr>
          <w:rFonts w:ascii="宋体" w:eastAsia="宋体" w:hAnsi="宋体" w:cs="宋体"/>
          <w:b/>
          <w:bCs/>
          <w:sz w:val="24"/>
          <w:szCs w:val="24"/>
        </w:rPr>
        <w:t>三、公司股东数量及持股情况</w:t>
      </w:r>
      <w:bookmarkEnd w:id="88"/>
    </w:p>
    <w:p w:rsidR="0092775E" w:rsidRDefault="0092775E">
      <w:pPr>
        <w:spacing w:before="120" w:after="120" w:line="240" w:lineRule="exact"/>
        <w:jc w:val="right"/>
        <w:rPr>
          <w:rFonts w:ascii="宋体" w:eastAsia="宋体" w:hAnsi="宋体" w:cs="宋体"/>
          <w:sz w:val="18"/>
          <w:szCs w:val="18"/>
        </w:rPr>
      </w:pP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84"/>
        <w:gridCol w:w="758"/>
        <w:gridCol w:w="801"/>
        <w:gridCol w:w="1276"/>
        <w:gridCol w:w="65"/>
        <w:gridCol w:w="1211"/>
        <w:gridCol w:w="709"/>
        <w:gridCol w:w="567"/>
        <w:gridCol w:w="726"/>
        <w:gridCol w:w="833"/>
        <w:gridCol w:w="1309"/>
      </w:tblGrid>
      <w:tr w:rsidR="007F3A90">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报告期末普通股股东总数</w:t>
            </w:r>
          </w:p>
        </w:tc>
        <w:tc>
          <w:tcPr>
            <w:tcW w:w="2142" w:type="dxa"/>
            <w:gridSpan w:val="3"/>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42,761</w:t>
            </w:r>
          </w:p>
        </w:tc>
        <w:tc>
          <w:tcPr>
            <w:tcW w:w="3213"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报告期末表决权恢复的优先股股东总数（如有）（参见注8）</w:t>
            </w:r>
          </w:p>
        </w:tc>
        <w:tc>
          <w:tcPr>
            <w:tcW w:w="2142"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7F3A90">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持股5%以上的普通股股东或前10名普通股股东持股情况（不含通过转融通出借股份）</w:t>
            </w:r>
          </w:p>
        </w:tc>
      </w:tr>
      <w:tr w:rsidR="007F3A90" w:rsidTr="00CC38FA">
        <w:trPr>
          <w:trHeight w:val="240"/>
        </w:trPr>
        <w:tc>
          <w:tcPr>
            <w:tcW w:w="138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75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股东性质</w:t>
            </w:r>
          </w:p>
        </w:tc>
        <w:tc>
          <w:tcPr>
            <w:tcW w:w="8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341"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报告期末持有的普通股数量</w:t>
            </w:r>
          </w:p>
        </w:tc>
        <w:tc>
          <w:tcPr>
            <w:tcW w:w="121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报告期内增减变动情况</w:t>
            </w:r>
          </w:p>
        </w:tc>
        <w:tc>
          <w:tcPr>
            <w:tcW w:w="70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持有有限售条件的普通股数量</w:t>
            </w:r>
          </w:p>
        </w:tc>
        <w:tc>
          <w:tcPr>
            <w:tcW w:w="1293"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持有无限售条件的普通股数量</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质押、标记或冻结情况</w:t>
            </w:r>
          </w:p>
        </w:tc>
      </w:tr>
      <w:tr w:rsidR="007F3A90" w:rsidTr="00CC38FA">
        <w:trPr>
          <w:trHeight w:val="240"/>
        </w:trPr>
        <w:tc>
          <w:tcPr>
            <w:tcW w:w="138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5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0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341"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21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0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293"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3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股份状态</w:t>
            </w:r>
          </w:p>
        </w:tc>
        <w:tc>
          <w:tcPr>
            <w:tcW w:w="13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r>
      <w:tr w:rsidR="007F3A90" w:rsidTr="00CC38FA">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袁仲雪</w:t>
            </w:r>
          </w:p>
        </w:tc>
        <w:tc>
          <w:tcPr>
            <w:tcW w:w="75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8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14.33%</w:t>
            </w:r>
          </w:p>
        </w:tc>
        <w:tc>
          <w:tcPr>
            <w:tcW w:w="1341"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145,308,486</w:t>
            </w:r>
          </w:p>
        </w:tc>
        <w:tc>
          <w:tcPr>
            <w:tcW w:w="121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93"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145,308,486</w:t>
            </w:r>
          </w:p>
        </w:tc>
        <w:tc>
          <w:tcPr>
            <w:tcW w:w="83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质押</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115,000,000</w:t>
            </w:r>
          </w:p>
        </w:tc>
      </w:tr>
      <w:tr w:rsidR="007F3A90" w:rsidTr="00CC38FA">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中央汇金资产</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管理有限责任</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lastRenderedPageBreak/>
              <w:t>公司</w:t>
            </w:r>
          </w:p>
        </w:tc>
        <w:tc>
          <w:tcPr>
            <w:tcW w:w="75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lastRenderedPageBreak/>
              <w:t>国有法人</w:t>
            </w:r>
          </w:p>
        </w:tc>
        <w:tc>
          <w:tcPr>
            <w:tcW w:w="8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3.28%</w:t>
            </w:r>
          </w:p>
        </w:tc>
        <w:tc>
          <w:tcPr>
            <w:tcW w:w="1341"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33,254,500</w:t>
            </w:r>
          </w:p>
        </w:tc>
        <w:tc>
          <w:tcPr>
            <w:tcW w:w="121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93"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33,254,500</w:t>
            </w:r>
          </w:p>
        </w:tc>
        <w:tc>
          <w:tcPr>
            <w:tcW w:w="83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不适用</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7F3A90" w:rsidTr="00CC38FA">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lastRenderedPageBreak/>
              <w:t>香港中央结算</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有限公司</w:t>
            </w:r>
          </w:p>
        </w:tc>
        <w:tc>
          <w:tcPr>
            <w:tcW w:w="75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境外法人</w:t>
            </w:r>
          </w:p>
        </w:tc>
        <w:tc>
          <w:tcPr>
            <w:tcW w:w="8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3.10%</w:t>
            </w:r>
          </w:p>
        </w:tc>
        <w:tc>
          <w:tcPr>
            <w:tcW w:w="1341"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31,474,396</w:t>
            </w:r>
          </w:p>
        </w:tc>
        <w:tc>
          <w:tcPr>
            <w:tcW w:w="121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21,497,808</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93"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31,474,396</w:t>
            </w:r>
          </w:p>
        </w:tc>
        <w:tc>
          <w:tcPr>
            <w:tcW w:w="83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不适用</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7F3A90" w:rsidTr="00CC38FA">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全国社保基金</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六零二组合</w:t>
            </w:r>
          </w:p>
        </w:tc>
        <w:tc>
          <w:tcPr>
            <w:tcW w:w="75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w:t>
            </w:r>
          </w:p>
        </w:tc>
        <w:tc>
          <w:tcPr>
            <w:tcW w:w="8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2.19%</w:t>
            </w:r>
          </w:p>
        </w:tc>
        <w:tc>
          <w:tcPr>
            <w:tcW w:w="1341"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22,183,250</w:t>
            </w:r>
          </w:p>
        </w:tc>
        <w:tc>
          <w:tcPr>
            <w:tcW w:w="121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22,183,250</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93"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22,183,250</w:t>
            </w:r>
          </w:p>
        </w:tc>
        <w:tc>
          <w:tcPr>
            <w:tcW w:w="83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不适用</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7F3A90" w:rsidTr="00CC38FA">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青岛高等学校</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技术装备服务</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总部</w:t>
            </w:r>
          </w:p>
        </w:tc>
        <w:tc>
          <w:tcPr>
            <w:tcW w:w="75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国有法人</w:t>
            </w:r>
          </w:p>
        </w:tc>
        <w:tc>
          <w:tcPr>
            <w:tcW w:w="8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2.06%</w:t>
            </w:r>
          </w:p>
        </w:tc>
        <w:tc>
          <w:tcPr>
            <w:tcW w:w="1341"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20,890,236</w:t>
            </w:r>
          </w:p>
        </w:tc>
        <w:tc>
          <w:tcPr>
            <w:tcW w:w="121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93"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20,890,236</w:t>
            </w:r>
          </w:p>
        </w:tc>
        <w:tc>
          <w:tcPr>
            <w:tcW w:w="83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冻结</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16,200,000</w:t>
            </w:r>
          </w:p>
        </w:tc>
      </w:tr>
      <w:tr w:rsidR="007F3A90" w:rsidTr="00CC38FA">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中国银行股份</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有限公司－国</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泰江源优势精</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选灵活配置混</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合型证券投资</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基金</w:t>
            </w:r>
          </w:p>
        </w:tc>
        <w:tc>
          <w:tcPr>
            <w:tcW w:w="75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w:t>
            </w:r>
          </w:p>
        </w:tc>
        <w:tc>
          <w:tcPr>
            <w:tcW w:w="8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1.53%</w:t>
            </w:r>
          </w:p>
        </w:tc>
        <w:tc>
          <w:tcPr>
            <w:tcW w:w="1341"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15,530,712</w:t>
            </w:r>
          </w:p>
        </w:tc>
        <w:tc>
          <w:tcPr>
            <w:tcW w:w="121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15,530,712</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93"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15,530,712</w:t>
            </w:r>
          </w:p>
        </w:tc>
        <w:tc>
          <w:tcPr>
            <w:tcW w:w="83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不适用</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7F3A90" w:rsidTr="00CC38FA">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基本养老保险</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基金一二零二</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组合</w:t>
            </w:r>
          </w:p>
        </w:tc>
        <w:tc>
          <w:tcPr>
            <w:tcW w:w="75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w:t>
            </w:r>
          </w:p>
        </w:tc>
        <w:tc>
          <w:tcPr>
            <w:tcW w:w="8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1.11%</w:t>
            </w:r>
          </w:p>
        </w:tc>
        <w:tc>
          <w:tcPr>
            <w:tcW w:w="1341"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11,253,611</w:t>
            </w:r>
          </w:p>
        </w:tc>
        <w:tc>
          <w:tcPr>
            <w:tcW w:w="121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11,253,611</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93"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11,253,611</w:t>
            </w:r>
          </w:p>
        </w:tc>
        <w:tc>
          <w:tcPr>
            <w:tcW w:w="83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不适用</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7F3A90" w:rsidTr="00CC38FA">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大成基金－农</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业银行－大成</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中证金融资产</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管理计划</w:t>
            </w:r>
          </w:p>
        </w:tc>
        <w:tc>
          <w:tcPr>
            <w:tcW w:w="75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w:t>
            </w:r>
          </w:p>
        </w:tc>
        <w:tc>
          <w:tcPr>
            <w:tcW w:w="8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1.11%</w:t>
            </w:r>
          </w:p>
        </w:tc>
        <w:tc>
          <w:tcPr>
            <w:tcW w:w="1341"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11,208,600</w:t>
            </w:r>
          </w:p>
        </w:tc>
        <w:tc>
          <w:tcPr>
            <w:tcW w:w="121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93"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11,208,600</w:t>
            </w:r>
          </w:p>
        </w:tc>
        <w:tc>
          <w:tcPr>
            <w:tcW w:w="83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不适用</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7F3A90" w:rsidTr="00CC38FA">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南方基金－农</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业银行－南方</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中证金融资产</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管理计划</w:t>
            </w:r>
          </w:p>
        </w:tc>
        <w:tc>
          <w:tcPr>
            <w:tcW w:w="75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w:t>
            </w:r>
          </w:p>
        </w:tc>
        <w:tc>
          <w:tcPr>
            <w:tcW w:w="8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1.10%</w:t>
            </w:r>
          </w:p>
        </w:tc>
        <w:tc>
          <w:tcPr>
            <w:tcW w:w="1341"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11,193,900</w:t>
            </w:r>
          </w:p>
        </w:tc>
        <w:tc>
          <w:tcPr>
            <w:tcW w:w="121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93"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11,193,900</w:t>
            </w:r>
          </w:p>
        </w:tc>
        <w:tc>
          <w:tcPr>
            <w:tcW w:w="83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不适用</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7F3A90" w:rsidTr="00CC38FA">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银华基金－农</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业银行－银华</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中证金融资产</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管理计划</w:t>
            </w:r>
          </w:p>
        </w:tc>
        <w:tc>
          <w:tcPr>
            <w:tcW w:w="75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w:t>
            </w:r>
          </w:p>
        </w:tc>
        <w:tc>
          <w:tcPr>
            <w:tcW w:w="8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1.07%</w:t>
            </w:r>
          </w:p>
        </w:tc>
        <w:tc>
          <w:tcPr>
            <w:tcW w:w="1341"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10,891,633</w:t>
            </w:r>
          </w:p>
        </w:tc>
        <w:tc>
          <w:tcPr>
            <w:tcW w:w="121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93"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10,891,633</w:t>
            </w:r>
          </w:p>
        </w:tc>
        <w:tc>
          <w:tcPr>
            <w:tcW w:w="83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不适用</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7F3A90">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战略投资者或一般法人因配售新股成为前10名普通股股东的情况（如有）（参见注3）</w:t>
            </w:r>
          </w:p>
        </w:tc>
        <w:tc>
          <w:tcPr>
            <w:tcW w:w="7497" w:type="dxa"/>
            <w:gridSpan w:val="9"/>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不适用</w:t>
            </w:r>
          </w:p>
        </w:tc>
      </w:tr>
      <w:tr w:rsidR="007F3A90">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7497" w:type="dxa"/>
            <w:gridSpan w:val="9"/>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公司未知上述股东之间是否存在关联关系，也未知以上股东是否属于《上市公司收购管理办法》中规定的一致行动人。</w:t>
            </w:r>
          </w:p>
        </w:tc>
      </w:tr>
      <w:tr w:rsidR="007F3A90">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上述股东涉及委托/受托表决权、放弃表决权情况的说明</w:t>
            </w:r>
          </w:p>
        </w:tc>
        <w:tc>
          <w:tcPr>
            <w:tcW w:w="7497" w:type="dxa"/>
            <w:gridSpan w:val="9"/>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不适用</w:t>
            </w:r>
          </w:p>
        </w:tc>
      </w:tr>
      <w:tr w:rsidR="007F3A90">
        <w:trPr>
          <w:trHeight w:val="240"/>
        </w:trPr>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前10名股东中存在回购专户的特别说明（如有）（参见注11）</w:t>
            </w:r>
          </w:p>
        </w:tc>
        <w:tc>
          <w:tcPr>
            <w:tcW w:w="7497" w:type="dxa"/>
            <w:gridSpan w:val="9"/>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不适用</w:t>
            </w:r>
          </w:p>
        </w:tc>
      </w:tr>
      <w:tr w:rsidR="007F3A90">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前10名无限售条件普通股股东持股情况（不含通过转融通出借股份、高管锁定股）</w:t>
            </w:r>
          </w:p>
        </w:tc>
      </w:tr>
      <w:tr w:rsidR="007F3A90" w:rsidTr="0092775E">
        <w:trPr>
          <w:trHeight w:val="240"/>
        </w:trPr>
        <w:tc>
          <w:tcPr>
            <w:tcW w:w="4219" w:type="dxa"/>
            <w:gridSpan w:val="4"/>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2552" w:type="dxa"/>
            <w:gridSpan w:val="4"/>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报告期末持有无限售条件普通股股份数量</w:t>
            </w:r>
          </w:p>
        </w:tc>
        <w:tc>
          <w:tcPr>
            <w:tcW w:w="286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股份种类</w:t>
            </w:r>
          </w:p>
        </w:tc>
      </w:tr>
      <w:tr w:rsidR="007F3A90" w:rsidTr="0092775E">
        <w:trPr>
          <w:trHeight w:val="240"/>
        </w:trPr>
        <w:tc>
          <w:tcPr>
            <w:tcW w:w="4219" w:type="dxa"/>
            <w:gridSpan w:val="4"/>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2552" w:type="dxa"/>
            <w:gridSpan w:val="4"/>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55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股份种类</w:t>
            </w:r>
          </w:p>
        </w:tc>
        <w:tc>
          <w:tcPr>
            <w:tcW w:w="13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r>
      <w:tr w:rsidR="007F3A90" w:rsidTr="0092775E">
        <w:trPr>
          <w:trHeight w:val="240"/>
        </w:trPr>
        <w:tc>
          <w:tcPr>
            <w:tcW w:w="4219" w:type="dxa"/>
            <w:gridSpan w:val="4"/>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袁仲雪</w:t>
            </w:r>
          </w:p>
        </w:tc>
        <w:tc>
          <w:tcPr>
            <w:tcW w:w="2552" w:type="dxa"/>
            <w:gridSpan w:val="4"/>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145,308,486</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145,308,486</w:t>
            </w:r>
          </w:p>
        </w:tc>
      </w:tr>
      <w:tr w:rsidR="007F3A90" w:rsidTr="0092775E">
        <w:trPr>
          <w:trHeight w:val="240"/>
        </w:trPr>
        <w:tc>
          <w:tcPr>
            <w:tcW w:w="4219" w:type="dxa"/>
            <w:gridSpan w:val="4"/>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中央汇金资产管理有限责任公司</w:t>
            </w:r>
          </w:p>
        </w:tc>
        <w:tc>
          <w:tcPr>
            <w:tcW w:w="2552" w:type="dxa"/>
            <w:gridSpan w:val="4"/>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33,254,500</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33,254,500</w:t>
            </w:r>
          </w:p>
        </w:tc>
      </w:tr>
      <w:tr w:rsidR="007F3A90" w:rsidTr="0092775E">
        <w:trPr>
          <w:trHeight w:val="240"/>
        </w:trPr>
        <w:tc>
          <w:tcPr>
            <w:tcW w:w="4219" w:type="dxa"/>
            <w:gridSpan w:val="4"/>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香港中央结算有限公司</w:t>
            </w:r>
          </w:p>
        </w:tc>
        <w:tc>
          <w:tcPr>
            <w:tcW w:w="2552" w:type="dxa"/>
            <w:gridSpan w:val="4"/>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31,474,396</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31,474,396</w:t>
            </w:r>
          </w:p>
        </w:tc>
      </w:tr>
      <w:tr w:rsidR="007F3A90" w:rsidTr="0092775E">
        <w:trPr>
          <w:trHeight w:val="240"/>
        </w:trPr>
        <w:tc>
          <w:tcPr>
            <w:tcW w:w="4219" w:type="dxa"/>
            <w:gridSpan w:val="4"/>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全国社保基金六零二组合</w:t>
            </w:r>
          </w:p>
        </w:tc>
        <w:tc>
          <w:tcPr>
            <w:tcW w:w="2552" w:type="dxa"/>
            <w:gridSpan w:val="4"/>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22,183,250</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22,183,250</w:t>
            </w:r>
          </w:p>
        </w:tc>
      </w:tr>
      <w:tr w:rsidR="007F3A90" w:rsidTr="0092775E">
        <w:trPr>
          <w:trHeight w:val="240"/>
        </w:trPr>
        <w:tc>
          <w:tcPr>
            <w:tcW w:w="4219" w:type="dxa"/>
            <w:gridSpan w:val="4"/>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青岛高等学校技术装备服装总部</w:t>
            </w:r>
          </w:p>
        </w:tc>
        <w:tc>
          <w:tcPr>
            <w:tcW w:w="2552" w:type="dxa"/>
            <w:gridSpan w:val="4"/>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20,890,236</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20,890,236</w:t>
            </w:r>
          </w:p>
        </w:tc>
      </w:tr>
      <w:tr w:rsidR="007F3A90" w:rsidTr="0092775E">
        <w:trPr>
          <w:trHeight w:val="240"/>
        </w:trPr>
        <w:tc>
          <w:tcPr>
            <w:tcW w:w="4219" w:type="dxa"/>
            <w:gridSpan w:val="4"/>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中国银行股份有限公司－国泰江源优势精选灵活配置混合型证券投资基金</w:t>
            </w:r>
          </w:p>
        </w:tc>
        <w:tc>
          <w:tcPr>
            <w:tcW w:w="2552" w:type="dxa"/>
            <w:gridSpan w:val="4"/>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15,530,712</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15,530,712</w:t>
            </w:r>
          </w:p>
        </w:tc>
      </w:tr>
      <w:tr w:rsidR="007F3A90" w:rsidTr="0092775E">
        <w:trPr>
          <w:trHeight w:val="240"/>
        </w:trPr>
        <w:tc>
          <w:tcPr>
            <w:tcW w:w="4219" w:type="dxa"/>
            <w:gridSpan w:val="4"/>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基本养老保险基金一二零二组合</w:t>
            </w:r>
          </w:p>
        </w:tc>
        <w:tc>
          <w:tcPr>
            <w:tcW w:w="2552" w:type="dxa"/>
            <w:gridSpan w:val="4"/>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11,253,611</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11,253,611</w:t>
            </w:r>
          </w:p>
        </w:tc>
      </w:tr>
      <w:tr w:rsidR="007F3A90" w:rsidTr="0092775E">
        <w:trPr>
          <w:trHeight w:val="240"/>
        </w:trPr>
        <w:tc>
          <w:tcPr>
            <w:tcW w:w="4219" w:type="dxa"/>
            <w:gridSpan w:val="4"/>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大成基金－农业银行－大成中证金融资产管理计划</w:t>
            </w:r>
          </w:p>
        </w:tc>
        <w:tc>
          <w:tcPr>
            <w:tcW w:w="2552" w:type="dxa"/>
            <w:gridSpan w:val="4"/>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11,208,600</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11,208,600</w:t>
            </w:r>
          </w:p>
        </w:tc>
      </w:tr>
      <w:tr w:rsidR="007F3A90" w:rsidTr="0092775E">
        <w:trPr>
          <w:trHeight w:val="240"/>
        </w:trPr>
        <w:tc>
          <w:tcPr>
            <w:tcW w:w="4219" w:type="dxa"/>
            <w:gridSpan w:val="4"/>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南方基金－农业银行－南方中证金融资产管理计划</w:t>
            </w:r>
          </w:p>
        </w:tc>
        <w:tc>
          <w:tcPr>
            <w:tcW w:w="2552" w:type="dxa"/>
            <w:gridSpan w:val="4"/>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11,193,900</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11,193,900</w:t>
            </w:r>
          </w:p>
        </w:tc>
      </w:tr>
      <w:tr w:rsidR="007F3A90" w:rsidTr="0092775E">
        <w:trPr>
          <w:trHeight w:val="240"/>
        </w:trPr>
        <w:tc>
          <w:tcPr>
            <w:tcW w:w="4219" w:type="dxa"/>
            <w:gridSpan w:val="4"/>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银华基金－农业银行－银华中证金融资产管理计划</w:t>
            </w:r>
          </w:p>
        </w:tc>
        <w:tc>
          <w:tcPr>
            <w:tcW w:w="2552" w:type="dxa"/>
            <w:gridSpan w:val="4"/>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10,891,633</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10,891,633</w:t>
            </w:r>
          </w:p>
        </w:tc>
      </w:tr>
      <w:tr w:rsidR="007F3A90" w:rsidTr="0092775E">
        <w:trPr>
          <w:trHeight w:val="240"/>
        </w:trPr>
        <w:tc>
          <w:tcPr>
            <w:tcW w:w="421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前10名无限售条件普通股股东之间，以及前10名无限售条件普通股股东和前10名普通股股东之间关联关系或一致行动的说明</w:t>
            </w:r>
          </w:p>
        </w:tc>
        <w:tc>
          <w:tcPr>
            <w:tcW w:w="5420" w:type="dxa"/>
            <w:gridSpan w:val="7"/>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公司未知上述股东之间是否存在关联关系，也未知以上股东是否属于《上市公司收购管理办法》中规定的一致行动人</w:t>
            </w:r>
          </w:p>
        </w:tc>
      </w:tr>
      <w:tr w:rsidR="007F3A90" w:rsidTr="0092775E">
        <w:trPr>
          <w:trHeight w:val="240"/>
        </w:trPr>
        <w:tc>
          <w:tcPr>
            <w:tcW w:w="421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前10</w:t>
            </w:r>
            <w:r w:rsidR="0092775E">
              <w:rPr>
                <w:rFonts w:ascii="宋体" w:eastAsia="宋体" w:hAnsi="宋体" w:cs="宋体"/>
                <w:sz w:val="18"/>
                <w:szCs w:val="18"/>
              </w:rPr>
              <w:t>名普通股股东参与融资融券业务情况说明（如有）</w:t>
            </w:r>
          </w:p>
        </w:tc>
        <w:tc>
          <w:tcPr>
            <w:tcW w:w="5420" w:type="dxa"/>
            <w:gridSpan w:val="7"/>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不适用</w:t>
            </w:r>
          </w:p>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持股5%以上股东、前10名股东及前10名无限售流通股股东参与转融通业务出借股份情况</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前10名股东及前10名无限售流通股股东因转融通出借/归还原因导致较上期发生变化</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公司前10名普通股股东、前10名无限售条件普通股股东在报告期内是否进行约定购回交易</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公司前10名普通股股东、前10名无限售条件普通股股东在报告期内未进行约定购回交易。</w:t>
      </w:r>
    </w:p>
    <w:p w:rsidR="007F3A90" w:rsidRDefault="00CC38FA">
      <w:pPr>
        <w:pStyle w:val="2"/>
        <w:spacing w:before="300" w:after="300" w:line="320" w:lineRule="exact"/>
        <w:rPr>
          <w:rFonts w:ascii="宋体" w:eastAsia="宋体" w:hAnsi="宋体" w:cs="宋体"/>
          <w:b/>
          <w:bCs/>
          <w:sz w:val="24"/>
          <w:szCs w:val="24"/>
        </w:rPr>
      </w:pPr>
      <w:bookmarkStart w:id="89" w:name="_Toc988978"/>
      <w:r>
        <w:rPr>
          <w:rFonts w:ascii="宋体" w:eastAsia="宋体" w:hAnsi="宋体" w:cs="宋体"/>
          <w:b/>
          <w:bCs/>
          <w:sz w:val="24"/>
          <w:szCs w:val="24"/>
        </w:rPr>
        <w:t>四、董事、监事和高级管理人员持股变动</w:t>
      </w:r>
      <w:bookmarkEnd w:id="89"/>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公司董事、监事和高级管理人员在报告期持股情况没有发生变动，具体可参见2023年年报。</w:t>
      </w:r>
    </w:p>
    <w:p w:rsidR="007F3A90" w:rsidRDefault="00CC38FA">
      <w:pPr>
        <w:pStyle w:val="2"/>
        <w:spacing w:before="300" w:after="300" w:line="320" w:lineRule="exact"/>
        <w:rPr>
          <w:rFonts w:ascii="宋体" w:eastAsia="宋体" w:hAnsi="宋体" w:cs="宋体"/>
          <w:b/>
          <w:bCs/>
          <w:sz w:val="24"/>
          <w:szCs w:val="24"/>
        </w:rPr>
      </w:pPr>
      <w:bookmarkStart w:id="90" w:name="_Toc988979"/>
      <w:r>
        <w:rPr>
          <w:rFonts w:ascii="宋体" w:eastAsia="宋体" w:hAnsi="宋体" w:cs="宋体"/>
          <w:b/>
          <w:bCs/>
          <w:sz w:val="24"/>
          <w:szCs w:val="24"/>
        </w:rPr>
        <w:t>五、控股股东或实际控制人变更情况</w:t>
      </w:r>
      <w:bookmarkEnd w:id="90"/>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控股股东报告期内变更</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公司报告期控股股东未发生变更。</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实际控制人报告期内变更</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公司报告期实际控制人未发生变更。</w:t>
      </w:r>
    </w:p>
    <w:p w:rsidR="007F3A90" w:rsidRDefault="00CC38FA">
      <w:r>
        <w:br w:type="page"/>
      </w:r>
    </w:p>
    <w:p w:rsidR="007F3A90" w:rsidRDefault="00CC38FA">
      <w:pPr>
        <w:pStyle w:val="headingh1"/>
        <w:spacing w:before="340" w:after="330" w:line="773" w:lineRule="exact"/>
        <w:jc w:val="center"/>
        <w:rPr>
          <w:rFonts w:ascii="宋体" w:eastAsia="宋体" w:hAnsi="宋体" w:cs="宋体"/>
          <w:b/>
          <w:bCs/>
          <w:sz w:val="32"/>
          <w:szCs w:val="32"/>
        </w:rPr>
      </w:pPr>
      <w:bookmarkStart w:id="91" w:name="_Toc988980"/>
      <w:r>
        <w:rPr>
          <w:rFonts w:ascii="宋体" w:eastAsia="宋体" w:hAnsi="宋体" w:cs="宋体"/>
          <w:b/>
          <w:bCs/>
          <w:sz w:val="32"/>
          <w:szCs w:val="32"/>
        </w:rPr>
        <w:lastRenderedPageBreak/>
        <w:t>第八节 优先股相关情况</w:t>
      </w:r>
      <w:bookmarkEnd w:id="91"/>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报告期公司不存在优先股。</w:t>
      </w:r>
    </w:p>
    <w:p w:rsidR="007F3A90" w:rsidRDefault="00CC38FA">
      <w:r>
        <w:br w:type="page"/>
      </w:r>
    </w:p>
    <w:p w:rsidR="007F3A90" w:rsidRDefault="00CC38FA">
      <w:pPr>
        <w:pStyle w:val="headingh1"/>
        <w:spacing w:before="340" w:after="330" w:line="773" w:lineRule="exact"/>
        <w:jc w:val="center"/>
        <w:rPr>
          <w:rFonts w:ascii="宋体" w:eastAsia="宋体" w:hAnsi="宋体" w:cs="宋体"/>
          <w:b/>
          <w:bCs/>
          <w:sz w:val="32"/>
          <w:szCs w:val="32"/>
        </w:rPr>
      </w:pPr>
      <w:bookmarkStart w:id="92" w:name="_Toc988981"/>
      <w:r>
        <w:rPr>
          <w:rFonts w:ascii="宋体" w:eastAsia="宋体" w:hAnsi="宋体" w:cs="宋体"/>
          <w:b/>
          <w:bCs/>
          <w:sz w:val="32"/>
          <w:szCs w:val="32"/>
        </w:rPr>
        <w:lastRenderedPageBreak/>
        <w:t>第九节 债券相关情况</w:t>
      </w:r>
      <w:bookmarkEnd w:id="92"/>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r>
        <w:br w:type="page"/>
      </w:r>
    </w:p>
    <w:p w:rsidR="007F3A90" w:rsidRDefault="00CC38FA">
      <w:pPr>
        <w:pStyle w:val="headingh1"/>
        <w:spacing w:before="340" w:after="330" w:line="773" w:lineRule="exact"/>
        <w:jc w:val="center"/>
        <w:rPr>
          <w:rFonts w:ascii="宋体" w:eastAsia="宋体" w:hAnsi="宋体" w:cs="宋体"/>
          <w:b/>
          <w:bCs/>
          <w:sz w:val="32"/>
          <w:szCs w:val="32"/>
        </w:rPr>
      </w:pPr>
      <w:bookmarkStart w:id="93" w:name="_Toc988982"/>
      <w:r>
        <w:rPr>
          <w:rFonts w:ascii="宋体" w:eastAsia="宋体" w:hAnsi="宋体" w:cs="宋体"/>
          <w:b/>
          <w:bCs/>
          <w:sz w:val="32"/>
          <w:szCs w:val="32"/>
        </w:rPr>
        <w:lastRenderedPageBreak/>
        <w:t>第十节 财务报告</w:t>
      </w:r>
      <w:bookmarkEnd w:id="93"/>
    </w:p>
    <w:p w:rsidR="007F3A90" w:rsidRDefault="00CC38FA">
      <w:pPr>
        <w:pStyle w:val="2"/>
        <w:spacing w:before="300" w:after="300" w:line="320" w:lineRule="exact"/>
        <w:rPr>
          <w:rFonts w:ascii="宋体" w:eastAsia="宋体" w:hAnsi="宋体" w:cs="宋体"/>
          <w:b/>
          <w:bCs/>
          <w:sz w:val="24"/>
          <w:szCs w:val="24"/>
        </w:rPr>
      </w:pPr>
      <w:bookmarkStart w:id="94" w:name="_Toc988983"/>
      <w:r>
        <w:rPr>
          <w:rFonts w:ascii="宋体" w:eastAsia="宋体" w:hAnsi="宋体" w:cs="宋体"/>
          <w:b/>
          <w:bCs/>
          <w:sz w:val="24"/>
          <w:szCs w:val="24"/>
        </w:rPr>
        <w:t>一、审计报告</w:t>
      </w:r>
      <w:bookmarkEnd w:id="94"/>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半年度报告是否经过审计</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公司半年度财务报告未经审计。</w:t>
      </w:r>
    </w:p>
    <w:p w:rsidR="007F3A90" w:rsidRDefault="00CC38FA">
      <w:pPr>
        <w:pStyle w:val="2"/>
        <w:spacing w:before="300" w:after="300" w:line="320" w:lineRule="exact"/>
        <w:rPr>
          <w:rFonts w:ascii="宋体" w:eastAsia="宋体" w:hAnsi="宋体" w:cs="宋体"/>
          <w:b/>
          <w:bCs/>
          <w:sz w:val="24"/>
          <w:szCs w:val="24"/>
        </w:rPr>
      </w:pPr>
      <w:bookmarkStart w:id="95" w:name="_Toc988984"/>
      <w:r>
        <w:rPr>
          <w:rFonts w:ascii="宋体" w:eastAsia="宋体" w:hAnsi="宋体" w:cs="宋体"/>
          <w:b/>
          <w:bCs/>
          <w:sz w:val="24"/>
          <w:szCs w:val="24"/>
        </w:rPr>
        <w:t>二、财务报表</w:t>
      </w:r>
      <w:bookmarkEnd w:id="95"/>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财务附注中报表的单位为：元</w:t>
      </w:r>
    </w:p>
    <w:p w:rsidR="007F3A90" w:rsidRDefault="00CC38FA">
      <w:pPr>
        <w:pStyle w:val="3"/>
        <w:spacing w:line="280" w:lineRule="exact"/>
        <w:jc w:val="left"/>
        <w:rPr>
          <w:rFonts w:ascii="宋体" w:hAnsi="宋体" w:cs="宋体"/>
          <w:b/>
          <w:bCs/>
        </w:rPr>
      </w:pPr>
      <w:bookmarkStart w:id="96" w:name="_Toc988985"/>
      <w:r>
        <w:rPr>
          <w:rFonts w:ascii="宋体" w:hAnsi="宋体" w:cs="宋体"/>
          <w:b/>
          <w:bCs/>
        </w:rPr>
        <w:t>1、合并资产负债表</w:t>
      </w:r>
      <w:bookmarkEnd w:id="96"/>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编制单位：软控股份有限公司</w:t>
      </w:r>
    </w:p>
    <w:p w:rsidR="007F3A90" w:rsidRDefault="00CC38FA">
      <w:pPr>
        <w:spacing w:line="240" w:lineRule="exact"/>
        <w:jc w:val="center"/>
        <w:rPr>
          <w:rFonts w:ascii="宋体" w:eastAsia="宋体" w:hAnsi="宋体" w:cs="宋体"/>
          <w:sz w:val="18"/>
          <w:szCs w:val="18"/>
        </w:rPr>
      </w:pPr>
      <w:r>
        <w:rPr>
          <w:rFonts w:ascii="宋体" w:eastAsia="宋体" w:hAnsi="宋体" w:cs="宋体"/>
          <w:sz w:val="18"/>
          <w:szCs w:val="18"/>
        </w:rPr>
        <w:t>2024年06月30日</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2,781,989,016.21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2,955,647,872.55</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1,396,034,804.90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650,001,001.00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833,692,146.88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857,690,796.59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1,022,691,912.82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1,165,564,469.53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156,150,232.08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176,770,743.91</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344,408,132.66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176,284,198.51</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67,007,367.71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45,788,981.72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5,991,782,652.80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5,673,274,874.12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204,056,055.42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167,441,875.11</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12,797,812,321.48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11,868,464,813.04</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lastRenderedPageBreak/>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129,927,009.97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128,164,823.58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443,102,059.90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482,323,893.45</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2,189,862,681.41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2,221,675,441.56</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611,329,854.86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580,504,540.03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63,964,309.44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46,236,259.58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401,615,409.11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402,822,325.50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2,328,969.15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2,610,077.17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200,168,727.15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193,281,143.01</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71,136,258.96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35,795,813.60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4,113,435,279.95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4,093,414,317.48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16,911,247,601.43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15,961,879,130.52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592,118,303.64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688,978,350.00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1,195,844,675.14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1,242,093,084.11</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2,307,312,863.30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2,051,788,569.31</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4,711,091,039.57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4,168,545,556.67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93,081,321.73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167,317,294.06</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22,552,769.57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34,329,736.60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312,759,296.85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283,134,120.55</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lastRenderedPageBreak/>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5,912,924.00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635,444.00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440,553,952.13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113,079,254.13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513,890,708.23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565,062,731.97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10,189,204,930.16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9,314,328,697.40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837,091,888.63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943,004,370.30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51,705,620.70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29,234,874.64</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24,398,830.25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23,012,334.20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35,058,496.38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66,073,107.96</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33,165,518.29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42,711,121.78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981,420,354.25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1,104,035,808.88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11,170,625,284.41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10,418,364,506.28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1,014,309,874.00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1,012,096,504.00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2,338,334,534.43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2,270,909,631.57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195,270,392.00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201,131,504.00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5,823,815.02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32,491,276.60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46,108,879.07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38,455,862.10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338,307,359.07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338,307,359.07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1,904,666,171.13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1,796,831,244.88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5,452,280,240.72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5,287,960,374.22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288,342,076.30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255,554,250.02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5,740,622,317.02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5,543,514,624.24</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16,911,247,601.43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15,961,879,130.52</w:t>
            </w:r>
          </w:p>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法定代表人：官炳政                  主管会计工作负责人：张垚                      会计机构负责人：廖永健</w:t>
      </w:r>
    </w:p>
    <w:p w:rsidR="007F3A90" w:rsidRDefault="00CC38FA">
      <w:pPr>
        <w:pStyle w:val="3"/>
        <w:spacing w:line="320" w:lineRule="exact"/>
        <w:jc w:val="left"/>
        <w:rPr>
          <w:rFonts w:ascii="宋体" w:hAnsi="宋体" w:cs="宋体"/>
          <w:b/>
          <w:bCs/>
          <w:sz w:val="24"/>
          <w:szCs w:val="24"/>
        </w:rPr>
      </w:pPr>
      <w:bookmarkStart w:id="97" w:name="_Toc988986"/>
      <w:r>
        <w:rPr>
          <w:rFonts w:ascii="宋体" w:hAnsi="宋体" w:cs="宋体"/>
          <w:b/>
          <w:bCs/>
          <w:sz w:val="24"/>
          <w:szCs w:val="24"/>
        </w:rPr>
        <w:t>2、母公司资产负债表</w:t>
      </w:r>
      <w:bookmarkEnd w:id="97"/>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298,242,544.04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628,286,154.81</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400,000,000.00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300,000,000.00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5,145,000.00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11,820,659.80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820,114,161.20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803,527,004.95</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67,540,969.34</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22,132,679.74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10,137,413.05</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404,084,435.82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395,141,504.10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37,174,252.58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27,977,968.88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6,667,880.20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1,986,893,073.38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2,251,099,555.13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78,162,360.00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78,162,360.00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4,874,032,951.67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4,845,782,827.66</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399,716,000.00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399,716,000.00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24,570,025.65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25,803,677.87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26,963,452.12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30,909,323.20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7,232,902.51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7,512,482.25</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59,840,550.59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60,744,584.90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5,470,518,242.54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5,448,631,255.88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7,457,411,315.92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7,699,730,811.01</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157,750,977.78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141,980,040.31</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33,619,299.17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30,401,356.07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14,776,476.20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27,519,265.53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3,093,970.01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4,986,170.04</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1,197,915,190.50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1,420,080,101.34</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5,912,924.00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635,444.00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148,000,000.00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109,541,991.66</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3,720,975.54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7,424,688.93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1,558,876,889.20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1,741,933,613.88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56,376,470.58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109,188,235.29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17,896,906.78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16,862,207.65</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8,612,357.38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8,612,357.38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12,194,748.50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12,006,748.50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5,202,996.80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8,479,413.48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100,283,480.04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155,148,962.30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1,659,160,369.24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1,897,082,576.18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1,014,309,874.00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1,012,096,504.00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2,479,917,207.23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2,412,492,304.37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195,270,392.00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201,131,504.00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-5,100,000.00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-5,100,000.00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338,307,359.07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338,307,359.07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2,166,086,898.38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2,245,983,571.39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5,798,250,946.68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5,802,648,234.83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7,457,411,315.92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7,699,730,811.01</w:t>
            </w:r>
          </w:p>
        </w:tc>
      </w:tr>
    </w:tbl>
    <w:p w:rsidR="007F3A90" w:rsidRDefault="00CC38FA">
      <w:pPr>
        <w:pStyle w:val="3"/>
        <w:spacing w:line="280" w:lineRule="exact"/>
        <w:jc w:val="left"/>
        <w:rPr>
          <w:rFonts w:ascii="宋体" w:hAnsi="宋体" w:cs="宋体"/>
          <w:b/>
          <w:bCs/>
        </w:rPr>
      </w:pPr>
      <w:bookmarkStart w:id="98" w:name="_Toc988987"/>
      <w:r>
        <w:rPr>
          <w:rFonts w:ascii="宋体" w:hAnsi="宋体" w:cs="宋体"/>
          <w:b/>
          <w:bCs/>
        </w:rPr>
        <w:t>3、合并利润表</w:t>
      </w:r>
      <w:bookmarkEnd w:id="98"/>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2024年半年度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2023年半年度</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一、营业总收入</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3,225,052,250.95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2,440,711,765.46</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其中：营业收入</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3,225,052,250.95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2,440,711,765.46</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已赚保费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手续费及佣金收入</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二、营业总成本</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3,024,854,535.63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2,322,485,534.95</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其中：营业成本</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2,485,954,258.11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1,850,236,471.78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手续费及佣金支出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退保金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赔付支出净额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提取保险责任准备金净额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保单红利支出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分保费用</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15,544,272.47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17,548,322.79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81,209,341.68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60,129,917.93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240,967,475.75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206,042,533.03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180,404,430.95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146,551,535.39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20,774,756.67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41,976,754.03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38,792,082.06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42,548,642.22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18,796,191.61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13,886,372.07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40,334,645.09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16,227,171.14</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11,134,065.32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44,119,486.62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1,762,186.39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1,163,190.42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以摊余成本计量的金融资产终止确认收益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汇兑收益（损失以“—”号填列）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22,885,913.60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-38,299,226.81</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-34,181,672.68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-1,533,998.40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-849,429.37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三、营业利润（亏损以“—”号填列）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238,836,668.25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139,424,232.09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8,141,811.19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1,424,709.40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7,336,166.03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6,597,775.98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四、利润总额（亏损总额以“—”号</w:t>
            </w:r>
            <w:r>
              <w:rPr>
                <w:rFonts w:ascii="宋体" w:eastAsia="宋体" w:hAnsi="宋体" w:cs="宋体"/>
                <w:sz w:val="18"/>
                <w:szCs w:val="18"/>
              </w:rPr>
              <w:lastRenderedPageBreak/>
              <w:t>填列）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lastRenderedPageBreak/>
              <w:t>239,642,313.41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134,251,165.51</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13,405,195.66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10,748,488.09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五、净利润（净亏损以“—”号填列）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226,237,117.75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123,502,677.42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（一）按经营持续性分类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200" w:firstLine="360"/>
              <w:rPr>
                <w:rFonts w:ascii="宋体" w:eastAsia="宋体" w:hAnsi="宋体" w:cs="宋体"/>
                <w:sz w:val="18"/>
                <w:szCs w:val="18"/>
              </w:rPr>
            </w:pPr>
            <w:r>
              <w:rPr>
                <w:rFonts w:ascii="宋体" w:eastAsia="宋体" w:hAnsi="宋体" w:cs="宋体"/>
                <w:sz w:val="18"/>
                <w:szCs w:val="18"/>
              </w:rPr>
              <w:t>1.持续经营净利润（净亏损以“—”号填列）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226,237,117.75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123,502,677.42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200" w:firstLine="360"/>
              <w:rPr>
                <w:rFonts w:ascii="宋体" w:eastAsia="宋体" w:hAnsi="宋体" w:cs="宋体"/>
                <w:sz w:val="18"/>
                <w:szCs w:val="18"/>
              </w:rPr>
            </w:pPr>
            <w:r>
              <w:rPr>
                <w:rFonts w:ascii="宋体" w:eastAsia="宋体" w:hAnsi="宋体" w:cs="宋体"/>
                <w:sz w:val="18"/>
                <w:szCs w:val="18"/>
              </w:rPr>
              <w:t>2.终止经营净利润（净亏损以“—”号填列）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（二）按所有权归属分类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200" w:firstLine="360"/>
              <w:rPr>
                <w:rFonts w:ascii="宋体" w:eastAsia="宋体" w:hAnsi="宋体" w:cs="宋体"/>
                <w:sz w:val="18"/>
                <w:szCs w:val="18"/>
              </w:rPr>
            </w:pPr>
            <w:r>
              <w:rPr>
                <w:rFonts w:ascii="宋体" w:eastAsia="宋体" w:hAnsi="宋体" w:cs="宋体"/>
                <w:sz w:val="18"/>
                <w:szCs w:val="18"/>
              </w:rPr>
              <w:t>1.归属于母公司股东的净利润（净亏损以“—”号填列）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191,979,291.47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95,178,037.53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200" w:firstLine="360"/>
              <w:rPr>
                <w:rFonts w:ascii="宋体" w:eastAsia="宋体" w:hAnsi="宋体" w:cs="宋体"/>
                <w:sz w:val="18"/>
                <w:szCs w:val="18"/>
              </w:rPr>
            </w:pPr>
            <w:r>
              <w:rPr>
                <w:rFonts w:ascii="宋体" w:eastAsia="宋体" w:hAnsi="宋体" w:cs="宋体"/>
                <w:sz w:val="18"/>
                <w:szCs w:val="18"/>
              </w:rPr>
              <w:t>2.少数股东损益（净亏损以“—”号填列）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34,257,826.28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28,324,639.89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六、其他综合收益的税后净额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-26,667,461.58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12,323,039.90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归属母公司所有者的其他综合收益的税后净额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-26,667,461.58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12,323,039.90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-27,804,186.41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5,378,750.00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-27,804,186.41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5,378,750.00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1,136,724.83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6,944,289.90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1,136,724.83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6,944,289.90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七、综合收益总额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199,569,656.17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135,825,717.32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归属于母公司所有者的综合收益总额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165,311,829.89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107,501,077.43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34,257,826.28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28,324,639.89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八、每股收益：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0.1896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0.0982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0.1983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0.1001</w:t>
            </w:r>
          </w:p>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本期发生同一控制下企业合并的，被合并方在合并前实现的净利润为：0.00元，上期被合并方实现的净利润为：0.00元。</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法定代表人：官炳政   </w:t>
      </w:r>
      <w:r w:rsidR="00F276DB">
        <w:rPr>
          <w:rFonts w:ascii="宋体" w:eastAsia="宋体" w:hAnsi="宋体" w:cs="宋体"/>
          <w:sz w:val="18"/>
          <w:szCs w:val="18"/>
        </w:rPr>
        <w:t xml:space="preserve">             </w:t>
      </w:r>
      <w:r>
        <w:rPr>
          <w:rFonts w:ascii="宋体" w:eastAsia="宋体" w:hAnsi="宋体" w:cs="宋体"/>
          <w:sz w:val="18"/>
          <w:szCs w:val="18"/>
        </w:rPr>
        <w:t xml:space="preserve"> </w:t>
      </w:r>
      <w:r w:rsidR="00F276DB">
        <w:rPr>
          <w:rFonts w:ascii="宋体" w:eastAsia="宋体" w:hAnsi="宋体" w:cs="宋体"/>
          <w:sz w:val="18"/>
          <w:szCs w:val="18"/>
        </w:rPr>
        <w:t xml:space="preserve">   </w:t>
      </w:r>
      <w:r>
        <w:rPr>
          <w:rFonts w:ascii="宋体" w:eastAsia="宋体" w:hAnsi="宋体" w:cs="宋体"/>
          <w:sz w:val="18"/>
          <w:szCs w:val="18"/>
        </w:rPr>
        <w:t xml:space="preserve">主管会计工作负责人：张垚    </w:t>
      </w:r>
      <w:r w:rsidR="00F276DB">
        <w:rPr>
          <w:rFonts w:ascii="宋体" w:eastAsia="宋体" w:hAnsi="宋体" w:cs="宋体"/>
          <w:sz w:val="18"/>
          <w:szCs w:val="18"/>
        </w:rPr>
        <w:t xml:space="preserve">                 </w:t>
      </w:r>
      <w:r>
        <w:rPr>
          <w:rFonts w:ascii="宋体" w:eastAsia="宋体" w:hAnsi="宋体" w:cs="宋体"/>
          <w:sz w:val="18"/>
          <w:szCs w:val="18"/>
        </w:rPr>
        <w:t>会计机构负责人：廖永健</w:t>
      </w:r>
    </w:p>
    <w:p w:rsidR="007F3A90" w:rsidRDefault="00CC38FA">
      <w:pPr>
        <w:pStyle w:val="3"/>
        <w:spacing w:line="280" w:lineRule="exact"/>
        <w:jc w:val="left"/>
        <w:rPr>
          <w:rFonts w:ascii="宋体" w:hAnsi="宋体" w:cs="宋体"/>
          <w:b/>
          <w:bCs/>
        </w:rPr>
      </w:pPr>
      <w:bookmarkStart w:id="99" w:name="_Toc988988"/>
      <w:r>
        <w:rPr>
          <w:rFonts w:ascii="宋体" w:hAnsi="宋体" w:cs="宋体"/>
          <w:b/>
          <w:bCs/>
        </w:rPr>
        <w:t>4、母公司利润表</w:t>
      </w:r>
      <w:bookmarkEnd w:id="99"/>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2024年半年度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2023年半年度</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一、营业收入</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110,124,801.59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108,584,530.50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减：营业成本</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6,446,930.98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5,059,366.90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1,504,278.07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1,522,464.87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11,157,433.07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9,243,961.02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50,972,239.43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42,840,736.69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35,043,508.40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33,566,824.84</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3,916,711.14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6,298,389.58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6,912,245.81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8,333,731.19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700" w:firstLine="126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3,762,198.95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1,217,364.51</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9,818,041.52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9,562,330.51</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6,282,030.30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38,916,913.32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-14,555.39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38,902.10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700" w:firstLine="1260"/>
              <w:rPr>
                <w:rFonts w:ascii="宋体" w:eastAsia="宋体" w:hAnsi="宋体" w:cs="宋体"/>
                <w:sz w:val="18"/>
                <w:szCs w:val="18"/>
              </w:rPr>
            </w:pPr>
            <w:r>
              <w:rPr>
                <w:rFonts w:ascii="宋体" w:eastAsia="宋体" w:hAnsi="宋体" w:cs="宋体"/>
                <w:sz w:val="18"/>
                <w:szCs w:val="18"/>
              </w:rPr>
              <w:t>以摊余成本计量的金融资产终止确认收益（损失以“—”号填列）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6,097,753.08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5,067,457.80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-264,381.61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932.34</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二、营业利润（亏损以“—”号填列）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23,017,143.79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63,600,420.57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46,512.27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28,103.41</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663,702.74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6,115.97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三、利润总额（亏损总额以“—”号填列）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22,399,953.32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63,622,408.01</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865,638.93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4,911,440.03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四、净利润（净亏损以“—”号填列）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21,534,314.39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58,710,967.98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（一）持续经营净利润（净亏损以“—”号填列）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21,534,314.39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58,710,967.98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（二）终止经营净利润（净亏损以“—”号填列）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五、其他综合收益的税后净额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w:t>
            </w:r>
            <w:r>
              <w:rPr>
                <w:rFonts w:ascii="宋体" w:eastAsia="宋体" w:hAnsi="宋体" w:cs="宋体"/>
                <w:sz w:val="18"/>
                <w:szCs w:val="18"/>
              </w:rPr>
              <w:lastRenderedPageBreak/>
              <w:t>变动</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300" w:firstLine="540"/>
              <w:rPr>
                <w:rFonts w:ascii="宋体" w:eastAsia="宋体" w:hAnsi="宋体" w:cs="宋体"/>
                <w:sz w:val="18"/>
                <w:szCs w:val="18"/>
              </w:rPr>
            </w:pPr>
            <w:r>
              <w:rPr>
                <w:rFonts w:ascii="宋体" w:eastAsia="宋体" w:hAnsi="宋体" w:cs="宋体"/>
                <w:sz w:val="18"/>
                <w:szCs w:val="18"/>
              </w:rPr>
              <w:lastRenderedPageBreak/>
              <w:t>4.企业自身信用风险公允价值变动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六、综合收益总额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21,534,314.39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58,710,967.98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七、每股收益：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0.0224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0.0623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0.0222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0.0618</w:t>
            </w:r>
          </w:p>
        </w:tc>
      </w:tr>
    </w:tbl>
    <w:p w:rsidR="007F3A90" w:rsidRDefault="00CC38FA">
      <w:pPr>
        <w:pStyle w:val="3"/>
        <w:spacing w:line="280" w:lineRule="exact"/>
        <w:jc w:val="left"/>
        <w:rPr>
          <w:rFonts w:ascii="宋体" w:hAnsi="宋体" w:cs="宋体"/>
          <w:b/>
          <w:bCs/>
        </w:rPr>
      </w:pPr>
      <w:bookmarkStart w:id="100" w:name="_Toc988989"/>
      <w:r>
        <w:rPr>
          <w:rFonts w:ascii="宋体" w:hAnsi="宋体" w:cs="宋体"/>
          <w:b/>
          <w:bCs/>
        </w:rPr>
        <w:t>5、合并现金流量表</w:t>
      </w:r>
      <w:bookmarkEnd w:id="100"/>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jc w:val="center"/>
              <w:rPr>
                <w:rFonts w:ascii="宋体" w:eastAsia="宋体" w:hAnsi="宋体" w:cs="宋体"/>
                <w:sz w:val="18"/>
                <w:szCs w:val="18"/>
              </w:rPr>
            </w:pPr>
            <w:r>
              <w:rPr>
                <w:rFonts w:ascii="宋体" w:eastAsia="宋体" w:hAnsi="宋体" w:cs="宋体"/>
                <w:sz w:val="18"/>
                <w:szCs w:val="18"/>
              </w:rPr>
              <w:t>2024年半年度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jc w:val="center"/>
              <w:rPr>
                <w:rFonts w:ascii="宋体" w:eastAsia="宋体" w:hAnsi="宋体" w:cs="宋体"/>
                <w:sz w:val="18"/>
                <w:szCs w:val="18"/>
              </w:rPr>
            </w:pPr>
            <w:r>
              <w:rPr>
                <w:rFonts w:ascii="宋体" w:eastAsia="宋体" w:hAnsi="宋体" w:cs="宋体"/>
                <w:sz w:val="18"/>
                <w:szCs w:val="18"/>
              </w:rPr>
              <w:t>2023年半年度</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3,990,298,685.87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3,002,133,044.38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37,256,859.50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50,308,336.37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655,427,419.31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683,657,738.05</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4,682,982,964.68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3,736,099,118.80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2,657,112,252.44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2,554,213,417.98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458,898,807.29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393,935,693.44</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87,246,924.84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84,733,385.59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1,222,311,763.54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489,860,029.59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4,425,569,748.11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3,522,742,526.60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257,413,216.57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213,356,592.20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1,233,049,469.54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1,099,000,000.00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9,608,510.35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22,975,995.36</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972,870.40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811,556.00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45,510,765.48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1,243,630,850.29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1,168,298,316.84</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127,391,629.26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247,710,031.79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1,958,609,000.00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1,839,000,000.00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2,086,000,629.26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2,086,710,031.79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-842,369,778.97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-918,411,714.95</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13,958,234.68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3,300,000.00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1,146,236,277.97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681,380,720.00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1,160,194,512.65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684,680,720.00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1,006,243,760.55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515,733,531.56</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132,855,585.20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76,880,938.77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1,470,000.00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11,556,922.00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1,150,656,267.75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592,614,470.33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9,538,244.90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92,066,249.67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-1,619,176.41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-3,076,728.69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-577,037,493.91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-616,065,601.77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1,654,296,535.56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1,711,471,764.13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1,077,259,041.65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1,095,406,162.36</w:t>
            </w:r>
          </w:p>
        </w:tc>
      </w:tr>
    </w:tbl>
    <w:p w:rsidR="007F3A90" w:rsidRDefault="00CC38FA">
      <w:pPr>
        <w:pStyle w:val="3"/>
        <w:spacing w:line="280" w:lineRule="exact"/>
        <w:jc w:val="left"/>
        <w:rPr>
          <w:rFonts w:ascii="宋体" w:hAnsi="宋体" w:cs="宋体"/>
          <w:b/>
          <w:bCs/>
        </w:rPr>
      </w:pPr>
      <w:bookmarkStart w:id="101" w:name="_Toc988990"/>
      <w:r>
        <w:rPr>
          <w:rFonts w:ascii="宋体" w:hAnsi="宋体" w:cs="宋体"/>
          <w:b/>
          <w:bCs/>
        </w:rPr>
        <w:t>6、母公司现金流量表</w:t>
      </w:r>
      <w:bookmarkEnd w:id="101"/>
    </w:p>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jc w:val="center"/>
              <w:rPr>
                <w:rFonts w:ascii="宋体" w:eastAsia="宋体" w:hAnsi="宋体" w:cs="宋体"/>
                <w:sz w:val="18"/>
                <w:szCs w:val="18"/>
              </w:rPr>
            </w:pPr>
            <w:r>
              <w:rPr>
                <w:rFonts w:ascii="宋体" w:eastAsia="宋体" w:hAnsi="宋体" w:cs="宋体"/>
                <w:sz w:val="18"/>
                <w:szCs w:val="18"/>
              </w:rPr>
              <w:t>2024年半年度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jc w:val="center"/>
              <w:rPr>
                <w:rFonts w:ascii="宋体" w:eastAsia="宋体" w:hAnsi="宋体" w:cs="宋体"/>
                <w:sz w:val="18"/>
                <w:szCs w:val="18"/>
              </w:rPr>
            </w:pPr>
            <w:r>
              <w:rPr>
                <w:rFonts w:ascii="宋体" w:eastAsia="宋体" w:hAnsi="宋体" w:cs="宋体"/>
                <w:sz w:val="18"/>
                <w:szCs w:val="18"/>
              </w:rPr>
              <w:t>2023年半年度</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138,459,445.14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128,598,670.94</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9,183,648.32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9,543,147.75</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29,083,591.10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15,092,611.25</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176,726,684.56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153,234,429.94</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12,548,366.69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16,142,614.96</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62,807,611.74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66,325,709.98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11,704,923.10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10,244,460.21</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40,389,502.63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19,520,583.42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127,450,404.16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112,233,368.57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49,276,280.40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41,001,061.37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300,000,000.00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100,000,000.00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4,307,179.35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15,498,009.15</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51,000,000.00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1,422,238,342.49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1,256,291,333.87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1,726,545,521.84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1,422,789,343.02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1,506,550.50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400,000,000.00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234,000,000.00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1,404,060,000.00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1,253,500,490.68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1,805,566,550.50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1,487,500,490.68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-79,021,028.66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-64,711,147.66</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13,958,234.68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300,000,000.00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207,000,000.00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313,958,234.68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207,000,000.00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304,811,764.71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135,000,000.00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102,398,733.82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50,710,593.69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210,500,000.00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617,710,498.53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185,710,593.69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-303,752,263.85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21,289,406.31</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-24,508.00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20,757.52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-333,521,520.11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-2,399,922.46</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605,617,006.22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107,587,252.58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272,095,486.11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105,187,330.12</w:t>
            </w:r>
          </w:p>
        </w:tc>
      </w:tr>
    </w:tbl>
    <w:p w:rsidR="007F3A90" w:rsidRDefault="00CC38FA">
      <w:pPr>
        <w:pStyle w:val="3"/>
        <w:spacing w:line="280" w:lineRule="exact"/>
        <w:jc w:val="left"/>
        <w:rPr>
          <w:rFonts w:ascii="宋体" w:hAnsi="宋体" w:cs="宋体"/>
          <w:b/>
          <w:bCs/>
        </w:rPr>
      </w:pPr>
      <w:bookmarkStart w:id="102" w:name="_Toc988991"/>
      <w:r>
        <w:rPr>
          <w:rFonts w:ascii="宋体" w:hAnsi="宋体" w:cs="宋体"/>
          <w:b/>
          <w:bCs/>
        </w:rPr>
        <w:t>7、合并所有者权益变动表</w:t>
      </w:r>
      <w:bookmarkEnd w:id="102"/>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本期金额</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198"/>
        <w:gridCol w:w="562"/>
        <w:gridCol w:w="562"/>
        <w:gridCol w:w="562"/>
        <w:gridCol w:w="562"/>
        <w:gridCol w:w="563"/>
        <w:gridCol w:w="563"/>
        <w:gridCol w:w="563"/>
        <w:gridCol w:w="563"/>
        <w:gridCol w:w="563"/>
        <w:gridCol w:w="563"/>
        <w:gridCol w:w="563"/>
        <w:gridCol w:w="563"/>
        <w:gridCol w:w="563"/>
        <w:gridCol w:w="563"/>
        <w:gridCol w:w="563"/>
      </w:tblGrid>
      <w:tr w:rsidR="007F3A90">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439"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2024年半年度</w:t>
            </w:r>
          </w:p>
        </w:tc>
      </w:tr>
      <w:tr w:rsidR="007F3A90">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314"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归属于母公司所有者权益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0" w:lineRule="atLeast"/>
              <w:jc w:val="center"/>
              <w:rPr>
                <w:rFonts w:ascii="宋体" w:eastAsia="宋体" w:hAnsi="宋体" w:cs="宋体"/>
                <w:sz w:val="18"/>
                <w:szCs w:val="18"/>
              </w:rPr>
            </w:pPr>
            <w:r>
              <w:rPr>
                <w:rFonts w:ascii="宋体" w:eastAsia="宋体" w:hAnsi="宋体" w:cs="宋体"/>
                <w:sz w:val="18"/>
                <w:szCs w:val="18"/>
              </w:rPr>
              <w:t>少数股东权益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7F3A90">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168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一般风险准备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563" w:type="dxa"/>
            <w:vMerge/>
            <w:tcBorders>
              <w:top w:val="single" w:sz="2" w:space="0" w:color="auto"/>
              <w:left w:val="single" w:sz="2" w:space="0" w:color="auto"/>
              <w:bottom w:val="single" w:sz="2" w:space="0" w:color="auto"/>
              <w:right w:val="single" w:sz="2" w:space="0" w:color="auto"/>
            </w:tcBorders>
            <w:vAlign w:val="center"/>
          </w:tcPr>
          <w:p w:rsidR="007F3A90" w:rsidRDefault="007F3A90"/>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1,012,096,504.00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2,270,909,631.57</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201,131,504.00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32,491,276.60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38,455,862.10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338,307,359.07</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1,796,831,244.88</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5,287,960,374.22</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255,554,250.02</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5,543,514,624.24</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lastRenderedPageBreak/>
              <w:t>其他</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1,012,096,504.00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2,270,909,631.57</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201,131,504.00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32,491,276.60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38,455,862.10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338,307,359.07</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1,796,831,244.88</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5,287,960,374.22</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255,554,250.02</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5,543,514,624.24</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2,213,370.00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67,424,902.86</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-5,861,112.00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-26,667,461.58</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7,653,016.97</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107,834,926.25</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164,319,866.50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32,787,826.28</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197,107,692.78</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-9,380,839.40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191,979,291.47</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182,598,452.07</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34,257,826.28</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216,856,278.35</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2,213,370.00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67,424,902.86</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-5,861,112.00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75,499,384.86</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75,499,384.86</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2,213,370.00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11,683,624.68</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13,896,994.68</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13,896,994.68</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55,741,278.18</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-5,861,112.00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61,602,390.18</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61,602,390.18</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-101,430,987.40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-101,430,987.40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-1,470,000.00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-102,900,987.40</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2．提取一般风险准备</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3．对所有者（或股东）的分配</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-101,430,987.40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-101,430,987.40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-1,470,000.00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-102,900,987.40</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（四）所有者权益内部结转</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-17,286,622.18</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17,286,622.18</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-17,286,622.18</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17,286,622.18</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7,653,016.97</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7,653,016.97</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7,653,016.97</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12,024,244.54</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12,024,244.54</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12,024,244.54</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4,371,227.57</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4,371,227.57</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4,371,227.57</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1,014,309,874.00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2,338,334,534.43</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195,270,392.00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5,823,815.02</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46,108,879.07</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338,307,359.07</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1,904,666,171.13</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5,452,280,240.72</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288,342,076.30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5,740,622,317.02</w:t>
            </w:r>
          </w:p>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上年金额</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198"/>
        <w:gridCol w:w="562"/>
        <w:gridCol w:w="562"/>
        <w:gridCol w:w="562"/>
        <w:gridCol w:w="562"/>
        <w:gridCol w:w="563"/>
        <w:gridCol w:w="563"/>
        <w:gridCol w:w="563"/>
        <w:gridCol w:w="563"/>
        <w:gridCol w:w="563"/>
        <w:gridCol w:w="563"/>
        <w:gridCol w:w="563"/>
        <w:gridCol w:w="563"/>
        <w:gridCol w:w="563"/>
        <w:gridCol w:w="563"/>
        <w:gridCol w:w="563"/>
      </w:tblGrid>
      <w:tr w:rsidR="007F3A90">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439"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2023年半年度</w:t>
            </w:r>
          </w:p>
        </w:tc>
      </w:tr>
      <w:tr w:rsidR="007F3A90">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314"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归属于母公司所有者权益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少数股东权</w:t>
            </w:r>
            <w:r>
              <w:rPr>
                <w:rFonts w:ascii="宋体" w:eastAsia="宋体" w:hAnsi="宋体" w:cs="宋体"/>
                <w:sz w:val="18"/>
                <w:szCs w:val="18"/>
              </w:rPr>
              <w:lastRenderedPageBreak/>
              <w:t>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所有者权益</w:t>
            </w:r>
            <w:r>
              <w:rPr>
                <w:rFonts w:ascii="宋体" w:eastAsia="宋体" w:hAnsi="宋体" w:cs="宋体"/>
                <w:sz w:val="18"/>
                <w:szCs w:val="18"/>
              </w:rPr>
              <w:lastRenderedPageBreak/>
              <w:t>合计</w:t>
            </w:r>
          </w:p>
        </w:tc>
      </w:tr>
      <w:tr w:rsidR="007F3A90">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168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w:t>
            </w:r>
            <w:r>
              <w:rPr>
                <w:rFonts w:ascii="宋体" w:eastAsia="宋体" w:hAnsi="宋体" w:cs="宋体"/>
                <w:sz w:val="18"/>
                <w:szCs w:val="18"/>
              </w:rPr>
              <w:lastRenderedPageBreak/>
              <w:t>股</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其他综合</w:t>
            </w:r>
            <w:r>
              <w:rPr>
                <w:rFonts w:ascii="宋体" w:eastAsia="宋体" w:hAnsi="宋体" w:cs="宋体"/>
                <w:sz w:val="18"/>
                <w:szCs w:val="18"/>
              </w:rPr>
              <w:lastRenderedPageBreak/>
              <w:t>收益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专项储备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一般风险</w:t>
            </w:r>
            <w:r>
              <w:rPr>
                <w:rFonts w:ascii="宋体" w:eastAsia="宋体" w:hAnsi="宋体" w:cs="宋体"/>
                <w:sz w:val="18"/>
                <w:szCs w:val="18"/>
              </w:rPr>
              <w:lastRenderedPageBreak/>
              <w:t>准备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未分配利</w:t>
            </w:r>
            <w:r>
              <w:rPr>
                <w:rFonts w:ascii="宋体" w:eastAsia="宋体" w:hAnsi="宋体" w:cs="宋体"/>
                <w:sz w:val="18"/>
                <w:szCs w:val="18"/>
              </w:rPr>
              <w:lastRenderedPageBreak/>
              <w:t>润</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其他</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563" w:type="dxa"/>
            <w:vMerge/>
            <w:tcBorders>
              <w:top w:val="single" w:sz="2" w:space="0" w:color="auto"/>
              <w:left w:val="single" w:sz="2" w:space="0" w:color="auto"/>
              <w:bottom w:val="single" w:sz="2" w:space="0" w:color="auto"/>
              <w:right w:val="single" w:sz="2" w:space="0" w:color="auto"/>
            </w:tcBorders>
            <w:vAlign w:val="center"/>
          </w:tcPr>
          <w:p w:rsidR="007F3A90" w:rsidRDefault="007F3A90"/>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563" w:type="dxa"/>
            <w:vMerge/>
            <w:tcBorders>
              <w:top w:val="single" w:sz="2" w:space="0" w:color="auto"/>
              <w:left w:val="single" w:sz="2" w:space="0" w:color="auto"/>
              <w:bottom w:val="single" w:sz="2" w:space="0" w:color="auto"/>
              <w:right w:val="single" w:sz="2" w:space="0" w:color="auto"/>
            </w:tcBorders>
            <w:vAlign w:val="center"/>
          </w:tcPr>
          <w:p w:rsidR="007F3A90" w:rsidRDefault="007F3A90"/>
        </w:tc>
        <w:tc>
          <w:tcPr>
            <w:tcW w:w="563" w:type="dxa"/>
            <w:vMerge/>
            <w:tcBorders>
              <w:top w:val="single" w:sz="2" w:space="0" w:color="auto"/>
              <w:left w:val="single" w:sz="2" w:space="0" w:color="auto"/>
              <w:bottom w:val="single" w:sz="2" w:space="0" w:color="auto"/>
              <w:right w:val="single" w:sz="2" w:space="0" w:color="auto"/>
            </w:tcBorders>
            <w:vAlign w:val="center"/>
          </w:tcPr>
          <w:p w:rsidR="007F3A90" w:rsidRDefault="007F3A90"/>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一、上年期末余额</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969,506,674.00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2,023,632,169.44</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91,439,200.00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53,473,129.86</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29,324,846.55</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331,982,973.54</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1,494,610,178.30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4,811,090,771.69</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282,479,054.29</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5,093,569,825.98</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969,506,674.00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2,023,632,169.44</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91,439,200.00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53,473,129.86</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29,324,846.55</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331,982,973.54</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1,494,610,178.30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4,811,090,771.69</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282,479,054.29</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5,093,569,825.98</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53,113,909.98</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-1,273,280.00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12,323,039.90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7,632,775.17</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50,580,730.53</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124,923,735.58</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31,624,639.89</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156,548,375.47</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12,323,039.90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95,178,037.53</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107,501,077.43</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28,324,639.89</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135,825,717.32</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53,113,909.98</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53,113,909.98</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3,300,000.00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56,413,909.98</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3,300,000.00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3,300,000.00</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53,113,909.98</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53,113,909.98</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53,113,909.98</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-44,597,307.00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-44,597,307.00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-44,597,307.00</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1．提取盈</w:t>
            </w:r>
            <w:r>
              <w:rPr>
                <w:rFonts w:ascii="宋体" w:eastAsia="宋体" w:hAnsi="宋体" w:cs="宋体"/>
                <w:sz w:val="18"/>
                <w:szCs w:val="18"/>
              </w:rPr>
              <w:lastRenderedPageBreak/>
              <w:t>余公积</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lastRenderedPageBreak/>
              <w:t>2．提取一般风险准备</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3．对所有者（或股东）的分配</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-44,597,307.00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-44,597,307.00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-44,597,307.00</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-1,273,280.00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1,273,280.00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1,273,280.00</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-1,273,280.00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1,273,280.00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1,273,280.00</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7,632,775.17</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7,632,775.17</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7,632,775.17</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11,353,336.81</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11,353,336.81</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11,353,336.81</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3,720,561.64</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3,720,561.64</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3,720,561.64</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969,506,674.00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2,076,746,079.4</w:t>
            </w:r>
            <w:r>
              <w:rPr>
                <w:rFonts w:ascii="宋体" w:eastAsia="宋体" w:hAnsi="宋体" w:cs="宋体"/>
                <w:sz w:val="18"/>
                <w:szCs w:val="18"/>
              </w:rPr>
              <w:lastRenderedPageBreak/>
              <w:t>2</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lastRenderedPageBreak/>
              <w:t>90,165,920.00</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65,796,169.76</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36,957,621.72</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331,982,973.54</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1,545,190,908.8</w:t>
            </w:r>
            <w:r>
              <w:rPr>
                <w:rFonts w:ascii="宋体" w:eastAsia="宋体" w:hAnsi="宋体" w:cs="宋体"/>
                <w:sz w:val="18"/>
                <w:szCs w:val="18"/>
              </w:rPr>
              <w:lastRenderedPageBreak/>
              <w:t>3</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4,936,014,507.2</w:t>
            </w:r>
            <w:r>
              <w:rPr>
                <w:rFonts w:ascii="宋体" w:eastAsia="宋体" w:hAnsi="宋体" w:cs="宋体"/>
                <w:sz w:val="18"/>
                <w:szCs w:val="18"/>
              </w:rPr>
              <w:lastRenderedPageBreak/>
              <w:t>7</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lastRenderedPageBreak/>
              <w:t>314,103,694.18</w:t>
            </w:r>
          </w:p>
        </w:tc>
        <w:tc>
          <w:tcPr>
            <w:tcW w:w="56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5,250,118,201.4</w:t>
            </w:r>
            <w:r>
              <w:rPr>
                <w:rFonts w:ascii="宋体" w:eastAsia="宋体" w:hAnsi="宋体" w:cs="宋体"/>
                <w:sz w:val="18"/>
                <w:szCs w:val="18"/>
              </w:rPr>
              <w:lastRenderedPageBreak/>
              <w:t>5</w:t>
            </w:r>
          </w:p>
        </w:tc>
      </w:tr>
    </w:tbl>
    <w:p w:rsidR="007F3A90" w:rsidRDefault="00CC38FA">
      <w:pPr>
        <w:pStyle w:val="3"/>
        <w:spacing w:line="280" w:lineRule="exact"/>
        <w:jc w:val="left"/>
        <w:rPr>
          <w:rFonts w:ascii="宋体" w:hAnsi="宋体" w:cs="宋体"/>
          <w:b/>
          <w:bCs/>
        </w:rPr>
      </w:pPr>
      <w:bookmarkStart w:id="103" w:name="_Toc988992"/>
      <w:r>
        <w:rPr>
          <w:rFonts w:ascii="宋体" w:hAnsi="宋体" w:cs="宋体"/>
          <w:b/>
          <w:bCs/>
        </w:rPr>
        <w:lastRenderedPageBreak/>
        <w:t>8、母公司所有者权益变动表</w:t>
      </w:r>
      <w:bookmarkEnd w:id="103"/>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本期金额</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0"/>
        <w:gridCol w:w="703"/>
        <w:gridCol w:w="703"/>
        <w:gridCol w:w="703"/>
        <w:gridCol w:w="704"/>
        <w:gridCol w:w="703"/>
        <w:gridCol w:w="703"/>
        <w:gridCol w:w="703"/>
        <w:gridCol w:w="703"/>
        <w:gridCol w:w="703"/>
        <w:gridCol w:w="703"/>
        <w:gridCol w:w="703"/>
        <w:gridCol w:w="705"/>
      </w:tblGrid>
      <w:tr w:rsidR="007F3A90">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4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2024年半年度</w:t>
            </w:r>
          </w:p>
        </w:tc>
      </w:tr>
      <w:tr w:rsidR="007F3A90">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211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7F3A90">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03" w:type="dxa"/>
            <w:vMerge/>
            <w:tcBorders>
              <w:top w:val="single" w:sz="2" w:space="0" w:color="auto"/>
              <w:left w:val="single" w:sz="2" w:space="0" w:color="auto"/>
              <w:bottom w:val="single" w:sz="2" w:space="0" w:color="auto"/>
              <w:right w:val="single" w:sz="2" w:space="0" w:color="auto"/>
            </w:tcBorders>
            <w:vAlign w:val="center"/>
          </w:tcPr>
          <w:p w:rsidR="007F3A90" w:rsidRDefault="007F3A90"/>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03" w:type="dxa"/>
            <w:vMerge/>
            <w:tcBorders>
              <w:top w:val="single" w:sz="2" w:space="0" w:color="auto"/>
              <w:left w:val="single" w:sz="2" w:space="0" w:color="auto"/>
              <w:bottom w:val="single" w:sz="2" w:space="0" w:color="auto"/>
              <w:right w:val="single" w:sz="2" w:space="0" w:color="auto"/>
            </w:tcBorders>
            <w:vAlign w:val="center"/>
          </w:tcPr>
          <w:p w:rsidR="007F3A90" w:rsidRDefault="007F3A90"/>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1,012,096,504.00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2,412,492,304.37</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201,131,504.00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-5,100,000.00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338,307,359.07</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2,245,983,571.39</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5,802,648,234.83</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1,012,096,504.00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2,412,492,304.37</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201,131,504.00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-5,100,000.00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338,307,359.07</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2,245,983,571.39</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5,802,648,234.83</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2,213,370.00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67,424,902.86</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-5,861,112.00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-79,896,673.01</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-4,397,288.15</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21,534,314.39</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21,534,314.39</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2,213,370.00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67,424,902.86</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-5,861,112.00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75,499,384.86</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2,213,370.00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11,683,624.68</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13,896,994.68</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55,741,278.18</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-5,861,112.00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61,602,390.18</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-101,430,987.40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-101,430,987.40</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lastRenderedPageBreak/>
              <w:t>1．提取盈余公积</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2．对所有者（或股东）的分配</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-101,430,987.40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-101,430,987.40</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3．其他</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1,014,309,874.00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2,479,917,207.23</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195,270,392.00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-5,100,000.00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338,307,359.07</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2,166,086,898.38</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5,798,250,946.68</w:t>
            </w:r>
          </w:p>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上年金额</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0"/>
        <w:gridCol w:w="703"/>
        <w:gridCol w:w="703"/>
        <w:gridCol w:w="703"/>
        <w:gridCol w:w="704"/>
        <w:gridCol w:w="703"/>
        <w:gridCol w:w="703"/>
        <w:gridCol w:w="703"/>
        <w:gridCol w:w="703"/>
        <w:gridCol w:w="703"/>
        <w:gridCol w:w="703"/>
        <w:gridCol w:w="703"/>
        <w:gridCol w:w="705"/>
      </w:tblGrid>
      <w:tr w:rsidR="007F3A90">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4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2023年半年度</w:t>
            </w:r>
          </w:p>
        </w:tc>
      </w:tr>
      <w:tr w:rsidR="007F3A90">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211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7F3A90">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03" w:type="dxa"/>
            <w:vMerge/>
            <w:tcBorders>
              <w:top w:val="single" w:sz="2" w:space="0" w:color="auto"/>
              <w:left w:val="single" w:sz="2" w:space="0" w:color="auto"/>
              <w:bottom w:val="single" w:sz="2" w:space="0" w:color="auto"/>
              <w:right w:val="single" w:sz="2" w:space="0" w:color="auto"/>
            </w:tcBorders>
            <w:vAlign w:val="center"/>
          </w:tcPr>
          <w:p w:rsidR="007F3A90" w:rsidRDefault="007F3A90"/>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03" w:type="dxa"/>
            <w:vMerge/>
            <w:tcBorders>
              <w:top w:val="single" w:sz="2" w:space="0" w:color="auto"/>
              <w:left w:val="single" w:sz="2" w:space="0" w:color="auto"/>
              <w:bottom w:val="single" w:sz="2" w:space="0" w:color="auto"/>
              <w:right w:val="single" w:sz="2" w:space="0" w:color="auto"/>
            </w:tcBorders>
            <w:vAlign w:val="center"/>
          </w:tcPr>
          <w:p w:rsidR="007F3A90" w:rsidRDefault="007F3A90"/>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969,506,674.00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2,164,171,152.75</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91,439,200.00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-5,100,000.00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331,982,973.54</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2,233,587,256.65</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5,602,708,856.94</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lastRenderedPageBreak/>
              <w:t>前期差错更正</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969,506,674.00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2,164,171,152.75</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91,439,200.00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-5,100,000.00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331,982,973.54</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2,233,587,256.65</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5,602,708,856.94</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53,113,909.98</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-1,273,280.00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14,113,660.98</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68,500,850.96</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58,710,967.98</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58,710,967.98</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53,113,909.98</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53,113,909.98</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53,113,909.98</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53,113,909.98</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-44,597,307.00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-44,597,307.00</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2．对所有者（或股东）的分配</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-44,597,307.00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-44,597,307.00</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3．其他</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-1,273,280.00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1,273,280.00</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lastRenderedPageBreak/>
              <w:t>4．设定受益计划变动额结转留存收益</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-1,273,280.00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1,273,280.00</w:t>
            </w: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969,506,674.00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2,217,285,062.73</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90,165,920.00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-5,100,000.00</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331,982,973.54</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2,247,700,917.63</w:t>
            </w: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5,671,209,707.90</w:t>
            </w:r>
          </w:p>
        </w:tc>
      </w:tr>
    </w:tbl>
    <w:p w:rsidR="007F3A90" w:rsidRDefault="00CC38FA">
      <w:pPr>
        <w:pStyle w:val="2"/>
        <w:spacing w:before="300" w:after="300" w:line="320" w:lineRule="exact"/>
        <w:rPr>
          <w:rFonts w:ascii="宋体" w:eastAsia="宋体" w:hAnsi="宋体" w:cs="宋体"/>
          <w:b/>
          <w:bCs/>
          <w:sz w:val="24"/>
          <w:szCs w:val="24"/>
        </w:rPr>
      </w:pPr>
      <w:bookmarkStart w:id="104" w:name="_Toc988993"/>
      <w:r>
        <w:rPr>
          <w:rFonts w:ascii="宋体" w:eastAsia="宋体" w:hAnsi="宋体" w:cs="宋体"/>
          <w:b/>
          <w:bCs/>
          <w:sz w:val="24"/>
          <w:szCs w:val="24"/>
        </w:rPr>
        <w:t>三、公司基本情况</w:t>
      </w:r>
      <w:bookmarkEnd w:id="104"/>
    </w:p>
    <w:p w:rsidR="00CC38FA" w:rsidRPr="006F2C65" w:rsidRDefault="00CC38FA">
      <w:pPr>
        <w:pStyle w:val="3"/>
        <w:divId w:val="417748588"/>
        <w:rPr>
          <w:rFonts w:ascii="等线" w:eastAsia="等线" w:hAnsi="等线"/>
          <w:kern w:val="0"/>
        </w:rPr>
      </w:pPr>
      <w:r w:rsidRPr="006F2C65">
        <w:rPr>
          <w:rStyle w:val="a4"/>
          <w:rFonts w:ascii="等线" w:eastAsia="等线" w:hAnsi="等线" w:hint="eastAsia"/>
          <w:bCs w:val="0"/>
          <w:sz w:val="18"/>
          <w:szCs w:val="18"/>
        </w:rPr>
        <w:t>1</w:t>
      </w:r>
      <w:r w:rsidRPr="006F2C65">
        <w:rPr>
          <w:rStyle w:val="a4"/>
          <w:rFonts w:hint="eastAsia"/>
          <w:bCs w:val="0"/>
          <w:sz w:val="18"/>
          <w:szCs w:val="18"/>
        </w:rPr>
        <w:t>、公司注册地、组织形式和总部地址</w:t>
      </w:r>
    </w:p>
    <w:p w:rsidR="00CC38FA" w:rsidRDefault="00CC38FA">
      <w:pPr>
        <w:pStyle w:val="a3"/>
        <w:spacing w:before="0" w:beforeAutospacing="0" w:after="0" w:afterAutospacing="0"/>
        <w:ind w:firstLine="360"/>
        <w:divId w:val="417748588"/>
      </w:pPr>
      <w:r>
        <w:rPr>
          <w:rFonts w:hint="eastAsia"/>
          <w:sz w:val="18"/>
          <w:szCs w:val="18"/>
        </w:rPr>
        <w:t>软控股份有限公司（以下简称“本公司”或“公司”）前身为2000年4月4日成立的青岛时代网络工程有限公司，2000年10月更名为青岛高校软控有限公司，2010年3月公司更名为软控股份有限公司。2000年12月22日公司经青岛市人民政府批准（青股改字[2000]12号批准证书），根据青岛市经济体制改革委员会《关于青岛高校软控股份有限公司获准设立的通知》（青体改发[2000]186号），在原青岛高校软控有限公司基础上整体变更设立为股份有限公司。2006年10月13日，公司经中国证券监督管理委员会证监发行字[2006]75号文核准，向社会公众发行人民币普通股1,800万股，并于2006年10月18日在深圳证券交易所中小板上市交易，目前注册资</w:t>
      </w:r>
      <w:r>
        <w:rPr>
          <w:rFonts w:hint="eastAsia"/>
          <w:color w:val="000000"/>
          <w:sz w:val="18"/>
          <w:szCs w:val="18"/>
        </w:rPr>
        <w:t>本为101,430.9874万元。</w:t>
      </w:r>
    </w:p>
    <w:p w:rsidR="00CC38FA" w:rsidRDefault="00CC38FA">
      <w:pPr>
        <w:pStyle w:val="a3"/>
        <w:spacing w:before="0" w:beforeAutospacing="0" w:after="0" w:afterAutospacing="0"/>
        <w:ind w:firstLine="360"/>
        <w:divId w:val="417748588"/>
      </w:pPr>
      <w:r>
        <w:rPr>
          <w:rFonts w:hint="eastAsia"/>
          <w:color w:val="000000"/>
          <w:sz w:val="18"/>
          <w:szCs w:val="18"/>
        </w:rPr>
        <w:t>公司在青岛市工商行政管理局登记注册，统一社会信用</w:t>
      </w:r>
      <w:r>
        <w:rPr>
          <w:rFonts w:hint="eastAsia"/>
          <w:sz w:val="18"/>
          <w:szCs w:val="18"/>
        </w:rPr>
        <w:t>代码：913702007180555372，公司注册地为山东省青岛市高新区新业路31号远创国际蓝湾创意园B区1号楼202室，总部地址：青岛市郑州路43号。法定代表人：官炳政。</w:t>
      </w:r>
    </w:p>
    <w:p w:rsidR="00CC38FA" w:rsidRPr="006F2C65" w:rsidRDefault="00CC38FA">
      <w:pPr>
        <w:pStyle w:val="3"/>
        <w:divId w:val="417748588"/>
        <w:rPr>
          <w:rFonts w:ascii="等线" w:eastAsia="等线" w:hAnsi="等线"/>
        </w:rPr>
      </w:pPr>
      <w:r w:rsidRPr="006F2C65">
        <w:rPr>
          <w:rStyle w:val="a4"/>
          <w:rFonts w:ascii="等线" w:eastAsia="等线" w:hAnsi="等线" w:hint="eastAsia"/>
          <w:bCs w:val="0"/>
          <w:sz w:val="18"/>
          <w:szCs w:val="18"/>
        </w:rPr>
        <w:t>2</w:t>
      </w:r>
      <w:r w:rsidRPr="006F2C65">
        <w:rPr>
          <w:rStyle w:val="a4"/>
          <w:rFonts w:hint="eastAsia"/>
          <w:bCs w:val="0"/>
          <w:sz w:val="18"/>
          <w:szCs w:val="18"/>
        </w:rPr>
        <w:t>、公司的业务性质和主要经营活动</w:t>
      </w:r>
    </w:p>
    <w:p w:rsidR="00CC38FA" w:rsidRDefault="00CC38FA">
      <w:pPr>
        <w:pStyle w:val="a3"/>
        <w:spacing w:before="0" w:beforeAutospacing="0" w:after="0" w:afterAutospacing="0"/>
        <w:ind w:firstLine="360"/>
        <w:divId w:val="417748588"/>
      </w:pPr>
      <w:r>
        <w:rPr>
          <w:rFonts w:hint="eastAsia"/>
          <w:sz w:val="18"/>
          <w:szCs w:val="18"/>
        </w:rPr>
        <w:t>本公司属专用设备制造业。</w:t>
      </w:r>
    </w:p>
    <w:p w:rsidR="00CC38FA" w:rsidRDefault="00CC38FA">
      <w:pPr>
        <w:pStyle w:val="a3"/>
        <w:spacing w:before="0" w:beforeAutospacing="0" w:after="0" w:afterAutospacing="0"/>
        <w:ind w:firstLine="360"/>
        <w:divId w:val="417748588"/>
      </w:pPr>
      <w:r>
        <w:rPr>
          <w:rFonts w:hint="eastAsia"/>
          <w:sz w:val="18"/>
          <w:szCs w:val="18"/>
        </w:rPr>
        <w:t>经营范围： 机械设备、模具、计算机软硬件、大规模集成电路、自动化系统、网络及监控工程设计、开发、生产、销售、安装、调试、维护；信息化系统的集成、销售、安装、调试、维护；以上业务的技术服务、咨询及培训；自营和代理各类商品和技术的进出口（国家限定公司经营或禁止进出口的商品和技术除外）。（依法须经批准的项目，经相关部门批准后方可开展经营活动）。</w:t>
      </w:r>
    </w:p>
    <w:p w:rsidR="00CC38FA" w:rsidRDefault="00CC38FA">
      <w:pPr>
        <w:pStyle w:val="a3"/>
        <w:spacing w:before="0" w:beforeAutospacing="0" w:after="0" w:afterAutospacing="0"/>
        <w:ind w:firstLine="360"/>
        <w:divId w:val="417748588"/>
      </w:pPr>
      <w:r>
        <w:rPr>
          <w:rFonts w:hint="eastAsia"/>
          <w:sz w:val="18"/>
          <w:szCs w:val="18"/>
        </w:rPr>
        <w:t>公司主要产品或提供的劳务：密炼机上辅机系统、小料配料称量系统、轮胎企业管控网络、炼胶系统、内衬层、裁断机、成型机、硫化机、模具、动平衡试验机系统、均匀性试验机、自动化物流系统、工业机器人、粉料输送线、溶剂输送线、浆料输送线、搅拌机、高速分散机等软件产品和相关硬件的配套生产和销售、橡胶新材料的研发、生产和销售。</w:t>
      </w:r>
    </w:p>
    <w:p w:rsidR="00CC38FA" w:rsidRPr="006F2C65" w:rsidRDefault="00CC38FA">
      <w:pPr>
        <w:pStyle w:val="3"/>
        <w:divId w:val="417748588"/>
        <w:rPr>
          <w:rFonts w:ascii="等线" w:eastAsia="等线" w:hAnsi="等线"/>
        </w:rPr>
      </w:pPr>
      <w:r w:rsidRPr="006F2C65">
        <w:rPr>
          <w:rStyle w:val="a4"/>
          <w:rFonts w:ascii="等线" w:eastAsia="等线" w:hAnsi="等线" w:hint="eastAsia"/>
          <w:bCs w:val="0"/>
          <w:sz w:val="18"/>
          <w:szCs w:val="18"/>
        </w:rPr>
        <w:lastRenderedPageBreak/>
        <w:t>3</w:t>
      </w:r>
      <w:r w:rsidRPr="006F2C65">
        <w:rPr>
          <w:rStyle w:val="a4"/>
          <w:rFonts w:hint="eastAsia"/>
          <w:bCs w:val="0"/>
          <w:sz w:val="18"/>
          <w:szCs w:val="18"/>
        </w:rPr>
        <w:t>、财务报告的批准报出</w:t>
      </w:r>
    </w:p>
    <w:p w:rsidR="00CC38FA" w:rsidRDefault="00CC38FA">
      <w:pPr>
        <w:pStyle w:val="a3"/>
        <w:spacing w:before="0" w:beforeAutospacing="0" w:after="0" w:afterAutospacing="0"/>
        <w:ind w:firstLine="360"/>
        <w:jc w:val="both"/>
        <w:textAlignment w:val="baseline"/>
        <w:divId w:val="417748588"/>
      </w:pPr>
      <w:r>
        <w:rPr>
          <w:rFonts w:hint="eastAsia"/>
          <w:sz w:val="18"/>
          <w:szCs w:val="18"/>
        </w:rPr>
        <w:t>本财务报表已经本公司董事会</w:t>
      </w:r>
      <w:r>
        <w:rPr>
          <w:rFonts w:hint="eastAsia"/>
          <w:color w:val="000000"/>
          <w:sz w:val="18"/>
          <w:szCs w:val="18"/>
        </w:rPr>
        <w:t>于2024年8月20日决议批</w:t>
      </w:r>
      <w:r>
        <w:rPr>
          <w:rFonts w:hint="eastAsia"/>
          <w:sz w:val="18"/>
          <w:szCs w:val="18"/>
        </w:rPr>
        <w:t>准报出。</w:t>
      </w:r>
    </w:p>
    <w:p w:rsidR="00CC38FA" w:rsidRPr="006F2C65" w:rsidRDefault="00CC38FA">
      <w:pPr>
        <w:pStyle w:val="3"/>
        <w:divId w:val="417748588"/>
        <w:rPr>
          <w:rFonts w:ascii="等线" w:eastAsia="等线" w:hAnsi="等线"/>
        </w:rPr>
      </w:pPr>
      <w:r w:rsidRPr="006F2C65">
        <w:rPr>
          <w:rStyle w:val="a4"/>
          <w:rFonts w:ascii="等线" w:eastAsia="等线" w:hAnsi="等线" w:hint="eastAsia"/>
          <w:bCs w:val="0"/>
          <w:sz w:val="18"/>
          <w:szCs w:val="18"/>
        </w:rPr>
        <w:t>4</w:t>
      </w:r>
      <w:r w:rsidRPr="006F2C65">
        <w:rPr>
          <w:rStyle w:val="a4"/>
          <w:rFonts w:hint="eastAsia"/>
          <w:bCs w:val="0"/>
          <w:sz w:val="18"/>
          <w:szCs w:val="18"/>
        </w:rPr>
        <w:t>、合并报表范围</w:t>
      </w:r>
    </w:p>
    <w:p w:rsidR="00CC38FA" w:rsidRDefault="00CC38FA">
      <w:pPr>
        <w:pStyle w:val="a3"/>
        <w:spacing w:before="0" w:beforeAutospacing="0" w:after="0" w:afterAutospacing="0" w:line="400" w:lineRule="atLeast"/>
        <w:ind w:firstLine="360"/>
        <w:jc w:val="both"/>
        <w:divId w:val="417748588"/>
      </w:pPr>
      <w:r>
        <w:rPr>
          <w:rFonts w:hint="eastAsia"/>
          <w:color w:val="000000"/>
          <w:sz w:val="18"/>
          <w:szCs w:val="18"/>
        </w:rPr>
        <w:t>截至2024年6月30日止，</w:t>
      </w:r>
      <w:r>
        <w:rPr>
          <w:rFonts w:hint="eastAsia"/>
          <w:sz w:val="18"/>
          <w:szCs w:val="18"/>
        </w:rPr>
        <w:t>本公司合并财务报表范围内子公司如下：</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6"/>
        <w:gridCol w:w="4846"/>
        <w:gridCol w:w="2902"/>
      </w:tblGrid>
      <w:tr w:rsidR="00CC38FA" w:rsidRPr="003C7507" w:rsidTr="003C7507">
        <w:trPr>
          <w:divId w:val="417748588"/>
          <w:trHeight w:val="260"/>
        </w:trPr>
        <w:tc>
          <w:tcPr>
            <w:tcW w:w="1036" w:type="dxa"/>
            <w:shd w:val="clear" w:color="auto" w:fill="D3D3D3"/>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b/>
                <w:sz w:val="18"/>
                <w:szCs w:val="18"/>
              </w:rPr>
            </w:pPr>
            <w:r w:rsidRPr="003C7507">
              <w:rPr>
                <w:rStyle w:val="a4"/>
                <w:rFonts w:asciiTheme="minorEastAsia" w:eastAsiaTheme="minorEastAsia" w:hAnsiTheme="minorEastAsia" w:hint="eastAsia"/>
                <w:b w:val="0"/>
                <w:color w:val="000000"/>
                <w:sz w:val="18"/>
                <w:szCs w:val="18"/>
              </w:rPr>
              <w:t>序号</w:t>
            </w:r>
          </w:p>
        </w:tc>
        <w:tc>
          <w:tcPr>
            <w:tcW w:w="4846" w:type="dxa"/>
            <w:shd w:val="clear" w:color="auto" w:fill="D3D3D3"/>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b/>
                <w:sz w:val="18"/>
                <w:szCs w:val="18"/>
              </w:rPr>
            </w:pPr>
            <w:r w:rsidRPr="003C7507">
              <w:rPr>
                <w:rStyle w:val="a4"/>
                <w:rFonts w:asciiTheme="minorEastAsia" w:eastAsiaTheme="minorEastAsia" w:hAnsiTheme="minorEastAsia" w:hint="eastAsia"/>
                <w:b w:val="0"/>
                <w:color w:val="000000"/>
                <w:sz w:val="18"/>
                <w:szCs w:val="18"/>
              </w:rPr>
              <w:t>单位名称</w:t>
            </w:r>
          </w:p>
        </w:tc>
        <w:tc>
          <w:tcPr>
            <w:tcW w:w="2902" w:type="dxa"/>
            <w:shd w:val="clear" w:color="auto" w:fill="D3D3D3"/>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b/>
                <w:sz w:val="18"/>
                <w:szCs w:val="18"/>
              </w:rPr>
            </w:pPr>
            <w:r w:rsidRPr="003C7507">
              <w:rPr>
                <w:rStyle w:val="a4"/>
                <w:rFonts w:asciiTheme="minorEastAsia" w:eastAsiaTheme="minorEastAsia" w:hAnsiTheme="minorEastAsia" w:hint="eastAsia"/>
                <w:b w:val="0"/>
                <w:color w:val="000000"/>
                <w:sz w:val="18"/>
                <w:szCs w:val="18"/>
              </w:rPr>
              <w:t>简称</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1</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软控股份有限公司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软控股份</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2</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青岛软控机电工程有限公司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软控机电</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3</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北京敬业机械设备有限公司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敬业机械</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4</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天津敬业园机械设备有限公司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敬业园</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5</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北京敬业机电科技发展有限公司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敬业机电</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6</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大连软控机电有限公司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大连软控</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7</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青岛优享供应链有限公司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优享供应链</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8</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青岛软控计量检测技术有限公司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计量检测</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9</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青岛海威物联科技有限公司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海威物联</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10</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青岛软控海科科技有限公司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海科科技</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11</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软控联合科技有限公司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联合科技</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12</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青岛科捷自动化设备有限公司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科捷自动化</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13</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深圳市众源达智能装备有限公司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深圳众源达</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14</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艾优信（山东）计量检测有限公司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艾优信</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15</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青岛华控能源科技有限公司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华控能源</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16</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青岛朗控清洁能源有限公司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朗控清洁</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17</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青岛睿诚新能源有限公司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青岛睿诚</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18</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青岛优尼斯通国际贸易有限公司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优尼斯通</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19</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青岛智控零碳科技有限公司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智控零碳</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20</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菏泽智控能源发展有限公司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菏泽智控</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21</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青岛华控赛联新能源科技有限公司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华控赛联</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22</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HKZQ ENERGY AND TECHNOLOGY CO., LTD.</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华中能源</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23</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德州智控新能源发展有限公司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德州智控</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24</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抚顺伊科思新材料有限公司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抚顺伊科思</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25</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盘锦伊科思新材料有限公司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盘锦伊科思</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26</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益凯新材料有限公司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益凯新材料</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27</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软控（诸暨）智能装备有限公司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软控诸暨</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28</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浙江软控智能科技股份有限公司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软控科技</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29</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青岛云纵智能科技有限公司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青岛云纵</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30</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浙江叁晟信息科技有限公司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浙江叁晟</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31</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软控欧洲研发和技术中心有限责任公司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软控欧研</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32</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软控（美洲）有限公司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软控（美洲）</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lastRenderedPageBreak/>
              <w:t>33</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WYKO TireTechnology(UK) Ltd.</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WYKO</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34</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DavianEnterprises LLC</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sz w:val="18"/>
                <w:szCs w:val="18"/>
              </w:rPr>
              <w:t>Davian</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35</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抚顺伊科思橡胶贸易有限公司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伊科思贸易</w:t>
            </w:r>
          </w:p>
        </w:tc>
      </w:tr>
      <w:tr w:rsidR="00CC38FA" w:rsidRPr="003C7507" w:rsidTr="003C7507">
        <w:trPr>
          <w:divId w:val="417748588"/>
          <w:trHeight w:val="340"/>
        </w:trPr>
        <w:tc>
          <w:tcPr>
            <w:tcW w:w="1036" w:type="dxa"/>
            <w:shd w:val="clear" w:color="auto" w:fill="D3D3D3"/>
            <w:noWrap/>
            <w:tcMar>
              <w:top w:w="0" w:type="dxa"/>
              <w:left w:w="108" w:type="dxa"/>
              <w:bottom w:w="0" w:type="dxa"/>
              <w:right w:w="108" w:type="dxa"/>
            </w:tcMar>
            <w:vAlign w:val="center"/>
            <w:hideMark/>
          </w:tcPr>
          <w:p w:rsidR="00CC38FA" w:rsidRPr="003C7507" w:rsidRDefault="00CC38FA" w:rsidP="003C7507">
            <w:pPr>
              <w:pStyle w:val="a3"/>
              <w:spacing w:before="0" w:beforeAutospacing="0" w:after="0" w:afterAutospacing="0"/>
              <w:jc w:val="center"/>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36</w:t>
            </w:r>
          </w:p>
        </w:tc>
        <w:tc>
          <w:tcPr>
            <w:tcW w:w="4846"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軟控（香港）有限公司</w:t>
            </w:r>
          </w:p>
        </w:tc>
        <w:tc>
          <w:tcPr>
            <w:tcW w:w="2902" w:type="dxa"/>
            <w:noWrap/>
            <w:tcMar>
              <w:top w:w="0" w:type="dxa"/>
              <w:left w:w="108" w:type="dxa"/>
              <w:bottom w:w="0" w:type="dxa"/>
              <w:right w:w="108" w:type="dxa"/>
            </w:tcMar>
            <w:vAlign w:val="center"/>
            <w:hideMark/>
          </w:tcPr>
          <w:p w:rsidR="00CC38FA" w:rsidRPr="003C7507" w:rsidRDefault="00CC38FA">
            <w:pPr>
              <w:pStyle w:val="a3"/>
              <w:spacing w:before="0" w:beforeAutospacing="0" w:after="0" w:afterAutospacing="0"/>
              <w:rPr>
                <w:rFonts w:asciiTheme="minorEastAsia" w:eastAsiaTheme="minorEastAsia" w:hAnsiTheme="minorEastAsia"/>
                <w:sz w:val="18"/>
                <w:szCs w:val="18"/>
              </w:rPr>
            </w:pPr>
            <w:r w:rsidRPr="003C7507">
              <w:rPr>
                <w:rFonts w:asciiTheme="minorEastAsia" w:eastAsiaTheme="minorEastAsia" w:hAnsiTheme="minorEastAsia" w:hint="eastAsia"/>
                <w:color w:val="000000"/>
                <w:sz w:val="18"/>
                <w:szCs w:val="18"/>
              </w:rPr>
              <w:t>软控</w:t>
            </w:r>
            <w:r w:rsidR="00F276DB" w:rsidRPr="003C7507">
              <w:rPr>
                <w:rFonts w:asciiTheme="minorEastAsia" w:eastAsiaTheme="minorEastAsia" w:hAnsiTheme="minorEastAsia" w:hint="eastAsia"/>
                <w:color w:val="000000"/>
                <w:sz w:val="18"/>
                <w:szCs w:val="18"/>
              </w:rPr>
              <w:t>（香港）</w:t>
            </w:r>
          </w:p>
        </w:tc>
      </w:tr>
    </w:tbl>
    <w:p w:rsidR="00CC38FA" w:rsidRDefault="00CC38FA">
      <w:pPr>
        <w:pStyle w:val="a3"/>
        <w:spacing w:before="0" w:beforeAutospacing="0" w:after="0" w:afterAutospacing="0"/>
        <w:ind w:firstLine="360"/>
        <w:divId w:val="417748588"/>
      </w:pPr>
      <w:r>
        <w:rPr>
          <w:rFonts w:hint="eastAsia"/>
          <w:sz w:val="18"/>
          <w:szCs w:val="18"/>
        </w:rPr>
        <w:t>本期合并财务报表范围及其变化情况详见本附注“合并范围的变更”和“在其他主体中的权益”。</w:t>
      </w:r>
    </w:p>
    <w:p w:rsidR="007F3A90" w:rsidRDefault="00CC38FA">
      <w:pPr>
        <w:pStyle w:val="2"/>
        <w:spacing w:before="300" w:after="300" w:line="320" w:lineRule="exact"/>
        <w:rPr>
          <w:rFonts w:ascii="宋体" w:eastAsia="宋体" w:hAnsi="宋体" w:cs="宋体"/>
          <w:b/>
          <w:bCs/>
          <w:sz w:val="24"/>
          <w:szCs w:val="24"/>
        </w:rPr>
      </w:pPr>
      <w:bookmarkStart w:id="105" w:name="_Toc988994"/>
      <w:r>
        <w:rPr>
          <w:rFonts w:ascii="宋体" w:eastAsia="宋体" w:hAnsi="宋体" w:cs="宋体"/>
          <w:b/>
          <w:bCs/>
          <w:sz w:val="24"/>
          <w:szCs w:val="24"/>
        </w:rPr>
        <w:t>四、财务报表的编制基础</w:t>
      </w:r>
      <w:bookmarkEnd w:id="105"/>
    </w:p>
    <w:p w:rsidR="007F3A90" w:rsidRDefault="00CC38FA">
      <w:pPr>
        <w:pStyle w:val="3"/>
        <w:spacing w:line="280" w:lineRule="exact"/>
        <w:jc w:val="left"/>
        <w:rPr>
          <w:rFonts w:ascii="宋体" w:hAnsi="宋体" w:cs="宋体"/>
          <w:b/>
          <w:bCs/>
        </w:rPr>
      </w:pPr>
      <w:bookmarkStart w:id="106" w:name="_Toc988995"/>
      <w:r>
        <w:rPr>
          <w:rFonts w:ascii="宋体" w:hAnsi="宋体" w:cs="宋体"/>
          <w:b/>
          <w:bCs/>
        </w:rPr>
        <w:t>1、编制基础</w:t>
      </w:r>
      <w:bookmarkEnd w:id="106"/>
    </w:p>
    <w:p w:rsidR="00CC38FA" w:rsidRDefault="00CC38FA">
      <w:pPr>
        <w:pStyle w:val="a3"/>
        <w:spacing w:before="0" w:beforeAutospacing="0" w:after="0" w:afterAutospacing="0"/>
        <w:ind w:firstLine="360"/>
        <w:divId w:val="2129809656"/>
      </w:pPr>
      <w:r>
        <w:rPr>
          <w:rFonts w:hint="eastAsia"/>
          <w:sz w:val="18"/>
          <w:szCs w:val="18"/>
        </w:rPr>
        <w:t>本公司财务报表以持续经营假设为基础，根据实际发生的交易和事项，按照财政部发布的《企业会计准则——基本准则》（财政部令第33号发布、财政部令第76号修订）、于2006年2月15日及其后颁布和修订的42项具体会计准则、企业会计准则应用指南、企业会计准则解释及其他相关规定（以下合称“企业会计准则”），以及中国证券监督管理委员会《公开发行证券的公司信息披露编报规则第15号——财务报告的一般规定》（2023年修订）的披露规定编制。</w:t>
      </w:r>
    </w:p>
    <w:p w:rsidR="00CC38FA" w:rsidRDefault="00CC38FA">
      <w:pPr>
        <w:pStyle w:val="a3"/>
        <w:spacing w:before="0" w:beforeAutospacing="0" w:after="0" w:afterAutospacing="0"/>
        <w:ind w:firstLine="360"/>
        <w:divId w:val="2129809656"/>
      </w:pPr>
      <w:r>
        <w:rPr>
          <w:rFonts w:hint="eastAsia"/>
          <w:sz w:val="18"/>
          <w:szCs w:val="18"/>
        </w:rPr>
        <w:t>根据企业会计准则的相关规定，本公司会计核算以权责发生制为基础。除某些金融工具外，本财务报表均以历史成本为计量基础。持有待售的非流动资产，按公允价值减去预计费用后的金额，以及符合持有待售条件时的原账面价值，取两者孰低计价。资产如果发生减值，则按照相关规定计提相应的减值准备。</w:t>
      </w:r>
    </w:p>
    <w:p w:rsidR="007F3A90" w:rsidRDefault="00CC38FA">
      <w:pPr>
        <w:pStyle w:val="3"/>
        <w:spacing w:line="280" w:lineRule="exact"/>
        <w:jc w:val="left"/>
        <w:rPr>
          <w:rFonts w:ascii="宋体" w:hAnsi="宋体" w:cs="宋体"/>
          <w:b/>
          <w:bCs/>
        </w:rPr>
      </w:pPr>
      <w:bookmarkStart w:id="107" w:name="_Toc988996"/>
      <w:r>
        <w:rPr>
          <w:rFonts w:ascii="宋体" w:hAnsi="宋体" w:cs="宋体"/>
          <w:b/>
          <w:bCs/>
        </w:rPr>
        <w:t>2、持续经营</w:t>
      </w:r>
      <w:bookmarkEnd w:id="107"/>
    </w:p>
    <w:p w:rsidR="00CC38FA" w:rsidRDefault="00CC38FA">
      <w:pPr>
        <w:pStyle w:val="a3"/>
        <w:spacing w:before="0" w:beforeAutospacing="0" w:after="0" w:afterAutospacing="0"/>
        <w:ind w:firstLine="360"/>
        <w:divId w:val="1661931722"/>
      </w:pPr>
      <w:r>
        <w:rPr>
          <w:rFonts w:hint="eastAsia"/>
          <w:sz w:val="18"/>
          <w:szCs w:val="18"/>
        </w:rPr>
        <w:t>本财务报表以持续经营为基础列报，本公司自报告期末起至少12个月具有持续经营能力。</w:t>
      </w:r>
    </w:p>
    <w:p w:rsidR="007F3A90" w:rsidRDefault="00CC38FA">
      <w:pPr>
        <w:pStyle w:val="2"/>
        <w:spacing w:before="300" w:after="300" w:line="560" w:lineRule="exact"/>
        <w:rPr>
          <w:rFonts w:ascii="宋体" w:eastAsia="宋体" w:hAnsi="宋体" w:cs="宋体"/>
          <w:b/>
          <w:bCs/>
          <w:sz w:val="24"/>
          <w:szCs w:val="24"/>
        </w:rPr>
      </w:pPr>
      <w:bookmarkStart w:id="108" w:name="_Toc988997"/>
      <w:r>
        <w:rPr>
          <w:rFonts w:ascii="宋体" w:eastAsia="宋体" w:hAnsi="宋体" w:cs="宋体"/>
          <w:b/>
          <w:bCs/>
          <w:sz w:val="24"/>
          <w:szCs w:val="24"/>
        </w:rPr>
        <w:t>五、重要会计政策及会计估计</w:t>
      </w:r>
      <w:bookmarkEnd w:id="108"/>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具体会计政策和会计估计提示：</w:t>
      </w:r>
    </w:p>
    <w:p w:rsidR="00CC38FA" w:rsidRDefault="00CC38FA">
      <w:pPr>
        <w:pStyle w:val="a3"/>
        <w:spacing w:before="0" w:beforeAutospacing="0" w:after="0" w:afterAutospacing="0"/>
        <w:ind w:firstLine="360"/>
        <w:divId w:val="342898662"/>
      </w:pPr>
      <w:r>
        <w:rPr>
          <w:rFonts w:hint="eastAsia"/>
          <w:sz w:val="18"/>
          <w:szCs w:val="18"/>
        </w:rPr>
        <w:t>具体会计政策和会计估计提示：</w:t>
      </w:r>
    </w:p>
    <w:p w:rsidR="00CC38FA" w:rsidRDefault="00CC38FA">
      <w:pPr>
        <w:pStyle w:val="a3"/>
        <w:spacing w:before="0" w:beforeAutospacing="0" w:after="0" w:afterAutospacing="0"/>
        <w:ind w:firstLine="360"/>
        <w:divId w:val="342898662"/>
      </w:pPr>
      <w:r>
        <w:rPr>
          <w:rFonts w:hint="eastAsia"/>
          <w:sz w:val="18"/>
          <w:szCs w:val="18"/>
        </w:rPr>
        <w:t>本公司及各子公司从事软件、集成电路、智能化产品、橡胶新材料和信息技</w:t>
      </w:r>
      <w:r>
        <w:rPr>
          <w:rFonts w:hint="eastAsia"/>
          <w:color w:val="000000"/>
          <w:sz w:val="18"/>
          <w:szCs w:val="18"/>
        </w:rPr>
        <w:t>术服务业。本公司及各子公司根据实际生产经营特点，依据相关企业会计准则的规定，对收入确认、研究开发支出等交易和事项制定了若干项具体会计政策和会计估计，详见本附注“收入”、“无形资产”各项描述。关于管理层所作出的重大会计判断和估计的说明，请参阅附注“重大会计判断和估计”。</w:t>
      </w:r>
    </w:p>
    <w:p w:rsidR="007F3A90" w:rsidRDefault="00CC38FA">
      <w:pPr>
        <w:pStyle w:val="3"/>
        <w:spacing w:line="280" w:lineRule="exact"/>
        <w:jc w:val="left"/>
        <w:rPr>
          <w:rFonts w:ascii="宋体" w:hAnsi="宋体" w:cs="宋体"/>
          <w:b/>
          <w:bCs/>
        </w:rPr>
      </w:pPr>
      <w:bookmarkStart w:id="109" w:name="_Toc988998"/>
      <w:r>
        <w:rPr>
          <w:rFonts w:ascii="宋体" w:hAnsi="宋体" w:cs="宋体"/>
          <w:b/>
          <w:bCs/>
        </w:rPr>
        <w:t>1、遵循企业会计准则的声明</w:t>
      </w:r>
      <w:bookmarkEnd w:id="109"/>
    </w:p>
    <w:p w:rsidR="00CC38FA" w:rsidRDefault="00CC38FA">
      <w:pPr>
        <w:pStyle w:val="a3"/>
        <w:spacing w:before="0" w:beforeAutospacing="0" w:after="0" w:afterAutospacing="0"/>
        <w:ind w:firstLine="360"/>
        <w:divId w:val="449782671"/>
      </w:pPr>
      <w:r>
        <w:rPr>
          <w:rFonts w:hint="eastAsia"/>
          <w:sz w:val="18"/>
          <w:szCs w:val="18"/>
        </w:rPr>
        <w:t>本公司编制的财务报表符合企业会计准则的要求，真实、完整地反映了本公</w:t>
      </w:r>
      <w:r>
        <w:rPr>
          <w:rFonts w:hint="eastAsia"/>
          <w:color w:val="000000"/>
          <w:sz w:val="18"/>
          <w:szCs w:val="18"/>
        </w:rPr>
        <w:t>司2024年6月30日的合并及母公司财务状况及2024年1-6月的</w:t>
      </w:r>
      <w:r>
        <w:rPr>
          <w:rFonts w:hint="eastAsia"/>
          <w:sz w:val="18"/>
          <w:szCs w:val="18"/>
        </w:rPr>
        <w:t>合并及母公司经营成果和合并及母公司现金流量等有关信息。此外，本公司的财务报表在所有重大方面符合中国证券监督管理委员会2023年修订的《公开发行证券的公司信息披露编报规则第15号－财务报告的一般规定》有关财务报表及其附注的披露要求。</w:t>
      </w:r>
    </w:p>
    <w:p w:rsidR="007F3A90" w:rsidRDefault="00CC38FA">
      <w:pPr>
        <w:pStyle w:val="3"/>
        <w:spacing w:line="280" w:lineRule="exact"/>
        <w:jc w:val="left"/>
        <w:rPr>
          <w:rFonts w:ascii="宋体" w:hAnsi="宋体" w:cs="宋体"/>
          <w:b/>
          <w:bCs/>
        </w:rPr>
      </w:pPr>
      <w:bookmarkStart w:id="110" w:name="_Toc988999"/>
      <w:r>
        <w:rPr>
          <w:rFonts w:ascii="宋体" w:hAnsi="宋体" w:cs="宋体"/>
          <w:b/>
          <w:bCs/>
        </w:rPr>
        <w:t>2、会计期间</w:t>
      </w:r>
      <w:bookmarkEnd w:id="110"/>
    </w:p>
    <w:p w:rsidR="00CC38FA" w:rsidRDefault="00CC38FA">
      <w:pPr>
        <w:pStyle w:val="a3"/>
        <w:spacing w:before="0" w:beforeAutospacing="0" w:after="0" w:afterAutospacing="0"/>
        <w:ind w:firstLine="360"/>
        <w:divId w:val="1054356838"/>
      </w:pPr>
      <w:r>
        <w:rPr>
          <w:rFonts w:hint="eastAsia"/>
          <w:sz w:val="18"/>
          <w:szCs w:val="18"/>
        </w:rPr>
        <w:t>本公司的会计期间分为年度和中期，会计中期指短于一个完整的会计年度的报告期间。本公司会计年度采用公历年度，即每年自1月1日起至12月31日止。</w:t>
      </w:r>
    </w:p>
    <w:p w:rsidR="007F3A90" w:rsidRDefault="00CC38FA">
      <w:pPr>
        <w:pStyle w:val="3"/>
        <w:spacing w:line="280" w:lineRule="exact"/>
        <w:jc w:val="left"/>
        <w:rPr>
          <w:rFonts w:ascii="宋体" w:hAnsi="宋体" w:cs="宋体"/>
          <w:b/>
          <w:bCs/>
        </w:rPr>
      </w:pPr>
      <w:bookmarkStart w:id="111" w:name="_Toc989000"/>
      <w:r>
        <w:rPr>
          <w:rFonts w:ascii="宋体" w:hAnsi="宋体" w:cs="宋体"/>
          <w:b/>
          <w:bCs/>
        </w:rPr>
        <w:lastRenderedPageBreak/>
        <w:t>3、营业周期</w:t>
      </w:r>
      <w:bookmarkEnd w:id="111"/>
    </w:p>
    <w:p w:rsidR="00CC38FA" w:rsidRDefault="00CC38FA">
      <w:pPr>
        <w:pStyle w:val="a3"/>
        <w:spacing w:before="0" w:beforeAutospacing="0" w:after="0" w:afterAutospacing="0"/>
        <w:ind w:firstLine="360"/>
        <w:divId w:val="515310948"/>
      </w:pPr>
      <w:r>
        <w:rPr>
          <w:rFonts w:hint="eastAsia"/>
          <w:sz w:val="18"/>
          <w:szCs w:val="18"/>
        </w:rPr>
        <w:t>正常营业周期是指本公司从购买用于加工的资产起至实现现金或现金等价物的期间。本公司以12个月作为一个营业周期，并以其作为资产和负债的流动性划分标准。</w:t>
      </w:r>
    </w:p>
    <w:p w:rsidR="007F3A90" w:rsidRDefault="00CC38FA">
      <w:pPr>
        <w:pStyle w:val="3"/>
        <w:spacing w:line="280" w:lineRule="exact"/>
        <w:jc w:val="left"/>
        <w:rPr>
          <w:rFonts w:ascii="宋体" w:hAnsi="宋体" w:cs="宋体"/>
          <w:b/>
          <w:bCs/>
        </w:rPr>
      </w:pPr>
      <w:bookmarkStart w:id="112" w:name="_Toc989001"/>
      <w:r>
        <w:rPr>
          <w:rFonts w:ascii="宋体" w:hAnsi="宋体" w:cs="宋体"/>
          <w:b/>
          <w:bCs/>
        </w:rPr>
        <w:t>4、记账本位币</w:t>
      </w:r>
      <w:bookmarkEnd w:id="112"/>
    </w:p>
    <w:p w:rsidR="00CC38FA" w:rsidRDefault="00CC38FA">
      <w:pPr>
        <w:pStyle w:val="a3"/>
        <w:spacing w:before="0" w:beforeAutospacing="0" w:after="0" w:afterAutospacing="0"/>
        <w:ind w:firstLine="360"/>
        <w:divId w:val="1601713862"/>
      </w:pPr>
      <w:r>
        <w:rPr>
          <w:rFonts w:hint="eastAsia"/>
          <w:sz w:val="18"/>
          <w:szCs w:val="18"/>
        </w:rPr>
        <w:t>人民币为本公司及境内子公司经营所处的主要经济环境中的货币，本公司及境内子公司以人民币为记账本位币。本公司之境外子公司根据其经营所处的主要经济环境中的货币确定美元、欧元为其记账本位币。本公司编制本财务报表时所采用的货币为人民币。</w:t>
      </w:r>
    </w:p>
    <w:p w:rsidR="007F3A90" w:rsidRDefault="00CC38FA">
      <w:pPr>
        <w:pStyle w:val="3"/>
        <w:spacing w:line="280" w:lineRule="exact"/>
        <w:jc w:val="left"/>
        <w:rPr>
          <w:rFonts w:ascii="宋体" w:hAnsi="宋体" w:cs="宋体"/>
          <w:b/>
          <w:bCs/>
        </w:rPr>
      </w:pPr>
      <w:bookmarkStart w:id="113" w:name="_Toc989002"/>
      <w:r>
        <w:rPr>
          <w:rFonts w:ascii="宋体" w:hAnsi="宋体" w:cs="宋体"/>
          <w:b/>
          <w:bCs/>
        </w:rPr>
        <w:t>5、重要性标准确定方法和选择依据</w:t>
      </w:r>
      <w:bookmarkEnd w:id="113"/>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077"/>
        <w:gridCol w:w="5562"/>
      </w:tblGrid>
      <w:tr w:rsidR="007F3A90" w:rsidTr="00450763">
        <w:trPr>
          <w:trHeight w:val="240"/>
        </w:trPr>
        <w:tc>
          <w:tcPr>
            <w:tcW w:w="40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556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重要性标准</w:t>
            </w:r>
          </w:p>
        </w:tc>
      </w:tr>
      <w:tr w:rsidR="007F3A90" w:rsidTr="00450763">
        <w:trPr>
          <w:trHeight w:val="240"/>
        </w:trPr>
        <w:tc>
          <w:tcPr>
            <w:tcW w:w="40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重要的单项计提坏账准备的应收款项</w:t>
            </w:r>
          </w:p>
        </w:tc>
        <w:tc>
          <w:tcPr>
            <w:tcW w:w="556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公司将单项计提坏账准备的应收账款金额超过资产总额0.5%的认定为重要的单项计提坏账准备的应收账款。</w:t>
            </w:r>
          </w:p>
        </w:tc>
      </w:tr>
      <w:tr w:rsidR="007F3A90" w:rsidTr="00450763">
        <w:trPr>
          <w:trHeight w:val="240"/>
        </w:trPr>
        <w:tc>
          <w:tcPr>
            <w:tcW w:w="40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重要的应收账款坏账准备收回或转回</w:t>
            </w:r>
          </w:p>
        </w:tc>
        <w:tc>
          <w:tcPr>
            <w:tcW w:w="556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公司将单项应收账款坏账准备收回或转回金额超过资产总额0.5%的应收账款认定为重要的应收账款坏账准备收回或转回。</w:t>
            </w:r>
          </w:p>
        </w:tc>
      </w:tr>
      <w:tr w:rsidR="007F3A90" w:rsidTr="00450763">
        <w:trPr>
          <w:trHeight w:val="240"/>
        </w:trPr>
        <w:tc>
          <w:tcPr>
            <w:tcW w:w="40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重要的核销应收账款</w:t>
            </w:r>
          </w:p>
        </w:tc>
        <w:tc>
          <w:tcPr>
            <w:tcW w:w="556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公司将单项应收账款核销金额超过资产总额0.5%的应收账款认定为重要的核销应收账款。</w:t>
            </w:r>
          </w:p>
        </w:tc>
      </w:tr>
      <w:tr w:rsidR="007F3A90" w:rsidTr="00450763">
        <w:trPr>
          <w:trHeight w:val="240"/>
        </w:trPr>
        <w:tc>
          <w:tcPr>
            <w:tcW w:w="40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重要的在建工程项目</w:t>
            </w:r>
          </w:p>
        </w:tc>
        <w:tc>
          <w:tcPr>
            <w:tcW w:w="556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公司将单项在建工程预算超过1亿元的在建工程认定为重要在建工程。</w:t>
            </w:r>
          </w:p>
        </w:tc>
      </w:tr>
      <w:tr w:rsidR="007F3A90" w:rsidTr="00450763">
        <w:trPr>
          <w:trHeight w:val="240"/>
        </w:trPr>
        <w:tc>
          <w:tcPr>
            <w:tcW w:w="40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重要的非全资子公司</w:t>
            </w:r>
          </w:p>
        </w:tc>
        <w:tc>
          <w:tcPr>
            <w:tcW w:w="556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子公司净利润占集团净利润10%或营业收入占集团营业收入10%以上的认定为重要的非全资子公司。</w:t>
            </w:r>
          </w:p>
        </w:tc>
      </w:tr>
      <w:tr w:rsidR="007F3A90" w:rsidTr="00450763">
        <w:trPr>
          <w:trHeight w:val="240"/>
        </w:trPr>
        <w:tc>
          <w:tcPr>
            <w:tcW w:w="40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重要的合营企业或联营企业</w:t>
            </w:r>
          </w:p>
        </w:tc>
        <w:tc>
          <w:tcPr>
            <w:tcW w:w="556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对单个被投资单位的长期股权投资账面价值超过资产总额0.5%或账面价值高于5000万元的认定为重要的合营企业或联营企业。</w:t>
            </w:r>
          </w:p>
        </w:tc>
      </w:tr>
    </w:tbl>
    <w:p w:rsidR="007F3A90" w:rsidRDefault="00CC38FA">
      <w:pPr>
        <w:pStyle w:val="3"/>
        <w:spacing w:line="280" w:lineRule="exact"/>
        <w:jc w:val="left"/>
        <w:rPr>
          <w:rFonts w:ascii="宋体" w:hAnsi="宋体" w:cs="宋体"/>
          <w:b/>
          <w:bCs/>
        </w:rPr>
      </w:pPr>
      <w:bookmarkStart w:id="114" w:name="_Toc989003"/>
      <w:r>
        <w:rPr>
          <w:rFonts w:ascii="宋体" w:hAnsi="宋体" w:cs="宋体"/>
          <w:b/>
          <w:bCs/>
        </w:rPr>
        <w:t>6、同一控制下和非同一控制下企业合并的会计处理方法</w:t>
      </w:r>
      <w:bookmarkEnd w:id="114"/>
    </w:p>
    <w:p w:rsidR="00CC38FA" w:rsidRDefault="00CC38FA">
      <w:pPr>
        <w:pStyle w:val="a3"/>
        <w:spacing w:before="0" w:beforeAutospacing="0" w:after="0" w:afterAutospacing="0"/>
        <w:ind w:firstLine="360"/>
        <w:divId w:val="1403025034"/>
      </w:pPr>
      <w:r>
        <w:rPr>
          <w:rFonts w:hint="eastAsia"/>
          <w:sz w:val="18"/>
          <w:szCs w:val="18"/>
        </w:rPr>
        <w:t>企业合并，是指将两个或两个以上单独的企业合并形成一个报告主体的交易或事项。企业合并分为同一控制下企业合并和非同一控制下企业合并。</w:t>
      </w:r>
    </w:p>
    <w:p w:rsidR="00CC38FA" w:rsidRDefault="00CC38FA">
      <w:pPr>
        <w:pStyle w:val="a3"/>
        <w:spacing w:before="0" w:beforeAutospacing="0" w:after="0" w:afterAutospacing="0"/>
        <w:ind w:firstLine="360"/>
        <w:divId w:val="1403025034"/>
      </w:pPr>
      <w:r>
        <w:rPr>
          <w:rFonts w:hint="eastAsia"/>
          <w:sz w:val="18"/>
          <w:szCs w:val="18"/>
        </w:rPr>
        <w:t>（1）同一控制下企业合并</w:t>
      </w:r>
    </w:p>
    <w:p w:rsidR="00CC38FA" w:rsidRDefault="00CC38FA">
      <w:pPr>
        <w:pStyle w:val="a3"/>
        <w:spacing w:before="0" w:beforeAutospacing="0" w:after="0" w:afterAutospacing="0"/>
        <w:ind w:firstLine="360"/>
        <w:divId w:val="1403025034"/>
      </w:pPr>
      <w:r>
        <w:rPr>
          <w:rFonts w:hint="eastAsia"/>
          <w:sz w:val="18"/>
          <w:szCs w:val="18"/>
        </w:rPr>
        <w:t>参与合并的企业在合并前后均受同一方或相同的多方最终控制，且该控制并非暂时性的，为同一控制下的企业合并。同一控制下的企业合并，在合并日取得对其他参与合并企业控制权的一方为合并方，参与合并的其他企业为被合并方。合并日，是指合并方实际取得对被合并方控制权的日期。</w:t>
      </w:r>
    </w:p>
    <w:p w:rsidR="00CC38FA" w:rsidRDefault="00CC38FA">
      <w:pPr>
        <w:pStyle w:val="a3"/>
        <w:spacing w:before="0" w:beforeAutospacing="0" w:after="0" w:afterAutospacing="0"/>
        <w:ind w:firstLine="360"/>
        <w:divId w:val="1403025034"/>
      </w:pPr>
      <w:r>
        <w:rPr>
          <w:rFonts w:hint="eastAsia"/>
          <w:sz w:val="18"/>
          <w:szCs w:val="18"/>
        </w:rPr>
        <w:t>公司在企业合并中取得的资产和负债，按照合并日被合并方资产、负债（包括最终控制方收购被合并方形成的商誉）在最终控制方合并财务报表中的账面价值计量；取得的净资产账面价值与支付的合并对价账面价值（或发行股份面值总额）的差额，调整资本公积中的股本溢价，资本公积中股本溢价不足冲减的，调整留存收益。</w:t>
      </w:r>
    </w:p>
    <w:p w:rsidR="00CC38FA" w:rsidRDefault="00CC38FA">
      <w:pPr>
        <w:pStyle w:val="a3"/>
        <w:spacing w:before="0" w:beforeAutospacing="0" w:after="0" w:afterAutospacing="0"/>
        <w:ind w:firstLine="360"/>
        <w:divId w:val="1403025034"/>
      </w:pPr>
      <w:r>
        <w:rPr>
          <w:rFonts w:hint="eastAsia"/>
          <w:sz w:val="18"/>
          <w:szCs w:val="18"/>
        </w:rPr>
        <w:t>合并方为进行企业合并发生的各项直接费用，于发生时计入当期损益。</w:t>
      </w:r>
    </w:p>
    <w:p w:rsidR="00CC38FA" w:rsidRDefault="00CC38FA">
      <w:pPr>
        <w:pStyle w:val="a3"/>
        <w:spacing w:before="0" w:beforeAutospacing="0" w:after="0" w:afterAutospacing="0"/>
        <w:ind w:firstLine="360"/>
        <w:divId w:val="1403025034"/>
      </w:pPr>
      <w:r>
        <w:rPr>
          <w:rFonts w:hint="eastAsia"/>
          <w:sz w:val="18"/>
          <w:szCs w:val="18"/>
        </w:rPr>
        <w:t>（2）非同一控制下企业合并</w:t>
      </w:r>
    </w:p>
    <w:p w:rsidR="00CC38FA" w:rsidRDefault="00CC38FA">
      <w:pPr>
        <w:pStyle w:val="a3"/>
        <w:spacing w:before="0" w:beforeAutospacing="0" w:after="0" w:afterAutospacing="0"/>
        <w:ind w:firstLine="360"/>
        <w:divId w:val="1403025034"/>
      </w:pPr>
      <w:r>
        <w:rPr>
          <w:rFonts w:hint="eastAsia"/>
          <w:sz w:val="18"/>
          <w:szCs w:val="18"/>
        </w:rPr>
        <w:t>参与合并的企业在合并前后不受同一方或相同的多方最终控制的，为非同一控制下的企业合并。非同一控制下的企业合并，在购买日取得对其他参与合并企业控制权的一方为购买方，参与合并的其他企业为被购买方。购买日，是指为购买方实际取得对被购买方控制权的日期。</w:t>
      </w:r>
    </w:p>
    <w:p w:rsidR="00CC38FA" w:rsidRDefault="00CC38FA">
      <w:pPr>
        <w:pStyle w:val="a3"/>
        <w:spacing w:before="0" w:beforeAutospacing="0" w:after="0" w:afterAutospacing="0"/>
        <w:ind w:firstLine="360"/>
        <w:divId w:val="1403025034"/>
      </w:pPr>
      <w:r>
        <w:rPr>
          <w:rFonts w:hint="eastAsia"/>
          <w:sz w:val="18"/>
          <w:szCs w:val="18"/>
        </w:rPr>
        <w:t>对于非同一控制下的企业合并，合并成本包含购买日购买方为取得对被购买方的控制权而付出的资产、发生或承担的负债以及发行的权益性证券的公允价值，为企业合并发生的审计、法律服务、评估咨询等中介费用以及其他管理费用于发生时计入当期损益。购买方作为合并对价发行的权益性证券或债务性证券的交易费用，计入权益性证券或债务性证券的初始确认金额。所涉及的或有对价按其在购买日的公允价值计入合并成本，购买日后12个月内出现对购买日已存在</w:t>
      </w:r>
      <w:r>
        <w:rPr>
          <w:rFonts w:hint="eastAsia"/>
          <w:sz w:val="18"/>
          <w:szCs w:val="18"/>
        </w:rPr>
        <w:lastRenderedPageBreak/>
        <w:t>情况的新的或进一步证据而需要调整或有对价的，相应调整合并商誉。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其差额计入当期损益。</w:t>
      </w:r>
    </w:p>
    <w:p w:rsidR="00CC38FA" w:rsidRDefault="00CC38FA">
      <w:pPr>
        <w:pStyle w:val="a3"/>
        <w:spacing w:before="0" w:beforeAutospacing="0" w:after="0" w:afterAutospacing="0"/>
        <w:ind w:firstLine="360"/>
        <w:divId w:val="1403025034"/>
      </w:pPr>
      <w:r>
        <w:rPr>
          <w:rFonts w:hint="eastAsia"/>
          <w:sz w:val="18"/>
          <w:szCs w:val="18"/>
        </w:rPr>
        <w:t>购买方取得被购买方的可抵扣暂时性差异，在购买日因不符合递延所得税资产确认条件而未予确认的，在购买日后12个月内，如取得新的或进一步的信息表明购买日的相关情况已经存在，预期被购买方在购买日可抵扣暂时性差异带来的经济利益能够实现的，则确认相关的递延所得税资产，同时减少商誉，商誉不足冲减的，差额部分确认为当期损益；除上述情况以外，确认与企业合并相关的递延所得税资产的，计入当期损益。</w:t>
      </w:r>
    </w:p>
    <w:p w:rsidR="00CC38FA" w:rsidRDefault="00CC38FA">
      <w:pPr>
        <w:pStyle w:val="a3"/>
        <w:spacing w:before="0" w:beforeAutospacing="0" w:after="0" w:afterAutospacing="0"/>
        <w:ind w:firstLine="360"/>
        <w:divId w:val="1403025034"/>
      </w:pPr>
      <w:r>
        <w:rPr>
          <w:rFonts w:hint="eastAsia"/>
          <w:sz w:val="18"/>
          <w:szCs w:val="18"/>
        </w:rPr>
        <w:t>通过多次交易分步实现的非同一控制下企业合并，属于“一揽子交易”的，参考本部分前面各段描述及</w:t>
      </w:r>
      <w:r>
        <w:rPr>
          <w:rFonts w:hint="eastAsia"/>
          <w:color w:val="000000"/>
          <w:sz w:val="18"/>
          <w:szCs w:val="18"/>
        </w:rPr>
        <w:t>本附注“</w:t>
      </w:r>
      <w:r>
        <w:rPr>
          <w:rFonts w:hint="eastAsia"/>
          <w:sz w:val="18"/>
          <w:szCs w:val="18"/>
        </w:rPr>
        <w:t>长期股权投资”进行会计处理；不属于“一揽子交易”的，区分个别财务报表和合并财务报表进行相关会计处理：</w:t>
      </w:r>
    </w:p>
    <w:p w:rsidR="00CC38FA" w:rsidRDefault="00CC38FA">
      <w:pPr>
        <w:pStyle w:val="a3"/>
        <w:spacing w:before="0" w:beforeAutospacing="0" w:after="0" w:afterAutospacing="0"/>
        <w:ind w:firstLine="360"/>
        <w:divId w:val="1403025034"/>
      </w:pPr>
      <w:r>
        <w:rPr>
          <w:rFonts w:hint="eastAsia"/>
          <w:sz w:val="18"/>
          <w:szCs w:val="18"/>
        </w:rPr>
        <w:t>在个别财务报表中，以购买日之前所持被购买方的股权投资的账面价值与购买日新增投资成本之和，作为该项投资的初始投资成本；购买日之前持有的被购买方的股权涉及其他综合收益的，在处置该项投资时将与其相关的其他综合收益采用与被购买方直接处置相关资产或负债相同的基础进行会计处理（即，除了按照权益法核算的在被购买方重新计量设定受益计划净负债或净资产导致的变动中的相应份额以外，其余转入当期投资收益）。</w:t>
      </w:r>
    </w:p>
    <w:p w:rsidR="00CC38FA" w:rsidRDefault="00CC38FA">
      <w:pPr>
        <w:pStyle w:val="a3"/>
        <w:spacing w:before="0" w:beforeAutospacing="0" w:after="0" w:afterAutospacing="0"/>
        <w:ind w:firstLine="360"/>
        <w:divId w:val="1403025034"/>
      </w:pPr>
      <w:r>
        <w:rPr>
          <w:rFonts w:hint="eastAsia"/>
          <w:sz w:val="18"/>
          <w:szCs w:val="18"/>
        </w:rPr>
        <w:t>在合并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应当采用与被购买方直接处置相关资产或负债相同的基础进行会计处理（即，除了按照权益法核算的在被购买方重新计量设定受益计划净负债或净资产导致的变动中的相应份额以外，其余转为购买日所属当期投资收益）。</w:t>
      </w:r>
    </w:p>
    <w:p w:rsidR="007F3A90" w:rsidRDefault="00CC38FA">
      <w:pPr>
        <w:pStyle w:val="3"/>
        <w:spacing w:line="280" w:lineRule="exact"/>
        <w:jc w:val="left"/>
        <w:rPr>
          <w:rFonts w:ascii="宋体" w:hAnsi="宋体" w:cs="宋体"/>
          <w:b/>
          <w:bCs/>
        </w:rPr>
      </w:pPr>
      <w:bookmarkStart w:id="115" w:name="_Toc989004"/>
      <w:r>
        <w:rPr>
          <w:rFonts w:ascii="宋体" w:hAnsi="宋体" w:cs="宋体"/>
          <w:b/>
          <w:bCs/>
        </w:rPr>
        <w:t>7、控制的判断标准和合并财务报表的编制方法</w:t>
      </w:r>
      <w:bookmarkEnd w:id="115"/>
    </w:p>
    <w:p w:rsidR="00CC38FA" w:rsidRDefault="00CC38FA">
      <w:pPr>
        <w:pStyle w:val="a3"/>
        <w:spacing w:before="0" w:beforeAutospacing="0" w:after="0" w:afterAutospacing="0"/>
        <w:ind w:firstLine="360"/>
        <w:divId w:val="1033310309"/>
      </w:pPr>
      <w:r>
        <w:rPr>
          <w:rFonts w:hint="eastAsia"/>
          <w:sz w:val="18"/>
          <w:szCs w:val="18"/>
        </w:rPr>
        <w:t>（1）控制的判断标准</w:t>
      </w:r>
    </w:p>
    <w:p w:rsidR="00CC38FA" w:rsidRDefault="00CC38FA">
      <w:pPr>
        <w:pStyle w:val="a3"/>
        <w:spacing w:before="0" w:beforeAutospacing="0" w:after="0" w:afterAutospacing="0"/>
        <w:ind w:firstLine="360"/>
        <w:divId w:val="1033310309"/>
      </w:pPr>
      <w:r>
        <w:rPr>
          <w:rFonts w:hint="eastAsia"/>
          <w:sz w:val="18"/>
          <w:szCs w:val="18"/>
        </w:rPr>
        <w:t>合并财务报表的合并范围以控制为基础予以确定。控制是指本公司拥有对被投资方的权力，通过参与被投资方的相关活动而享有可变回报，并且有能力运用对被投资方的权力影响该回报金额。通常包括母公司拥有其半数以上的表决权的被投资单位和公司虽拥有其半数以下的表决权但通过与被投资单位其他投资者之间的协议，拥有被投资单位半数以上表决权；根据公司章程或协议，有权决定被投资单位的财务和经营决策；有权任免被投资单位的董事会的多数成员；在被投资单位董事会占多数表决权。</w:t>
      </w:r>
    </w:p>
    <w:p w:rsidR="00CC38FA" w:rsidRDefault="00CC38FA">
      <w:pPr>
        <w:pStyle w:val="a3"/>
        <w:spacing w:before="0" w:beforeAutospacing="0" w:after="0" w:afterAutospacing="0"/>
        <w:ind w:firstLine="360"/>
        <w:divId w:val="1033310309"/>
      </w:pPr>
      <w:r>
        <w:rPr>
          <w:rFonts w:hint="eastAsia"/>
          <w:sz w:val="18"/>
          <w:szCs w:val="18"/>
        </w:rPr>
        <w:t>（2）合并财务报表编制的方法</w:t>
      </w:r>
    </w:p>
    <w:p w:rsidR="00CC38FA" w:rsidRDefault="00CC38FA">
      <w:pPr>
        <w:pStyle w:val="a3"/>
        <w:spacing w:before="0" w:beforeAutospacing="0" w:after="0" w:afterAutospacing="0"/>
        <w:ind w:firstLine="360"/>
        <w:divId w:val="1033310309"/>
      </w:pPr>
      <w:r>
        <w:rPr>
          <w:rFonts w:hint="eastAsia"/>
          <w:sz w:val="18"/>
          <w:szCs w:val="18"/>
        </w:rPr>
        <w:t>从取得子公司的净资产和生产经营决策的实际控制权之日起，本公司开始将其纳入合并范围；从丧失实际控制权之日起停止纳入合并范围。对于处置的子公司，处置日前的经营成果和现金流量已经适当地包括在合并利润表和合并现金流量表中；当期处置的子公司，不调整合并资产负债表的期初数。非同一控制下企业合并增加的子公司，其购买日后的经营成果及现金流量已经适当地包括在合并利润表和合并现金流量表中，且不调整合并财务报表的期初数和对比数。同一控制下企业合并增加的子公司及吸收合并下的被合并方，其自合并当期期初至合并日的经营成果和现金流量已经适当地包括在合并利润表和合并现金流量表中，并且同时调整合并财务报表的对比数。</w:t>
      </w:r>
    </w:p>
    <w:p w:rsidR="00CC38FA" w:rsidRDefault="00CC38FA">
      <w:pPr>
        <w:pStyle w:val="a3"/>
        <w:spacing w:before="0" w:beforeAutospacing="0" w:after="0" w:afterAutospacing="0"/>
        <w:ind w:firstLine="360"/>
        <w:divId w:val="1033310309"/>
      </w:pPr>
      <w:r>
        <w:rPr>
          <w:rFonts w:hint="eastAsia"/>
          <w:sz w:val="18"/>
          <w:szCs w:val="18"/>
        </w:rPr>
        <w:t>在编制合并财务报表时，子公司与本公司采用的会计政策或会计期间不一致的，按照本公司的会计政策和会计期间对子公司财务报表进行必要的调整。对于非同一控制下企业合并取得的子公司，以购买日可辨认净资产公允价值为基础对其财务报表进行调整。</w:t>
      </w:r>
    </w:p>
    <w:p w:rsidR="00CC38FA" w:rsidRDefault="00CC38FA">
      <w:pPr>
        <w:pStyle w:val="a3"/>
        <w:spacing w:before="0" w:beforeAutospacing="0" w:after="0" w:afterAutospacing="0"/>
        <w:ind w:firstLine="360"/>
        <w:divId w:val="1033310309"/>
      </w:pPr>
      <w:r>
        <w:rPr>
          <w:rFonts w:hint="eastAsia"/>
          <w:sz w:val="18"/>
          <w:szCs w:val="18"/>
        </w:rPr>
        <w:t>公司内所有重大往来余额、交易及未实现利润在合并财务报表编制时予以抵销。</w:t>
      </w:r>
    </w:p>
    <w:p w:rsidR="00CC38FA" w:rsidRDefault="00CC38FA">
      <w:pPr>
        <w:pStyle w:val="a3"/>
        <w:spacing w:before="0" w:beforeAutospacing="0" w:after="0" w:afterAutospacing="0"/>
        <w:ind w:firstLine="360"/>
        <w:divId w:val="1033310309"/>
      </w:pPr>
      <w:r>
        <w:rPr>
          <w:rFonts w:hint="eastAsia"/>
          <w:sz w:val="18"/>
          <w:szCs w:val="18"/>
        </w:rPr>
        <w:t>子公司的股东权益及当期净损益中不属于本公司所拥有的部分分别作为少数股东权益及少数股东损益在合并财务报表中股东权益及净利润项下单独列示。子公司当期净损益中属于少数股东权益的份额，在合并利润表中净利润项目下以“少数股东损益”项目列示。少数股东分担的子公司的亏损超过了少数股东在该子公司期初股东权益中所享有的份额，仍冲减少数股东权益。</w:t>
      </w:r>
    </w:p>
    <w:p w:rsidR="00CC38FA" w:rsidRDefault="00CC38FA">
      <w:pPr>
        <w:pStyle w:val="a3"/>
        <w:spacing w:before="0" w:beforeAutospacing="0" w:after="0" w:afterAutospacing="0"/>
        <w:ind w:firstLine="360"/>
        <w:divId w:val="1033310309"/>
      </w:pPr>
      <w:r>
        <w:rPr>
          <w:rFonts w:hint="eastAsia"/>
          <w:sz w:val="18"/>
          <w:szCs w:val="18"/>
        </w:rPr>
        <w:t>当因处置部分股权投资或其他原因丧失</w:t>
      </w:r>
      <w:r>
        <w:rPr>
          <w:rFonts w:hint="eastAsia"/>
          <w:color w:val="000000"/>
          <w:sz w:val="18"/>
          <w:szCs w:val="18"/>
        </w:rPr>
        <w:t>了对原有子公司的控制权时，对于剩余股权，按照其在丧失控制权日的公允价值进行重新计量。处置股权取得的对价与剩余股权公允价值之和，减去按原持股比例计算应享有原有子公司自购买日</w:t>
      </w:r>
      <w:r>
        <w:rPr>
          <w:rFonts w:hint="eastAsia"/>
          <w:color w:val="000000"/>
          <w:sz w:val="18"/>
          <w:szCs w:val="18"/>
        </w:rPr>
        <w:lastRenderedPageBreak/>
        <w:t>开始持续计算的净资产的份额之间的差额，计入丧失控制权当期的投资收益。与原有子公司股权投资相关的其他综合收益，在丧失控制权时采用与被购买方直接处置相关资产或负债相同的基础进行会计处理（即，除了在该原有子公司重新计量设定受益计划净负债或净资产导致的变动以外，其余一并转为当期投资收益）。其后，对该部分剩余股权按照《企业会计准则第2号——长期股权投资》或《企业会计准则第22号——金融工具确认和计量》等相关规定进行后续计量，详见本附注“长期股权投资”或本附注“金融工具”。</w:t>
      </w:r>
    </w:p>
    <w:p w:rsidR="00CC38FA" w:rsidRDefault="00CC38FA">
      <w:pPr>
        <w:pStyle w:val="a3"/>
        <w:spacing w:before="0" w:beforeAutospacing="0" w:after="0" w:afterAutospacing="0"/>
        <w:ind w:firstLine="360"/>
        <w:divId w:val="1033310309"/>
      </w:pPr>
      <w:r>
        <w:rPr>
          <w:rFonts w:hint="eastAsia"/>
          <w:color w:val="000000"/>
          <w:sz w:val="18"/>
          <w:szCs w:val="18"/>
        </w:rPr>
        <w:t>本公司通过多次交易分步处置对子公司股权投资直至丧失控制权的，需区分处置对子公司股权投资直至丧失控制权的各项交易是否属于一揽子交易。处置对子公司股权投资的各项交易的条款、条件以及经济影响符合以下一种或多种情况，通常表明应将多次交易事项作为一揽子交易进行会计处理：①这些交易是同时或者在考虑了彼此影响的情况下订立的；②这些交易整体才能达成一项完整的商业结果；③一项交易的发生取决于其他至少一项交易的发生；④一项交易单独看是不经济的，但是和其他交易一并考虑时是经济的。不属于一揽子交易的，对其中的每一项交易视情况分别按照“不丧失控制权的情况下部分处置对子公司的长期股权投资”（详见本附注长期股权投资（2）④）和“因处置部分股权投资或其他原因丧失了对原有子公司的控制权”（详见前段）适用的原则进行会计处理。处置对子公司股权投资直至丧失控制权的各项交易属于一揽子交易的，将各项交</w:t>
      </w:r>
      <w:r>
        <w:rPr>
          <w:rFonts w:hint="eastAsia"/>
          <w:sz w:val="18"/>
          <w:szCs w:val="18"/>
        </w:rPr>
        <w:t>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rsidR="007F3A90" w:rsidRDefault="00CC38FA">
      <w:pPr>
        <w:pStyle w:val="3"/>
        <w:spacing w:line="280" w:lineRule="exact"/>
        <w:jc w:val="left"/>
        <w:rPr>
          <w:rFonts w:ascii="宋体" w:hAnsi="宋体" w:cs="宋体"/>
          <w:b/>
          <w:bCs/>
        </w:rPr>
      </w:pPr>
      <w:bookmarkStart w:id="116" w:name="_Toc989005"/>
      <w:r>
        <w:rPr>
          <w:rFonts w:ascii="宋体" w:hAnsi="宋体" w:cs="宋体"/>
          <w:b/>
          <w:bCs/>
        </w:rPr>
        <w:t>8、合营安排分类及共同经营会计处理方法</w:t>
      </w:r>
      <w:bookmarkEnd w:id="116"/>
    </w:p>
    <w:p w:rsidR="00CC38FA" w:rsidRDefault="00CC38FA">
      <w:pPr>
        <w:pStyle w:val="a3"/>
        <w:spacing w:before="0" w:beforeAutospacing="0" w:after="0" w:afterAutospacing="0"/>
        <w:ind w:firstLine="360"/>
        <w:divId w:val="293289466"/>
      </w:pPr>
      <w:r>
        <w:rPr>
          <w:rFonts w:hint="eastAsia"/>
          <w:sz w:val="18"/>
          <w:szCs w:val="18"/>
        </w:rPr>
        <w:t>合营安排，是指一项由两个或两个以上的参与方共同控制的安排。本公司根据在合营安排中享有的权利和承担的义务，将合营安排分为共同经营和合营企业。共同经营，是指本公司享有该安排相关资产且承担该安排相关负债的合营安排。合营企业，是指本公司仅对该安排的净资产享有权利的合营安排。</w:t>
      </w:r>
    </w:p>
    <w:p w:rsidR="00CC38FA" w:rsidRDefault="00CC38FA">
      <w:pPr>
        <w:pStyle w:val="a3"/>
        <w:spacing w:before="0" w:beforeAutospacing="0" w:after="0" w:afterAutospacing="0"/>
        <w:ind w:firstLine="360"/>
        <w:divId w:val="293289466"/>
      </w:pPr>
      <w:r>
        <w:rPr>
          <w:rFonts w:hint="eastAsia"/>
          <w:sz w:val="18"/>
          <w:szCs w:val="18"/>
        </w:rPr>
        <w:t>本公司对合营企业的投资采用权益法核算，按照</w:t>
      </w:r>
      <w:r>
        <w:rPr>
          <w:rFonts w:hint="eastAsia"/>
          <w:color w:val="000000"/>
          <w:sz w:val="18"/>
          <w:szCs w:val="18"/>
        </w:rPr>
        <w:t>本附注长期股权</w:t>
      </w:r>
      <w:r>
        <w:rPr>
          <w:rFonts w:hint="eastAsia"/>
          <w:sz w:val="18"/>
          <w:szCs w:val="18"/>
        </w:rPr>
        <w:t>投资（2）②“权益法核算的长期股权投资”中所述的会计政策处理。</w:t>
      </w:r>
    </w:p>
    <w:p w:rsidR="00CC38FA" w:rsidRDefault="00CC38FA">
      <w:pPr>
        <w:pStyle w:val="a3"/>
        <w:spacing w:before="0" w:beforeAutospacing="0" w:after="0" w:afterAutospacing="0"/>
        <w:ind w:firstLine="360"/>
        <w:divId w:val="293289466"/>
      </w:pPr>
      <w:r>
        <w:rPr>
          <w:rFonts w:hint="eastAsia"/>
          <w:sz w:val="18"/>
          <w:szCs w:val="18"/>
        </w:rPr>
        <w:t>本公司作为合营方对共同经营，确认本公司单独持有的资产、单独所承担的负债，以及按本公司份额确认共同持有的资产和共同承担的负债；确认出售本公司享有的共同经营产出份额所产生的收入；按本公司份额确认共同经营因出售产出所产生的收入；确认本公司单独所发生的费用，以及按本公司份额确认共同经营发生的费用。</w:t>
      </w:r>
    </w:p>
    <w:p w:rsidR="00CC38FA" w:rsidRDefault="00CC38FA">
      <w:pPr>
        <w:pStyle w:val="a3"/>
        <w:spacing w:before="0" w:beforeAutospacing="0" w:after="0" w:afterAutospacing="0"/>
        <w:ind w:firstLine="360"/>
        <w:divId w:val="293289466"/>
      </w:pPr>
      <w:r>
        <w:rPr>
          <w:rFonts w:hint="eastAsia"/>
          <w:sz w:val="18"/>
          <w:szCs w:val="18"/>
        </w:rPr>
        <w:t>当本公司作为合营方向共同经营投出或出售资产（该资产不构成业务，下同）、或者自共同经营购买资产时，在该等资产出售给第三方之前，本公司仅确认因该交易产生的损益中归属于共同经营其他参与方的部分。该等资产发生符合《企业会计准则第8号——资产减值》等规定的资产减值损失的，对于由本公司向共同经营投出或出售资产的情况，本公司全额确认该损失；对于本公司自共同经营购买资产的情况，本公司按承担的份额确认该损失。</w:t>
      </w:r>
    </w:p>
    <w:p w:rsidR="007F3A90" w:rsidRDefault="00CC38FA">
      <w:pPr>
        <w:pStyle w:val="3"/>
        <w:spacing w:line="280" w:lineRule="exact"/>
        <w:jc w:val="left"/>
        <w:rPr>
          <w:rFonts w:ascii="宋体" w:hAnsi="宋体" w:cs="宋体"/>
          <w:b/>
          <w:bCs/>
        </w:rPr>
      </w:pPr>
      <w:bookmarkStart w:id="117" w:name="_Toc989006"/>
      <w:r>
        <w:rPr>
          <w:rFonts w:ascii="宋体" w:hAnsi="宋体" w:cs="宋体"/>
          <w:b/>
          <w:bCs/>
        </w:rPr>
        <w:t>9、现金及现金等价物的确定标准</w:t>
      </w:r>
      <w:bookmarkEnd w:id="117"/>
    </w:p>
    <w:p w:rsidR="00CC38FA" w:rsidRDefault="00CC38FA">
      <w:pPr>
        <w:pStyle w:val="a3"/>
        <w:spacing w:before="0" w:beforeAutospacing="0" w:after="0" w:afterAutospacing="0"/>
        <w:ind w:firstLine="360"/>
        <w:divId w:val="1235120652"/>
      </w:pPr>
      <w:r>
        <w:rPr>
          <w:rFonts w:hint="eastAsia"/>
          <w:sz w:val="18"/>
          <w:szCs w:val="18"/>
        </w:rPr>
        <w:t>本公司现金及现金等价物包括库存现金、可以随时用于支付的存款以及本公司持有的期限短（一般为从购买日起三个月内到期）、流动性强、易于转换为已知金额现金、价值变动风险很小的投资。</w:t>
      </w:r>
    </w:p>
    <w:p w:rsidR="007F3A90" w:rsidRDefault="00CC38FA">
      <w:pPr>
        <w:pStyle w:val="3"/>
        <w:spacing w:line="280" w:lineRule="exact"/>
        <w:jc w:val="left"/>
        <w:rPr>
          <w:rFonts w:ascii="宋体" w:hAnsi="宋体" w:cs="宋体"/>
          <w:b/>
          <w:bCs/>
        </w:rPr>
      </w:pPr>
      <w:bookmarkStart w:id="118" w:name="_Toc989007"/>
      <w:r>
        <w:rPr>
          <w:rFonts w:ascii="宋体" w:hAnsi="宋体" w:cs="宋体"/>
          <w:b/>
          <w:bCs/>
        </w:rPr>
        <w:t>10、外币业务和外币报表折算</w:t>
      </w:r>
      <w:bookmarkEnd w:id="118"/>
    </w:p>
    <w:p w:rsidR="00CC38FA" w:rsidRDefault="00CC38FA">
      <w:pPr>
        <w:pStyle w:val="a3"/>
        <w:spacing w:before="0" w:beforeAutospacing="0" w:after="0" w:afterAutospacing="0"/>
        <w:ind w:firstLine="360"/>
        <w:divId w:val="1339389485"/>
      </w:pPr>
      <w:r>
        <w:rPr>
          <w:rFonts w:hint="eastAsia"/>
          <w:sz w:val="18"/>
          <w:szCs w:val="18"/>
        </w:rPr>
        <w:t>（1）外币交易的折算方法</w:t>
      </w:r>
    </w:p>
    <w:p w:rsidR="00CC38FA" w:rsidRDefault="00CC38FA">
      <w:pPr>
        <w:pStyle w:val="a3"/>
        <w:spacing w:before="0" w:beforeAutospacing="0" w:after="0" w:afterAutospacing="0"/>
        <w:ind w:firstLine="360"/>
        <w:divId w:val="1339389485"/>
      </w:pPr>
      <w:r>
        <w:rPr>
          <w:rFonts w:hint="eastAsia"/>
          <w:sz w:val="18"/>
          <w:szCs w:val="18"/>
        </w:rPr>
        <w:t>本公司发生的外币交易在初始确认时，按交易日的即期汇率的近似汇率折算为记账本位币金额，但公司发生的外币兑换业务或涉及外币兑换的交易事项，按照实际采用的汇率折算为记账本位币金额。</w:t>
      </w:r>
    </w:p>
    <w:p w:rsidR="00CC38FA" w:rsidRDefault="00CC38FA">
      <w:pPr>
        <w:pStyle w:val="a3"/>
        <w:spacing w:before="0" w:beforeAutospacing="0" w:after="0" w:afterAutospacing="0"/>
        <w:ind w:firstLine="360"/>
        <w:divId w:val="1339389485"/>
      </w:pPr>
      <w:r>
        <w:rPr>
          <w:rFonts w:hint="eastAsia"/>
          <w:sz w:val="18"/>
          <w:szCs w:val="18"/>
        </w:rPr>
        <w:t>（2）对于外币货币性项目和外币非货币性项目的折算方法</w:t>
      </w:r>
    </w:p>
    <w:p w:rsidR="00CC38FA" w:rsidRDefault="00CC38FA">
      <w:pPr>
        <w:pStyle w:val="a3"/>
        <w:spacing w:before="0" w:beforeAutospacing="0" w:after="0" w:afterAutospacing="0"/>
        <w:ind w:firstLine="360"/>
        <w:divId w:val="1339389485"/>
      </w:pPr>
      <w:r>
        <w:rPr>
          <w:rFonts w:hint="eastAsia"/>
          <w:sz w:val="18"/>
          <w:szCs w:val="18"/>
        </w:rPr>
        <w:t>资产负债表日，对于外币货币性项目采用资产负债表日即期汇率折算，由此产生的汇兑差额，除：①属于与购建符合资本化条件的资产相关的外币专门借款产生的汇兑差额按照借款费用资本化的原则处理；②用于境外经营净投资有效</w:t>
      </w:r>
      <w:r>
        <w:rPr>
          <w:rFonts w:hint="eastAsia"/>
          <w:sz w:val="18"/>
          <w:szCs w:val="18"/>
        </w:rPr>
        <w:lastRenderedPageBreak/>
        <w:t>套期的套期工具的汇兑差额（该差额计入其他综合收益，直至净投资被处置才被确认为当期损益）以及③可供出售的外币货币性项目除摊余成本之外的其他账面余额变动产生的汇兑差额计入其他综合收益之外，均计入当期损益。</w:t>
      </w:r>
    </w:p>
    <w:p w:rsidR="00CC38FA" w:rsidRDefault="00CC38FA">
      <w:pPr>
        <w:pStyle w:val="a3"/>
        <w:spacing w:before="0" w:beforeAutospacing="0" w:after="0" w:afterAutospacing="0"/>
        <w:ind w:firstLine="360"/>
        <w:divId w:val="1339389485"/>
      </w:pPr>
      <w:r>
        <w:rPr>
          <w:rFonts w:hint="eastAsia"/>
          <w:sz w:val="18"/>
          <w:szCs w:val="18"/>
        </w:rPr>
        <w:t>编制合并财务报表涉及境外经营的，如有实质上构成对境外经营净投资的外币货币性项目，因汇率变动而产生的汇兑差额，计入其他综合收益；处置境外经营时，转入处置当期损益。</w:t>
      </w:r>
    </w:p>
    <w:p w:rsidR="00CC38FA" w:rsidRDefault="00CC38FA">
      <w:pPr>
        <w:pStyle w:val="a3"/>
        <w:spacing w:before="0" w:beforeAutospacing="0" w:after="0" w:afterAutospacing="0"/>
        <w:ind w:firstLine="360"/>
        <w:divId w:val="1339389485"/>
      </w:pPr>
      <w:r>
        <w:rPr>
          <w:rFonts w:hint="eastAsia"/>
          <w:sz w:val="18"/>
          <w:szCs w:val="18"/>
        </w:rPr>
        <w:t>以历史成本计量的外币非货币性项目，仍采用交易发生日的即期汇率折算的记账本位币金额计量。以公允价值计量的外币非货币性项目，采用公允价值确定日的即期汇率折算，折算后的记账本位币金额与原记账本位币金额的差额，作为公允价值变动（含汇率变动）处理，计入当期损益或确认为其他综合收益。</w:t>
      </w:r>
    </w:p>
    <w:p w:rsidR="00CC38FA" w:rsidRDefault="00CC38FA">
      <w:pPr>
        <w:pStyle w:val="a3"/>
        <w:spacing w:before="0" w:beforeAutospacing="0" w:after="0" w:afterAutospacing="0"/>
        <w:ind w:firstLine="360"/>
        <w:divId w:val="1339389485"/>
      </w:pPr>
      <w:r>
        <w:rPr>
          <w:rFonts w:hint="eastAsia"/>
          <w:sz w:val="18"/>
          <w:szCs w:val="18"/>
        </w:rPr>
        <w:t>（3）外币财务报表的折算方法</w:t>
      </w:r>
    </w:p>
    <w:p w:rsidR="00CC38FA" w:rsidRDefault="00CC38FA">
      <w:pPr>
        <w:pStyle w:val="a3"/>
        <w:spacing w:before="0" w:beforeAutospacing="0" w:after="0" w:afterAutospacing="0"/>
        <w:ind w:firstLine="360"/>
        <w:divId w:val="1339389485"/>
      </w:pPr>
      <w:r>
        <w:rPr>
          <w:rFonts w:hint="eastAsia"/>
          <w:sz w:val="18"/>
          <w:szCs w:val="18"/>
        </w:rPr>
        <w:t>编制合并财务报表涉及境外经营的，如有实质上构成对境外经营净投资的外币货币性项目，因汇率变动而产生的汇兑差额，作为“外币报表折算差额”确认为其他综合收益；处置境外经营时，计入处置当期损益。</w:t>
      </w:r>
    </w:p>
    <w:p w:rsidR="00CC38FA" w:rsidRDefault="00CC38FA">
      <w:pPr>
        <w:pStyle w:val="a3"/>
        <w:spacing w:before="0" w:beforeAutospacing="0" w:after="0" w:afterAutospacing="0"/>
        <w:ind w:firstLine="360"/>
        <w:divId w:val="1339389485"/>
      </w:pPr>
      <w:r>
        <w:rPr>
          <w:rFonts w:hint="eastAsia"/>
          <w:sz w:val="18"/>
          <w:szCs w:val="18"/>
        </w:rPr>
        <w:t>境外经营的外币财务报表按以下方法折算为人民币报表：资产负债表中的资产和负债项目，采用资产负债表日的即期汇率折算；股东权益类项目除“未分配利润”项目外，其他项目采用发生时的即期汇率折算。利润表中的收入和费用项目，采用交易发生日的即期汇率的近似汇率折算。年初未分配利润为上一年折算后的年末未分配利润；期末未分配利润按折算后的利润分配各项目计算列示；折算后资产类项目与负债类项目和股东权益类项目合计数的差额，作为外币报表折算差额，确认为其他综合收益。处置境外经营并丧失控制权时，将资产负债表中股东权益项目下列示的、与该境外经营相关的外币报表折算差额，全部或按处置该境外经营的比例转入处置当期损益。</w:t>
      </w:r>
    </w:p>
    <w:p w:rsidR="00CC38FA" w:rsidRDefault="00CC38FA">
      <w:pPr>
        <w:pStyle w:val="a3"/>
        <w:spacing w:before="0" w:beforeAutospacing="0" w:after="0" w:afterAutospacing="0"/>
        <w:ind w:firstLine="360"/>
        <w:divId w:val="1339389485"/>
      </w:pPr>
      <w:r>
        <w:rPr>
          <w:rFonts w:hint="eastAsia"/>
          <w:sz w:val="18"/>
          <w:szCs w:val="18"/>
        </w:rPr>
        <w:t>外币现金流量以及境外子公司的现金流量，采用现金流量发生日的即期汇率的近似汇率折算。汇率变动对现金的影响额作为调节项目，在现金流量表中单独列报。</w:t>
      </w:r>
    </w:p>
    <w:p w:rsidR="00CC38FA" w:rsidRDefault="00CC38FA">
      <w:pPr>
        <w:pStyle w:val="a3"/>
        <w:spacing w:before="0" w:beforeAutospacing="0" w:after="0" w:afterAutospacing="0"/>
        <w:ind w:firstLine="360"/>
        <w:divId w:val="1339389485"/>
      </w:pPr>
      <w:r>
        <w:rPr>
          <w:rFonts w:hint="eastAsia"/>
          <w:sz w:val="18"/>
          <w:szCs w:val="18"/>
        </w:rPr>
        <w:t>年初数和上年实际数按照上年财务报表折算后的数额列示。</w:t>
      </w:r>
    </w:p>
    <w:p w:rsidR="00CC38FA" w:rsidRDefault="00CC38FA">
      <w:pPr>
        <w:pStyle w:val="a3"/>
        <w:spacing w:before="0" w:beforeAutospacing="0" w:after="0" w:afterAutospacing="0"/>
        <w:ind w:firstLine="360"/>
        <w:divId w:val="1339389485"/>
      </w:pPr>
      <w:r>
        <w:rPr>
          <w:rFonts w:hint="eastAsia"/>
          <w:sz w:val="18"/>
          <w:szCs w:val="18"/>
        </w:rPr>
        <w:t>在处置本公司在境外经营的全部所有者权益或因处置部分股权投资或其他原因丧失了对境外经营控制权时，将资产负债表中股东权益项目下列示的、与该境外经营相关的归属于母公司所有者权益的外币报表折算差额，全部转入处置当期损益。</w:t>
      </w:r>
    </w:p>
    <w:p w:rsidR="00CC38FA" w:rsidRDefault="00CC38FA">
      <w:pPr>
        <w:pStyle w:val="a3"/>
        <w:spacing w:before="0" w:beforeAutospacing="0" w:after="0" w:afterAutospacing="0"/>
        <w:ind w:firstLine="360"/>
        <w:divId w:val="1339389485"/>
      </w:pPr>
      <w:r>
        <w:rPr>
          <w:rFonts w:hint="eastAsia"/>
          <w:sz w:val="18"/>
          <w:szCs w:val="18"/>
        </w:rPr>
        <w:t>在处置部分股权投资或其他原因导致持有境外经营权益比例降低但不丧失对境外经营控制权时，与该境外经营处置部分相关的外币报表折算差额将归属于少数股东权益，不转入当期损益。在处置境外经营为联营企业或合营企业的部分股权时，与该境外经营相关的外币报表折算差额，按处置该境外经营的比例转入处置当期损益。</w:t>
      </w:r>
    </w:p>
    <w:p w:rsidR="007F3A90" w:rsidRDefault="00CC38FA" w:rsidP="00CC38FA">
      <w:pPr>
        <w:pStyle w:val="a3"/>
        <w:rPr>
          <w:b/>
          <w:bCs/>
        </w:rPr>
      </w:pPr>
      <w:bookmarkStart w:id="119" w:name="_Toc989008"/>
      <w:r>
        <w:rPr>
          <w:b/>
          <w:bCs/>
          <w:sz w:val="21"/>
          <w:szCs w:val="21"/>
        </w:rPr>
        <w:t>11、金融工具</w:t>
      </w:r>
      <w:bookmarkEnd w:id="119"/>
    </w:p>
    <w:p w:rsidR="00CC38FA" w:rsidRDefault="00CC38FA">
      <w:pPr>
        <w:pStyle w:val="a3"/>
        <w:spacing w:before="0" w:beforeAutospacing="0" w:after="0" w:afterAutospacing="0"/>
        <w:ind w:firstLine="360"/>
        <w:divId w:val="1287812993"/>
      </w:pPr>
      <w:r>
        <w:rPr>
          <w:rFonts w:hint="eastAsia"/>
          <w:sz w:val="18"/>
          <w:szCs w:val="18"/>
        </w:rPr>
        <w:t>在本公司成为金融工具合同的一方时确认一项金融资产或金融负债。</w:t>
      </w:r>
    </w:p>
    <w:p w:rsidR="00CC38FA" w:rsidRDefault="00CC38FA">
      <w:pPr>
        <w:pStyle w:val="a3"/>
        <w:spacing w:before="0" w:beforeAutospacing="0" w:after="0" w:afterAutospacing="0"/>
        <w:ind w:firstLine="360"/>
        <w:divId w:val="1287812993"/>
      </w:pPr>
      <w:r>
        <w:rPr>
          <w:rFonts w:hint="eastAsia"/>
          <w:sz w:val="18"/>
          <w:szCs w:val="18"/>
        </w:rPr>
        <w:t>（1）金融资产的分类、确认和计量</w:t>
      </w:r>
    </w:p>
    <w:p w:rsidR="00CC38FA" w:rsidRDefault="00CC38FA">
      <w:pPr>
        <w:pStyle w:val="a3"/>
        <w:spacing w:before="0" w:beforeAutospacing="0" w:after="0" w:afterAutospacing="0"/>
        <w:ind w:firstLine="360"/>
        <w:divId w:val="1287812993"/>
      </w:pPr>
      <w:r>
        <w:rPr>
          <w:rFonts w:hint="eastAsia"/>
          <w:sz w:val="18"/>
          <w:szCs w:val="18"/>
        </w:rPr>
        <w:t>本公司根据管理金融资产的业务模式和金融资产的合同现金流量特征，将金融资产划分为：以摊余成本计量的金融资产；以公允价值计量且其变动计入其他综合收益的金融资产；以公允价值计量且其变动计入当期损益的金融资产。</w:t>
      </w:r>
    </w:p>
    <w:p w:rsidR="00CC38FA" w:rsidRDefault="00CC38FA">
      <w:pPr>
        <w:pStyle w:val="a3"/>
        <w:spacing w:before="0" w:beforeAutospacing="0" w:after="0" w:afterAutospacing="0"/>
        <w:ind w:firstLine="360"/>
        <w:divId w:val="1287812993"/>
      </w:pPr>
      <w:r>
        <w:rPr>
          <w:rFonts w:hint="eastAsia"/>
          <w:sz w:val="18"/>
          <w:szCs w:val="18"/>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公司按照预期有权收取的对价金额作为初始确认金额。</w:t>
      </w:r>
    </w:p>
    <w:p w:rsidR="00CC38FA" w:rsidRDefault="00CC38FA">
      <w:pPr>
        <w:pStyle w:val="a3"/>
        <w:spacing w:before="0" w:beforeAutospacing="0" w:after="0" w:afterAutospacing="0"/>
        <w:ind w:firstLine="360"/>
        <w:divId w:val="1287812993"/>
      </w:pPr>
      <w:r>
        <w:rPr>
          <w:rFonts w:hint="eastAsia"/>
          <w:sz w:val="18"/>
          <w:szCs w:val="18"/>
        </w:rPr>
        <w:t>①以摊余成本计量的金融资产</w:t>
      </w:r>
    </w:p>
    <w:p w:rsidR="00CC38FA" w:rsidRDefault="00CC38FA">
      <w:pPr>
        <w:pStyle w:val="a3"/>
        <w:spacing w:before="0" w:beforeAutospacing="0" w:after="0" w:afterAutospacing="0"/>
        <w:ind w:firstLine="360"/>
        <w:divId w:val="1287812993"/>
      </w:pPr>
      <w:r>
        <w:rPr>
          <w:rFonts w:hint="eastAsia"/>
          <w:sz w:val="18"/>
          <w:szCs w:val="18"/>
        </w:rPr>
        <w:t>本公司管理以摊余成本计量的金融资产的业务模式为以收取合同现金流量为目标，且此类金融资产的合同现金流量特征与基本借贷安排相一致，即在特定日期产生的现金流量，仅为对本金和以未偿付本金金额为基础的利息的支付。本公司对于此类金融资产，采用实际利率法，按照摊余成本进行后续计量，其摊销或减值产生的利得或损失，计入当期损益。</w:t>
      </w:r>
    </w:p>
    <w:p w:rsidR="00CC38FA" w:rsidRDefault="00CC38FA">
      <w:pPr>
        <w:pStyle w:val="a3"/>
        <w:spacing w:before="0" w:beforeAutospacing="0" w:after="0" w:afterAutospacing="0"/>
        <w:ind w:firstLine="360"/>
        <w:divId w:val="1287812993"/>
      </w:pPr>
      <w:r>
        <w:rPr>
          <w:rFonts w:hint="eastAsia"/>
          <w:sz w:val="18"/>
          <w:szCs w:val="18"/>
        </w:rPr>
        <w:t>②以公允价值计量且其变动计入其他综合收益的金融资产</w:t>
      </w:r>
    </w:p>
    <w:p w:rsidR="00CC38FA" w:rsidRDefault="00CC38FA">
      <w:pPr>
        <w:pStyle w:val="a3"/>
        <w:spacing w:before="0" w:beforeAutospacing="0" w:after="0" w:afterAutospacing="0"/>
        <w:ind w:firstLine="360"/>
        <w:divId w:val="1287812993"/>
      </w:pPr>
      <w:r>
        <w:rPr>
          <w:rFonts w:hint="eastAsia"/>
          <w:sz w:val="18"/>
          <w:szCs w:val="18"/>
        </w:rPr>
        <w:t>本公司管理此类金融资产的业务模式为既以收取合同现金流量为目标又以出售为目标，且此类金融资产的合同现金流量特征与基本借贷安排相一致。本公司对此类金融资产按照公允价值计量且其变动计入其他综合收益，但减值损失或利得、汇兑损益和按照实际利率法计算的利息收入计入当期损益。</w:t>
      </w:r>
    </w:p>
    <w:p w:rsidR="00CC38FA" w:rsidRDefault="00CC38FA">
      <w:pPr>
        <w:pStyle w:val="a3"/>
        <w:spacing w:before="0" w:beforeAutospacing="0" w:after="0" w:afterAutospacing="0"/>
        <w:ind w:firstLine="360"/>
        <w:divId w:val="1287812993"/>
      </w:pPr>
      <w:r>
        <w:rPr>
          <w:rFonts w:hint="eastAsia"/>
          <w:sz w:val="18"/>
          <w:szCs w:val="18"/>
        </w:rPr>
        <w:lastRenderedPageBreak/>
        <w:t>此外，本公司将部分非交易性权益工具投资指定为以公允价值计量且其变动计入其他综合收益的金融资产。本公司将该类金融资产的相关股利收入计入当期损益，公允价值变动计入其他综合收益。当该金融资产终止确认时，之前计入其他综合收益的累计利得或损失将从其他综合收益转入留存收益，不计入当期损益。</w:t>
      </w:r>
    </w:p>
    <w:p w:rsidR="00CC38FA" w:rsidRDefault="00CC38FA">
      <w:pPr>
        <w:pStyle w:val="a3"/>
        <w:spacing w:before="0" w:beforeAutospacing="0" w:after="0" w:afterAutospacing="0"/>
        <w:ind w:firstLine="360"/>
        <w:divId w:val="1287812993"/>
      </w:pPr>
      <w:r>
        <w:rPr>
          <w:rFonts w:hint="eastAsia"/>
          <w:sz w:val="18"/>
          <w:szCs w:val="18"/>
        </w:rPr>
        <w:t>③以公允价值计量且其变动计入当期损益的金融资产</w:t>
      </w:r>
    </w:p>
    <w:p w:rsidR="00CC38FA" w:rsidRDefault="00CC38FA">
      <w:pPr>
        <w:pStyle w:val="a3"/>
        <w:spacing w:before="0" w:beforeAutospacing="0" w:after="0" w:afterAutospacing="0"/>
        <w:ind w:firstLine="360"/>
        <w:divId w:val="1287812993"/>
      </w:pPr>
      <w:r>
        <w:rPr>
          <w:rFonts w:hint="eastAsia"/>
          <w:sz w:val="18"/>
          <w:szCs w:val="18"/>
        </w:rPr>
        <w:t>本公司将上述以摊余成本计量的金融资产和以公允价值计量且其变动计入其他综合收益的金融资产之外的金融资产，分类为以公允价值计量且其变动计入当期损益的金融资产。此外，在初始确认时，本公司为了消除或显著减少会计错配，将部分金融资产指定为以公允价值计量且其变动计入当期损益的金融资产。对于此类金融资产，本公司采用公允价值进行后续计量，公允价值变动计入当期损益。</w:t>
      </w:r>
    </w:p>
    <w:p w:rsidR="00CC38FA" w:rsidRDefault="00CC38FA">
      <w:pPr>
        <w:pStyle w:val="a3"/>
        <w:spacing w:before="0" w:beforeAutospacing="0" w:after="0" w:afterAutospacing="0"/>
        <w:ind w:firstLine="360"/>
        <w:divId w:val="1287812993"/>
      </w:pPr>
      <w:r>
        <w:rPr>
          <w:rFonts w:hint="eastAsia"/>
          <w:sz w:val="18"/>
          <w:szCs w:val="18"/>
        </w:rPr>
        <w:t>（2）金融负债的分类、确认和计量</w:t>
      </w:r>
    </w:p>
    <w:p w:rsidR="00CC38FA" w:rsidRDefault="00CC38FA">
      <w:pPr>
        <w:pStyle w:val="a3"/>
        <w:spacing w:before="0" w:beforeAutospacing="0" w:after="0" w:afterAutospacing="0"/>
        <w:ind w:firstLine="360"/>
        <w:divId w:val="1287812993"/>
      </w:pPr>
      <w:r>
        <w:rPr>
          <w:rFonts w:hint="eastAsia"/>
          <w:sz w:val="18"/>
          <w:szCs w:val="18"/>
        </w:rPr>
        <w:t>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p>
    <w:p w:rsidR="00CC38FA" w:rsidRDefault="00CC38FA">
      <w:pPr>
        <w:pStyle w:val="a3"/>
        <w:spacing w:before="0" w:beforeAutospacing="0" w:after="0" w:afterAutospacing="0"/>
        <w:ind w:firstLine="360"/>
        <w:divId w:val="1287812993"/>
      </w:pPr>
      <w:r>
        <w:rPr>
          <w:rFonts w:hint="eastAsia"/>
          <w:sz w:val="18"/>
          <w:szCs w:val="18"/>
        </w:rPr>
        <w:t>①以公允价值计量且其变动计入当期损益的金融负债</w:t>
      </w:r>
    </w:p>
    <w:p w:rsidR="00CC38FA" w:rsidRDefault="00CC38FA">
      <w:pPr>
        <w:pStyle w:val="a3"/>
        <w:spacing w:before="0" w:beforeAutospacing="0" w:after="0" w:afterAutospacing="0"/>
        <w:ind w:firstLine="360"/>
        <w:divId w:val="1287812993"/>
      </w:pPr>
      <w:r>
        <w:rPr>
          <w:rFonts w:hint="eastAsia"/>
          <w:sz w:val="18"/>
          <w:szCs w:val="18"/>
        </w:rPr>
        <w:t>以公允价值计量且其变动计入当期损益的金融负债，包括交易性金融负债（含属于金融负债的衍生工具）和初始确认时指定为以公允价值计量且其变动计入当期损益的金融负债。</w:t>
      </w:r>
    </w:p>
    <w:p w:rsidR="00CC38FA" w:rsidRDefault="00CC38FA">
      <w:pPr>
        <w:pStyle w:val="a3"/>
        <w:spacing w:before="0" w:beforeAutospacing="0" w:after="0" w:afterAutospacing="0"/>
        <w:ind w:firstLine="360"/>
        <w:divId w:val="1287812993"/>
      </w:pPr>
      <w:r>
        <w:rPr>
          <w:rFonts w:hint="eastAsia"/>
          <w:sz w:val="18"/>
          <w:szCs w:val="18"/>
        </w:rPr>
        <w:t>交易性金融负债（含属于金融负债的衍生工具），按照公允价值进行后续计量，除与套期会计有关外，公允价值变动计入当期损益。</w:t>
      </w:r>
    </w:p>
    <w:p w:rsidR="00CC38FA" w:rsidRDefault="00CC38FA">
      <w:pPr>
        <w:pStyle w:val="a3"/>
        <w:spacing w:before="0" w:beforeAutospacing="0" w:after="0" w:afterAutospacing="0"/>
        <w:ind w:firstLine="360"/>
        <w:divId w:val="1287812993"/>
      </w:pPr>
      <w:r>
        <w:rPr>
          <w:rFonts w:hint="eastAsia"/>
          <w:sz w:val="18"/>
          <w:szCs w:val="18"/>
        </w:rPr>
        <w:t>被指定为以公允价值计量且其变动计入当期损益的金融负债，该负债由本公司自身信用风险变动引起的公允价值变动计入其他综合收益，且终止确认该负债时，计入其他综合收益的自身信用风险变动引起的其公允价值累计变动额转入留存收益。其余公允价值变动计入当期损益。若按上述方式对该等金融负债的自身信用风险变动的影响进行处理会造成或扩大损益中的会计错配的，本公司将该金融负债的全部利得或损失（包括企业自身信用风险变动的影响金额）计入当期损益。</w:t>
      </w:r>
    </w:p>
    <w:p w:rsidR="00CC38FA" w:rsidRDefault="00CC38FA">
      <w:pPr>
        <w:pStyle w:val="a3"/>
        <w:spacing w:before="0" w:beforeAutospacing="0" w:after="0" w:afterAutospacing="0"/>
        <w:ind w:firstLine="360"/>
        <w:divId w:val="1287812993"/>
      </w:pPr>
      <w:r>
        <w:rPr>
          <w:rFonts w:hint="eastAsia"/>
          <w:sz w:val="18"/>
          <w:szCs w:val="18"/>
        </w:rPr>
        <w:t>②其他金融负债</w:t>
      </w:r>
    </w:p>
    <w:p w:rsidR="00CC38FA" w:rsidRDefault="00CC38FA">
      <w:pPr>
        <w:pStyle w:val="a3"/>
        <w:spacing w:before="0" w:beforeAutospacing="0" w:after="0" w:afterAutospacing="0"/>
        <w:ind w:firstLine="360"/>
        <w:divId w:val="1287812993"/>
      </w:pPr>
      <w:r>
        <w:rPr>
          <w:rFonts w:hint="eastAsia"/>
          <w:sz w:val="18"/>
          <w:szCs w:val="18"/>
        </w:rPr>
        <w:t>除金融资产转移不符合终止确认条件或继续涉入被转移金融资产所形成的金融负债、财务担保合同外的其他金融负债分类为以摊余成本计量的金融负债，按摊余成本进行后续计量，终止确认或摊销产生的利得或损失计入当期损益。</w:t>
      </w:r>
    </w:p>
    <w:p w:rsidR="00CC38FA" w:rsidRDefault="00CC38FA">
      <w:pPr>
        <w:pStyle w:val="a3"/>
        <w:spacing w:before="0" w:beforeAutospacing="0" w:after="0" w:afterAutospacing="0"/>
        <w:ind w:firstLine="360"/>
        <w:divId w:val="1287812993"/>
      </w:pPr>
      <w:r>
        <w:rPr>
          <w:rFonts w:hint="eastAsia"/>
          <w:sz w:val="18"/>
          <w:szCs w:val="18"/>
        </w:rPr>
        <w:t>（3）金融资产转移的确认依据和计量方法</w:t>
      </w:r>
    </w:p>
    <w:p w:rsidR="00CC38FA" w:rsidRDefault="00CC38FA">
      <w:pPr>
        <w:pStyle w:val="a3"/>
        <w:spacing w:before="0" w:beforeAutospacing="0" w:after="0" w:afterAutospacing="0"/>
        <w:ind w:firstLine="360"/>
        <w:divId w:val="1287812993"/>
      </w:pPr>
      <w:r>
        <w:rPr>
          <w:rFonts w:hint="eastAsia"/>
          <w:sz w:val="18"/>
          <w:szCs w:val="18"/>
        </w:rPr>
        <w:t>满足下列条件之一的金融资产，予以终止确认：① 收取该金融资产现金流量的合同权利终止；② 该金融资产已转移，且将金融资产所有权上几乎所有的风险和报酬转移给转入方；③该金融资产已转移，虽然企业既没有转移也没有保留金融资产所有权上几乎所有的风险和报酬，但是放弃了对该金融资产的控制。</w:t>
      </w:r>
    </w:p>
    <w:p w:rsidR="00CC38FA" w:rsidRDefault="00CC38FA">
      <w:pPr>
        <w:pStyle w:val="a3"/>
        <w:spacing w:before="0" w:beforeAutospacing="0" w:after="0" w:afterAutospacing="0"/>
        <w:ind w:firstLine="360"/>
        <w:divId w:val="1287812993"/>
      </w:pPr>
      <w:r>
        <w:rPr>
          <w:rFonts w:hint="eastAsia"/>
          <w:sz w:val="18"/>
          <w:szCs w:val="18"/>
        </w:rPr>
        <w:t>若企业既没有转移也没有保留金融资产所有权上几乎所有的风险和报酬，且未放弃对该金融资产的控制的，则按照继续涉入所转移金融资产的程度确认有关金融资产，并相应确认有关负债。继续涉入所转移金融资产的程度，是指该金融资产价值变动使企业面临的风险水平。</w:t>
      </w:r>
    </w:p>
    <w:p w:rsidR="00CC38FA" w:rsidRDefault="00CC38FA">
      <w:pPr>
        <w:pStyle w:val="a3"/>
        <w:spacing w:before="0" w:beforeAutospacing="0" w:after="0" w:afterAutospacing="0"/>
        <w:ind w:firstLine="360"/>
        <w:divId w:val="1287812993"/>
      </w:pPr>
      <w:r>
        <w:rPr>
          <w:rFonts w:hint="eastAsia"/>
          <w:sz w:val="18"/>
          <w:szCs w:val="18"/>
        </w:rPr>
        <w:t>金融资产整体转移满足终止确认条件的，将所转移金融资产的账面价值及因转移而收到的对价与原计入其他综合收益的公允价值变动累计额之和的差额计入当期损益。</w:t>
      </w:r>
    </w:p>
    <w:p w:rsidR="00CC38FA" w:rsidRDefault="00CC38FA">
      <w:pPr>
        <w:pStyle w:val="a3"/>
        <w:spacing w:before="0" w:beforeAutospacing="0" w:after="0" w:afterAutospacing="0"/>
        <w:ind w:firstLine="360"/>
        <w:divId w:val="1287812993"/>
      </w:pPr>
      <w:r>
        <w:rPr>
          <w:rFonts w:hint="eastAsia"/>
          <w:sz w:val="18"/>
          <w:szCs w:val="18"/>
        </w:rPr>
        <w:t>金融资产部分转移满足终止确认条件的，将所转移金融资产的账面价值在终止确认及未终止确认部分之间按其相对的公允价值进行分摊，并将因转移而收到的对价与应分摊至终止确认部分的原计入其他综合收益的公允价值变动累计额之和与分摊的前述账面金额之差额计入当期损益。</w:t>
      </w:r>
    </w:p>
    <w:p w:rsidR="00CC38FA" w:rsidRDefault="00CC38FA">
      <w:pPr>
        <w:pStyle w:val="a3"/>
        <w:spacing w:before="0" w:beforeAutospacing="0" w:after="0" w:afterAutospacing="0"/>
        <w:ind w:firstLine="360"/>
        <w:divId w:val="1287812993"/>
      </w:pPr>
      <w:r>
        <w:rPr>
          <w:rFonts w:hint="eastAsia"/>
          <w:sz w:val="18"/>
          <w:szCs w:val="18"/>
        </w:rPr>
        <w:t>本公司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rsidR="00CC38FA" w:rsidRDefault="00CC38FA">
      <w:pPr>
        <w:pStyle w:val="a3"/>
        <w:spacing w:before="0" w:beforeAutospacing="0" w:after="0" w:afterAutospacing="0"/>
        <w:ind w:firstLine="360"/>
        <w:divId w:val="1287812993"/>
      </w:pPr>
      <w:r>
        <w:rPr>
          <w:rFonts w:hint="eastAsia"/>
          <w:sz w:val="18"/>
          <w:szCs w:val="18"/>
        </w:rPr>
        <w:t>（4）金融负债的终止确认</w:t>
      </w:r>
    </w:p>
    <w:p w:rsidR="00CC38FA" w:rsidRDefault="00CC38FA">
      <w:pPr>
        <w:pStyle w:val="a3"/>
        <w:spacing w:before="0" w:beforeAutospacing="0" w:after="0" w:afterAutospacing="0"/>
        <w:ind w:firstLine="360"/>
        <w:divId w:val="1287812993"/>
      </w:pPr>
      <w:r>
        <w:rPr>
          <w:rFonts w:hint="eastAsia"/>
          <w:sz w:val="18"/>
          <w:szCs w:val="18"/>
        </w:rPr>
        <w:t>金融负债（或其一部分）的现时义务已经解除的，本公司终止确认该金融负债（或该部分金融负债）。本公司（借入方）与借出方签订协议，以承担新金融负债的方式替换原金融负债，且新金融负债与原金融负债的合同条款实质上不</w:t>
      </w:r>
      <w:r>
        <w:rPr>
          <w:rFonts w:hint="eastAsia"/>
          <w:sz w:val="18"/>
          <w:szCs w:val="18"/>
        </w:rPr>
        <w:lastRenderedPageBreak/>
        <w:t>同的，终止确认原金融负债，同时确认一项新金融负债。本公司对原金融负债（或其一部分）的合同条款作出实质性修改的，终止确认原金融负债，同时按照修改后的条款确认一项新金融负债。</w:t>
      </w:r>
    </w:p>
    <w:p w:rsidR="00CC38FA" w:rsidRDefault="00CC38FA">
      <w:pPr>
        <w:pStyle w:val="a3"/>
        <w:spacing w:before="0" w:beforeAutospacing="0" w:after="0" w:afterAutospacing="0"/>
        <w:ind w:firstLine="360"/>
        <w:divId w:val="1287812993"/>
      </w:pPr>
      <w:r>
        <w:rPr>
          <w:rFonts w:hint="eastAsia"/>
          <w:sz w:val="18"/>
          <w:szCs w:val="18"/>
        </w:rPr>
        <w:t>金融负债（或其一部分）终止确认的，本公司将其账面价值与支付的对价（包括转出的非现金资产或承担的负债）之间的差额，计入当期损益。</w:t>
      </w:r>
    </w:p>
    <w:p w:rsidR="00CC38FA" w:rsidRDefault="00CC38FA">
      <w:pPr>
        <w:pStyle w:val="a3"/>
        <w:spacing w:before="0" w:beforeAutospacing="0" w:after="0" w:afterAutospacing="0"/>
        <w:ind w:firstLine="360"/>
        <w:divId w:val="1287812993"/>
      </w:pPr>
      <w:r>
        <w:rPr>
          <w:rFonts w:hint="eastAsia"/>
          <w:sz w:val="18"/>
          <w:szCs w:val="18"/>
        </w:rPr>
        <w:t>（5）金融资产和金融负债的抵销</w:t>
      </w:r>
    </w:p>
    <w:p w:rsidR="00CC38FA" w:rsidRDefault="00CC38FA">
      <w:pPr>
        <w:pStyle w:val="a3"/>
        <w:spacing w:before="0" w:beforeAutospacing="0" w:after="0" w:afterAutospacing="0"/>
        <w:ind w:firstLine="360"/>
        <w:divId w:val="1287812993"/>
      </w:pPr>
      <w:r>
        <w:rPr>
          <w:rFonts w:hint="eastAsia"/>
          <w:sz w:val="18"/>
          <w:szCs w:val="18"/>
        </w:rPr>
        <w:t>当本公司具有抵销已确认金额的金融资产和金融负债的法定权利，且该种法定权利是当前可执行的，同时本公司计划以净额结算或同时变现该金融资产和清偿该金融负债时，金融资产和金融负债以相互抵销后的净额在资产负债表内列示。除此以外，金融资产和金融负债在资产负债表内分别列示，不予相互抵销。</w:t>
      </w:r>
    </w:p>
    <w:p w:rsidR="00CC38FA" w:rsidRDefault="00CC38FA">
      <w:pPr>
        <w:pStyle w:val="a3"/>
        <w:spacing w:before="0" w:beforeAutospacing="0" w:after="0" w:afterAutospacing="0"/>
        <w:ind w:firstLine="360"/>
        <w:divId w:val="1287812993"/>
      </w:pPr>
      <w:r>
        <w:rPr>
          <w:rFonts w:hint="eastAsia"/>
          <w:sz w:val="18"/>
          <w:szCs w:val="18"/>
        </w:rPr>
        <w:t>（6）金融资产和金融负债的公允价值确定方法</w:t>
      </w:r>
    </w:p>
    <w:p w:rsidR="00CC38FA" w:rsidRDefault="00CC38FA">
      <w:pPr>
        <w:pStyle w:val="a3"/>
        <w:spacing w:before="0" w:beforeAutospacing="0" w:after="0" w:afterAutospacing="0"/>
        <w:ind w:firstLine="360"/>
        <w:divId w:val="1287812993"/>
      </w:pPr>
      <w:r>
        <w:rPr>
          <w:rFonts w:hint="eastAsia"/>
          <w:sz w:val="18"/>
          <w:szCs w:val="18"/>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在估值时，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rsidR="00CC38FA" w:rsidRDefault="00CC38FA">
      <w:pPr>
        <w:pStyle w:val="a3"/>
        <w:spacing w:before="0" w:beforeAutospacing="0" w:after="0" w:afterAutospacing="0"/>
        <w:ind w:firstLine="360"/>
        <w:divId w:val="1287812993"/>
      </w:pPr>
      <w:r>
        <w:rPr>
          <w:rFonts w:hint="eastAsia"/>
          <w:sz w:val="18"/>
          <w:szCs w:val="18"/>
        </w:rPr>
        <w:t>（7）权益工具</w:t>
      </w:r>
    </w:p>
    <w:p w:rsidR="00CC38FA" w:rsidRDefault="00CC38FA">
      <w:pPr>
        <w:pStyle w:val="a3"/>
        <w:spacing w:before="0" w:beforeAutospacing="0" w:after="0" w:afterAutospacing="0"/>
        <w:ind w:firstLine="360"/>
        <w:divId w:val="1287812993"/>
      </w:pPr>
      <w:r>
        <w:rPr>
          <w:rFonts w:hint="eastAsia"/>
          <w:sz w:val="18"/>
          <w:szCs w:val="18"/>
        </w:rPr>
        <w:t>权益工具是指能证明拥有本公司在扣除所有负债后的资产中的剩余权益的合同。本公司发行（含再融资）、回购、出售或注销权益工具作为权益的变动处理，与权益性交易相关的交易费用从权益中扣减。本公司不确认权益工具的公允价值变动。</w:t>
      </w:r>
    </w:p>
    <w:p w:rsidR="00CC38FA" w:rsidRDefault="00CC38FA">
      <w:pPr>
        <w:pStyle w:val="a3"/>
        <w:spacing w:before="0" w:beforeAutospacing="0" w:after="0" w:afterAutospacing="0"/>
        <w:ind w:firstLine="360"/>
        <w:divId w:val="1287812993"/>
      </w:pPr>
      <w:r>
        <w:rPr>
          <w:rFonts w:hint="eastAsia"/>
          <w:sz w:val="18"/>
          <w:szCs w:val="18"/>
        </w:rPr>
        <w:t>本公司权益工具在存续期间分派股利（含分类为权益工具的工具所产生的“利息”）的，作为利润分配处理。</w:t>
      </w:r>
    </w:p>
    <w:p w:rsidR="00CC38FA" w:rsidRDefault="00CC38FA">
      <w:pPr>
        <w:pStyle w:val="a3"/>
        <w:spacing w:before="0" w:beforeAutospacing="0" w:after="0" w:afterAutospacing="0"/>
        <w:ind w:firstLine="402"/>
        <w:jc w:val="both"/>
        <w:divId w:val="1287812993"/>
      </w:pPr>
      <w:r>
        <w:rPr>
          <w:rStyle w:val="a4"/>
          <w:rFonts w:hint="eastAsia"/>
          <w:sz w:val="18"/>
          <w:szCs w:val="18"/>
        </w:rPr>
        <w:t>金融资产减值</w:t>
      </w:r>
    </w:p>
    <w:p w:rsidR="00CC38FA" w:rsidRDefault="00CC38FA">
      <w:pPr>
        <w:pStyle w:val="a3"/>
        <w:spacing w:before="0" w:beforeAutospacing="0" w:after="0" w:afterAutospacing="0"/>
        <w:ind w:firstLine="360"/>
        <w:divId w:val="1287812993"/>
      </w:pPr>
      <w:r>
        <w:rPr>
          <w:rFonts w:hint="eastAsia"/>
          <w:sz w:val="18"/>
          <w:szCs w:val="18"/>
        </w:rPr>
        <w:t>本公司需确认减值损失的金融资产系以摊余成本计量的金融资产、以公允价值计量且其变动计入其他综合收益的债务工具投资，主要包括应收票据、应收账款、其他应收款、债权投资、其他债权投资、长期应收款等。此外，对部分财务担保合同，也按照本部分所述会计政策计提减值准备和确认信用减值损失。</w:t>
      </w:r>
    </w:p>
    <w:p w:rsidR="00CC38FA" w:rsidRDefault="00CC38FA">
      <w:pPr>
        <w:pStyle w:val="a3"/>
        <w:spacing w:before="0" w:beforeAutospacing="0" w:after="0" w:afterAutospacing="0"/>
        <w:ind w:firstLine="360"/>
        <w:divId w:val="1287812993"/>
      </w:pPr>
      <w:r>
        <w:rPr>
          <w:rFonts w:hint="eastAsia"/>
          <w:sz w:val="18"/>
          <w:szCs w:val="18"/>
        </w:rPr>
        <w:t>（1）减值准备的确认和计量</w:t>
      </w:r>
    </w:p>
    <w:p w:rsidR="00CC38FA" w:rsidRDefault="00CC38FA">
      <w:pPr>
        <w:pStyle w:val="a3"/>
        <w:spacing w:before="0" w:beforeAutospacing="0" w:after="0" w:afterAutospacing="0"/>
        <w:ind w:firstLine="360"/>
        <w:divId w:val="1287812993"/>
      </w:pPr>
      <w:r>
        <w:rPr>
          <w:rFonts w:hint="eastAsia"/>
          <w:sz w:val="18"/>
          <w:szCs w:val="18"/>
        </w:rPr>
        <w:t>本公司以预期信用损失为基础，对上述各项目按照其适用的预期信用损失计量方法计提减值准备并确认信用减值损失。</w:t>
      </w:r>
    </w:p>
    <w:p w:rsidR="00CC38FA" w:rsidRDefault="00CC38FA">
      <w:pPr>
        <w:pStyle w:val="a3"/>
        <w:spacing w:before="0" w:beforeAutospacing="0" w:after="0" w:afterAutospacing="0"/>
        <w:ind w:firstLine="360"/>
        <w:divId w:val="1287812993"/>
      </w:pPr>
      <w:r>
        <w:rPr>
          <w:rFonts w:hint="eastAsia"/>
          <w:sz w:val="18"/>
          <w:szCs w:val="18"/>
        </w:rPr>
        <w:t>本公司在评估预期信用损失时，考虑所有合理且有依据的信息，包括前瞻性信息。</w:t>
      </w:r>
    </w:p>
    <w:p w:rsidR="00CC38FA" w:rsidRDefault="00CC38FA">
      <w:pPr>
        <w:pStyle w:val="a3"/>
        <w:spacing w:before="0" w:beforeAutospacing="0" w:after="0" w:afterAutospacing="0"/>
        <w:ind w:firstLine="360"/>
        <w:divId w:val="1287812993"/>
      </w:pPr>
      <w:r>
        <w:rPr>
          <w:rFonts w:hint="eastAsia"/>
          <w:sz w:val="18"/>
          <w:szCs w:val="18"/>
        </w:rPr>
        <w:t>除了对于购买或源生的已发生信用减值的金融资产以及始终按照相当于整个存续期内预期信用损失的金额计量损失准备的金融资产之外，本公司在每个资产负债表日评估金融工具的信用风险自初始确认后是否已经显著增加。</w:t>
      </w:r>
    </w:p>
    <w:p w:rsidR="00CC38FA" w:rsidRDefault="00CC38FA">
      <w:pPr>
        <w:pStyle w:val="a3"/>
        <w:spacing w:before="0" w:beforeAutospacing="0" w:after="0" w:afterAutospacing="0"/>
        <w:ind w:firstLine="360"/>
        <w:divId w:val="1287812993"/>
      </w:pPr>
      <w:r>
        <w:rPr>
          <w:rFonts w:hint="eastAsia"/>
          <w:sz w:val="18"/>
          <w:szCs w:val="18"/>
        </w:rPr>
        <w:t>如果信用风险自初始确认后未显著增加，处于第一阶段，本公司按照未来12个月内预期信用损失的金额计量损失准备；如果信用风险自初始确认后已显著增加但尚未发生信用减值，处于第二阶段，本公司按照相当于整个存续期内预期信用损失的金额计量损失准备；金融工具自初始确认后已发生信用减值的，处于第三阶段，本公司按照整个存续期的预期信用损失计量损失准备。</w:t>
      </w:r>
    </w:p>
    <w:p w:rsidR="00CC38FA" w:rsidRDefault="00CC38FA">
      <w:pPr>
        <w:pStyle w:val="a3"/>
        <w:spacing w:before="0" w:beforeAutospacing="0" w:after="0" w:afterAutospacing="0"/>
        <w:ind w:firstLine="360"/>
        <w:divId w:val="1287812993"/>
      </w:pPr>
      <w:r>
        <w:rPr>
          <w:rFonts w:hint="eastAsia"/>
          <w:sz w:val="18"/>
          <w:szCs w:val="18"/>
        </w:rPr>
        <w:t>对于在资产负债表日具有较低信用风险的金融工具，本公司假设其信用风险自初始确认后并未显著增加，按照未来 12 个月内的预期信用损失计量损失准备。</w:t>
      </w:r>
    </w:p>
    <w:p w:rsidR="00CC38FA" w:rsidRDefault="00CC38FA">
      <w:pPr>
        <w:pStyle w:val="a3"/>
        <w:spacing w:before="0" w:beforeAutospacing="0" w:after="0" w:afterAutospacing="0"/>
        <w:ind w:firstLine="360"/>
        <w:divId w:val="1287812993"/>
      </w:pPr>
      <w:r>
        <w:rPr>
          <w:rFonts w:hint="eastAsia"/>
          <w:sz w:val="18"/>
          <w:szCs w:val="18"/>
        </w:rPr>
        <w:t>（2）信用风险显著增加</w:t>
      </w:r>
    </w:p>
    <w:p w:rsidR="00CC38FA" w:rsidRDefault="00CC38FA">
      <w:pPr>
        <w:pStyle w:val="a3"/>
        <w:spacing w:before="0" w:beforeAutospacing="0" w:after="0" w:afterAutospacing="0"/>
        <w:ind w:firstLine="360"/>
        <w:divId w:val="1287812993"/>
      </w:pPr>
      <w:r>
        <w:rPr>
          <w:rFonts w:hint="eastAsia"/>
          <w:sz w:val="18"/>
          <w:szCs w:val="18"/>
        </w:rPr>
        <w:t>本公司通过比较金融工具在初始确认时所确定的预计存续期内的违约概率和该工具在资产负债表日所确定的预计存续期内的违约概率，来判定金融工具信用风险是否显著增加。除特殊情形外，本公司采用未来12个月内发生的违约风险的变化作为整个存续期内发生违约风险变化的合理估计，以确定自初始确认后信用风险是否已显著增加。</w:t>
      </w:r>
    </w:p>
    <w:p w:rsidR="00CC38FA" w:rsidRDefault="00CC38FA">
      <w:pPr>
        <w:pStyle w:val="a3"/>
        <w:spacing w:before="0" w:beforeAutospacing="0" w:after="0" w:afterAutospacing="0"/>
        <w:ind w:firstLine="360"/>
        <w:divId w:val="1287812993"/>
      </w:pPr>
      <w:r>
        <w:rPr>
          <w:rFonts w:hint="eastAsia"/>
          <w:sz w:val="18"/>
          <w:szCs w:val="18"/>
        </w:rPr>
        <w:t>本公司在评估信用风险是否显著增加时会考虑如下因素：</w:t>
      </w:r>
    </w:p>
    <w:p w:rsidR="00CC38FA" w:rsidRDefault="00CC38FA">
      <w:pPr>
        <w:pStyle w:val="a3"/>
        <w:spacing w:before="0" w:beforeAutospacing="0" w:after="0" w:afterAutospacing="0"/>
        <w:ind w:firstLine="360"/>
        <w:divId w:val="1287812993"/>
      </w:pPr>
      <w:r>
        <w:rPr>
          <w:rFonts w:hint="eastAsia"/>
          <w:sz w:val="18"/>
          <w:szCs w:val="18"/>
        </w:rPr>
        <w:t>1）债务人经营成果实际或预期是否发生显著变化；</w:t>
      </w:r>
    </w:p>
    <w:p w:rsidR="00CC38FA" w:rsidRDefault="00CC38FA">
      <w:pPr>
        <w:pStyle w:val="a3"/>
        <w:spacing w:before="0" w:beforeAutospacing="0" w:after="0" w:afterAutospacing="0"/>
        <w:ind w:firstLine="360"/>
        <w:divId w:val="1287812993"/>
      </w:pPr>
      <w:r>
        <w:rPr>
          <w:rFonts w:hint="eastAsia"/>
          <w:sz w:val="18"/>
          <w:szCs w:val="18"/>
        </w:rPr>
        <w:lastRenderedPageBreak/>
        <w:t>2）债务人所处的监管、经济或技术环境是否发生显著不利变化；</w:t>
      </w:r>
    </w:p>
    <w:p w:rsidR="00CC38FA" w:rsidRDefault="00CC38FA">
      <w:pPr>
        <w:pStyle w:val="a3"/>
        <w:spacing w:before="0" w:beforeAutospacing="0" w:after="0" w:afterAutospacing="0"/>
        <w:ind w:firstLine="360"/>
        <w:divId w:val="1287812993"/>
      </w:pPr>
      <w:r>
        <w:rPr>
          <w:rFonts w:hint="eastAsia"/>
          <w:sz w:val="18"/>
          <w:szCs w:val="18"/>
        </w:rPr>
        <w:t>3）作为债务抵押的担保物价值或第三方提供的担保或信用增级质量是否发生显著变化，这些变化预期将降低债务人按合同规定期限还款的经济动机或者影响违约概率；</w:t>
      </w:r>
    </w:p>
    <w:p w:rsidR="00CC38FA" w:rsidRDefault="00CC38FA">
      <w:pPr>
        <w:pStyle w:val="a3"/>
        <w:spacing w:before="0" w:beforeAutospacing="0" w:after="0" w:afterAutospacing="0"/>
        <w:ind w:firstLine="360"/>
        <w:divId w:val="1287812993"/>
      </w:pPr>
      <w:r>
        <w:rPr>
          <w:rFonts w:hint="eastAsia"/>
          <w:sz w:val="18"/>
          <w:szCs w:val="18"/>
        </w:rPr>
        <w:t>4）债务人预期表现和还款行为是否发生显著变化；</w:t>
      </w:r>
    </w:p>
    <w:p w:rsidR="00CC38FA" w:rsidRDefault="00CC38FA">
      <w:pPr>
        <w:pStyle w:val="a3"/>
        <w:spacing w:before="0" w:beforeAutospacing="0" w:after="0" w:afterAutospacing="0"/>
        <w:ind w:firstLine="360"/>
        <w:divId w:val="1287812993"/>
      </w:pPr>
      <w:r>
        <w:rPr>
          <w:rFonts w:hint="eastAsia"/>
          <w:sz w:val="18"/>
          <w:szCs w:val="18"/>
        </w:rPr>
        <w:t>5）本公司对金融工具信用管理方法是否发生变化等。</w:t>
      </w:r>
    </w:p>
    <w:p w:rsidR="00CC38FA" w:rsidRDefault="00CC38FA">
      <w:pPr>
        <w:pStyle w:val="a3"/>
        <w:spacing w:before="0" w:beforeAutospacing="0" w:after="0" w:afterAutospacing="0"/>
        <w:ind w:firstLine="360"/>
        <w:divId w:val="1287812993"/>
      </w:pPr>
      <w:r>
        <w:rPr>
          <w:rFonts w:hint="eastAsia"/>
          <w:sz w:val="18"/>
          <w:szCs w:val="18"/>
        </w:rPr>
        <w:t>于资产负债表日，若本公司判断金融工具只具有较低的信用风险，则本公司假定该金融工具的信用风险自初始确认后并未显著增加。如果金融工具的违约风险较低，借款人在短期内履行其合同现金流量义务的能力很强，并且即使较长时期内经济形势和经营环境存在不利变化但未必一定降低借款人履行其合同现金义务，则该金融工具被视为具有较低的信用风险。</w:t>
      </w:r>
    </w:p>
    <w:p w:rsidR="00CC38FA" w:rsidRDefault="00CC38FA">
      <w:pPr>
        <w:pStyle w:val="a3"/>
        <w:spacing w:before="0" w:beforeAutospacing="0" w:after="0" w:afterAutospacing="0"/>
        <w:ind w:firstLine="360"/>
        <w:divId w:val="1287812993"/>
      </w:pPr>
      <w:r>
        <w:rPr>
          <w:rFonts w:hint="eastAsia"/>
          <w:sz w:val="18"/>
          <w:szCs w:val="18"/>
        </w:rPr>
        <w:t>（3）已发生信用减值的金融资产的判断标准</w:t>
      </w:r>
    </w:p>
    <w:p w:rsidR="00CC38FA" w:rsidRDefault="00CC38FA">
      <w:pPr>
        <w:pStyle w:val="a3"/>
        <w:spacing w:before="0" w:beforeAutospacing="0" w:after="0" w:afterAutospacing="0"/>
        <w:ind w:firstLine="360"/>
        <w:divId w:val="1287812993"/>
      </w:pPr>
      <w:r>
        <w:rPr>
          <w:rFonts w:hint="eastAsia"/>
          <w:sz w:val="18"/>
          <w:szCs w:val="18"/>
        </w:rPr>
        <w:t>当对金融资产预期未来现金流量具有不利影响的一项或多项事件发生时，该金融资产成为已发生信用减值的金融资产。金融资产已发生信用减值的证据包括下列可观察信息：</w:t>
      </w:r>
    </w:p>
    <w:p w:rsidR="00CC38FA" w:rsidRDefault="00CC38FA">
      <w:pPr>
        <w:pStyle w:val="a3"/>
        <w:spacing w:before="0" w:beforeAutospacing="0" w:after="0" w:afterAutospacing="0"/>
        <w:ind w:firstLine="360"/>
        <w:divId w:val="1287812993"/>
      </w:pPr>
      <w:r>
        <w:rPr>
          <w:rFonts w:hint="eastAsia"/>
          <w:sz w:val="18"/>
          <w:szCs w:val="18"/>
        </w:rPr>
        <w:t>1）发行方或债务人发生重大财务困难；</w:t>
      </w:r>
    </w:p>
    <w:p w:rsidR="00CC38FA" w:rsidRDefault="00CC38FA">
      <w:pPr>
        <w:pStyle w:val="a3"/>
        <w:spacing w:before="0" w:beforeAutospacing="0" w:after="0" w:afterAutospacing="0"/>
        <w:ind w:firstLine="360"/>
        <w:divId w:val="1287812993"/>
      </w:pPr>
      <w:r>
        <w:rPr>
          <w:rFonts w:hint="eastAsia"/>
          <w:sz w:val="18"/>
          <w:szCs w:val="18"/>
        </w:rPr>
        <w:t>2）债务人违反合同，如偿付利息或本金违约或逾期等；</w:t>
      </w:r>
    </w:p>
    <w:p w:rsidR="00CC38FA" w:rsidRDefault="00CC38FA">
      <w:pPr>
        <w:pStyle w:val="a3"/>
        <w:spacing w:before="0" w:beforeAutospacing="0" w:after="0" w:afterAutospacing="0"/>
        <w:ind w:firstLine="360"/>
        <w:divId w:val="1287812993"/>
      </w:pPr>
      <w:r>
        <w:rPr>
          <w:rFonts w:hint="eastAsia"/>
          <w:sz w:val="18"/>
          <w:szCs w:val="18"/>
        </w:rPr>
        <w:t>3）债权人出于与债务人财务困难有关的经济或合同考虑，给予债务人在任何其他情况下都不会做出的让步；</w:t>
      </w:r>
    </w:p>
    <w:p w:rsidR="00CC38FA" w:rsidRDefault="00CC38FA">
      <w:pPr>
        <w:pStyle w:val="a3"/>
        <w:spacing w:before="0" w:beforeAutospacing="0" w:after="0" w:afterAutospacing="0"/>
        <w:ind w:firstLine="360"/>
        <w:divId w:val="1287812993"/>
      </w:pPr>
      <w:r>
        <w:rPr>
          <w:rFonts w:hint="eastAsia"/>
          <w:sz w:val="18"/>
          <w:szCs w:val="18"/>
        </w:rPr>
        <w:t>4）债务人很可能破产或进行其他财务重组；</w:t>
      </w:r>
    </w:p>
    <w:p w:rsidR="00CC38FA" w:rsidRDefault="00CC38FA">
      <w:pPr>
        <w:pStyle w:val="a3"/>
        <w:spacing w:before="0" w:beforeAutospacing="0" w:after="0" w:afterAutospacing="0"/>
        <w:ind w:firstLine="360"/>
        <w:divId w:val="1287812993"/>
      </w:pPr>
      <w:r>
        <w:rPr>
          <w:rFonts w:hint="eastAsia"/>
          <w:sz w:val="18"/>
          <w:szCs w:val="18"/>
        </w:rPr>
        <w:t>5）发行方或债务人财务困难导致该金融资产的活跃市场消失；</w:t>
      </w:r>
    </w:p>
    <w:p w:rsidR="00CC38FA" w:rsidRDefault="00CC38FA">
      <w:pPr>
        <w:pStyle w:val="a3"/>
        <w:spacing w:before="0" w:beforeAutospacing="0" w:after="0" w:afterAutospacing="0"/>
        <w:ind w:firstLine="360"/>
        <w:divId w:val="1287812993"/>
      </w:pPr>
      <w:r>
        <w:rPr>
          <w:rFonts w:hint="eastAsia"/>
          <w:sz w:val="18"/>
          <w:szCs w:val="18"/>
        </w:rPr>
        <w:t>6）以大幅折扣购买或源生一项金融资产，该折扣反映了发生信用损失的事实。</w:t>
      </w:r>
    </w:p>
    <w:p w:rsidR="00CC38FA" w:rsidRDefault="00CC38FA">
      <w:pPr>
        <w:pStyle w:val="a3"/>
        <w:spacing w:before="0" w:beforeAutospacing="0" w:after="0" w:afterAutospacing="0"/>
        <w:ind w:firstLine="360"/>
        <w:divId w:val="1287812993"/>
      </w:pPr>
      <w:r>
        <w:rPr>
          <w:rFonts w:hint="eastAsia"/>
          <w:sz w:val="18"/>
          <w:szCs w:val="18"/>
        </w:rPr>
        <w:t>金融资产发生信用减值，有可能是多个事件的共同作用所致，未必是可单独识别的事件所致。</w:t>
      </w:r>
    </w:p>
    <w:p w:rsidR="00CC38FA" w:rsidRDefault="00CC38FA">
      <w:pPr>
        <w:pStyle w:val="a3"/>
        <w:spacing w:before="0" w:beforeAutospacing="0" w:after="0" w:afterAutospacing="0"/>
        <w:ind w:firstLine="360"/>
        <w:divId w:val="1287812993"/>
      </w:pPr>
      <w:r>
        <w:rPr>
          <w:rFonts w:hint="eastAsia"/>
          <w:sz w:val="18"/>
          <w:szCs w:val="18"/>
        </w:rPr>
        <w:t>（4）以组合为基础评估预期信用风险的组合方法</w:t>
      </w:r>
    </w:p>
    <w:p w:rsidR="00CC38FA" w:rsidRDefault="00CC38FA">
      <w:pPr>
        <w:pStyle w:val="a3"/>
        <w:spacing w:before="0" w:beforeAutospacing="0" w:after="0" w:afterAutospacing="0"/>
        <w:ind w:firstLine="360"/>
        <w:divId w:val="1287812993"/>
      </w:pPr>
      <w:r>
        <w:rPr>
          <w:rFonts w:hint="eastAsia"/>
          <w:sz w:val="18"/>
          <w:szCs w:val="18"/>
        </w:rPr>
        <w:t>本公司对信用风险显著不同的金融资产单项评价信用风险，如：应收关联方款项；与对方存在争议或涉及诉讼、仲裁的应收款项；已有明显迹象表明债务人很可能无法履行还款义务的应收款项等。</w:t>
      </w:r>
    </w:p>
    <w:p w:rsidR="00CC38FA" w:rsidRDefault="00CC38FA">
      <w:pPr>
        <w:pStyle w:val="a3"/>
        <w:spacing w:before="0" w:beforeAutospacing="0" w:after="0" w:afterAutospacing="0"/>
        <w:ind w:firstLine="360"/>
        <w:divId w:val="1287812993"/>
      </w:pPr>
      <w:r>
        <w:rPr>
          <w:rFonts w:hint="eastAsia"/>
          <w:sz w:val="18"/>
          <w:szCs w:val="18"/>
        </w:rPr>
        <w:t>除了单项评估信用风险的金融资产外，本公司基于共同风险特征将金融资产划分为不同的组别，本公司采用的共同信用风险特征包括：金融工具类型、信用风险评级、账龄组合等，在组合的基础上评估信用风险。</w:t>
      </w:r>
    </w:p>
    <w:p w:rsidR="00CC38FA" w:rsidRDefault="00CC38FA">
      <w:pPr>
        <w:pStyle w:val="a3"/>
        <w:spacing w:before="0" w:beforeAutospacing="0" w:after="0" w:afterAutospacing="0"/>
        <w:ind w:firstLine="360"/>
        <w:divId w:val="1287812993"/>
      </w:pPr>
      <w:r>
        <w:rPr>
          <w:rFonts w:hint="eastAsia"/>
          <w:sz w:val="18"/>
          <w:szCs w:val="18"/>
        </w:rPr>
        <w:t>（5）金融资产减值的会计处理方法</w:t>
      </w:r>
    </w:p>
    <w:p w:rsidR="00CC38FA" w:rsidRDefault="00CC38FA">
      <w:pPr>
        <w:pStyle w:val="a3"/>
        <w:spacing w:before="0" w:beforeAutospacing="0" w:after="0" w:afterAutospacing="0"/>
        <w:ind w:firstLine="360"/>
        <w:divId w:val="1287812993"/>
      </w:pPr>
      <w:r>
        <w:rPr>
          <w:rFonts w:hint="eastAsia"/>
          <w:sz w:val="18"/>
          <w:szCs w:val="18"/>
        </w:rPr>
        <w:t>期末，本公司计算各类金融资产的预计信用损失，如果该预计信用损失大于其当前减值准备的账面金额，将其差额确认为减值损失；如果小于当前减值准备的账面金额，则将差额确认为减值利得。</w:t>
      </w:r>
    </w:p>
    <w:p w:rsidR="00CC38FA" w:rsidRDefault="00CC38FA">
      <w:pPr>
        <w:pStyle w:val="a3"/>
        <w:spacing w:before="0" w:beforeAutospacing="0" w:after="0" w:afterAutospacing="0"/>
        <w:ind w:firstLine="360"/>
        <w:divId w:val="1287812993"/>
      </w:pPr>
      <w:r>
        <w:rPr>
          <w:rFonts w:hint="eastAsia"/>
          <w:sz w:val="18"/>
          <w:szCs w:val="18"/>
        </w:rPr>
        <w:t>（6）各类金融资产信用损失的确定方法</w:t>
      </w:r>
    </w:p>
    <w:p w:rsidR="007F3A90" w:rsidRDefault="00CC38FA">
      <w:pPr>
        <w:pStyle w:val="3"/>
        <w:spacing w:line="280" w:lineRule="exact"/>
        <w:jc w:val="left"/>
        <w:rPr>
          <w:rFonts w:ascii="宋体" w:hAnsi="宋体" w:cs="宋体"/>
          <w:b/>
          <w:bCs/>
        </w:rPr>
      </w:pPr>
      <w:bookmarkStart w:id="120" w:name="_Toc989009"/>
      <w:r>
        <w:rPr>
          <w:rFonts w:ascii="宋体" w:hAnsi="宋体" w:cs="宋体"/>
          <w:b/>
          <w:bCs/>
        </w:rPr>
        <w:t>12、应收票据</w:t>
      </w:r>
      <w:bookmarkEnd w:id="120"/>
    </w:p>
    <w:p w:rsidR="00CC38FA" w:rsidRDefault="00CC38FA">
      <w:pPr>
        <w:pStyle w:val="a3"/>
        <w:spacing w:before="0" w:beforeAutospacing="0" w:after="0" w:afterAutospacing="0"/>
        <w:ind w:firstLine="360"/>
        <w:divId w:val="2032105829"/>
      </w:pPr>
      <w:r>
        <w:rPr>
          <w:rFonts w:hint="eastAsia"/>
          <w:sz w:val="18"/>
          <w:szCs w:val="18"/>
        </w:rPr>
        <w:t>本公司对于应收票据按照相当于整个存续期内的预期信用损失金额计量损失准备。基于应收票据的信用风险特征，将其划分为不同组合：</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1"/>
        <w:gridCol w:w="7796"/>
      </w:tblGrid>
      <w:tr w:rsidR="00CC38FA" w:rsidTr="003C7507">
        <w:trPr>
          <w:divId w:val="2032105829"/>
          <w:trHeight w:val="378"/>
          <w:tblHeader/>
        </w:trPr>
        <w:tc>
          <w:tcPr>
            <w:tcW w:w="1951" w:type="dxa"/>
            <w:shd w:val="clear" w:color="auto" w:fill="D3D3D3"/>
            <w:tcMar>
              <w:top w:w="0" w:type="dxa"/>
              <w:left w:w="108" w:type="dxa"/>
              <w:bottom w:w="0" w:type="dxa"/>
              <w:right w:w="108" w:type="dxa"/>
            </w:tcMar>
            <w:vAlign w:val="center"/>
            <w:hideMark/>
          </w:tcPr>
          <w:p w:rsidR="00CC38FA" w:rsidRDefault="00CC38FA">
            <w:pPr>
              <w:pStyle w:val="a3"/>
              <w:spacing w:before="0" w:beforeAutospacing="0" w:after="0" w:afterAutospacing="0"/>
              <w:jc w:val="center"/>
            </w:pPr>
            <w:r>
              <w:rPr>
                <w:rFonts w:hint="eastAsia"/>
                <w:color w:val="000000"/>
                <w:sz w:val="18"/>
                <w:szCs w:val="18"/>
              </w:rPr>
              <w:t>项  目</w:t>
            </w:r>
          </w:p>
        </w:tc>
        <w:tc>
          <w:tcPr>
            <w:tcW w:w="7796" w:type="dxa"/>
            <w:shd w:val="clear" w:color="auto" w:fill="D3D3D3"/>
            <w:tcMar>
              <w:top w:w="0" w:type="dxa"/>
              <w:left w:w="108" w:type="dxa"/>
              <w:bottom w:w="0" w:type="dxa"/>
              <w:right w:w="108" w:type="dxa"/>
            </w:tcMar>
            <w:vAlign w:val="center"/>
            <w:hideMark/>
          </w:tcPr>
          <w:p w:rsidR="00CC38FA" w:rsidRDefault="00CC38FA">
            <w:pPr>
              <w:pStyle w:val="a3"/>
              <w:spacing w:before="0" w:beforeAutospacing="0" w:after="0" w:afterAutospacing="0"/>
              <w:ind w:firstLine="400"/>
              <w:jc w:val="center"/>
            </w:pPr>
            <w:r>
              <w:rPr>
                <w:rFonts w:hint="eastAsia"/>
                <w:color w:val="000000"/>
                <w:sz w:val="18"/>
                <w:szCs w:val="18"/>
              </w:rPr>
              <w:t>确定组合的依据</w:t>
            </w:r>
          </w:p>
        </w:tc>
      </w:tr>
      <w:tr w:rsidR="00CC38FA" w:rsidTr="003C7507">
        <w:trPr>
          <w:divId w:val="2032105829"/>
          <w:trHeight w:val="300"/>
        </w:trPr>
        <w:tc>
          <w:tcPr>
            <w:tcW w:w="1951" w:type="dxa"/>
            <w:shd w:val="clear" w:color="auto" w:fill="D3D3D3"/>
            <w:noWrap/>
            <w:tcMar>
              <w:top w:w="0" w:type="dxa"/>
              <w:left w:w="108" w:type="dxa"/>
              <w:bottom w:w="0" w:type="dxa"/>
              <w:right w:w="108" w:type="dxa"/>
            </w:tcMar>
            <w:vAlign w:val="center"/>
            <w:hideMark/>
          </w:tcPr>
          <w:p w:rsidR="00CC38FA" w:rsidRDefault="00CC38FA">
            <w:pPr>
              <w:pStyle w:val="a3"/>
              <w:spacing w:before="0" w:beforeAutospacing="0" w:after="0" w:afterAutospacing="0"/>
            </w:pPr>
            <w:r>
              <w:rPr>
                <w:rFonts w:hint="eastAsia"/>
                <w:color w:val="000000"/>
                <w:sz w:val="18"/>
                <w:szCs w:val="18"/>
              </w:rPr>
              <w:t>银行承兑汇票</w:t>
            </w:r>
          </w:p>
        </w:tc>
        <w:tc>
          <w:tcPr>
            <w:tcW w:w="7796" w:type="dxa"/>
            <w:noWrap/>
            <w:tcMar>
              <w:top w:w="0" w:type="dxa"/>
              <w:left w:w="108" w:type="dxa"/>
              <w:bottom w:w="0" w:type="dxa"/>
              <w:right w:w="108" w:type="dxa"/>
            </w:tcMar>
            <w:vAlign w:val="center"/>
            <w:hideMark/>
          </w:tcPr>
          <w:p w:rsidR="00CC38FA" w:rsidRDefault="00CC38FA">
            <w:pPr>
              <w:pStyle w:val="a3"/>
              <w:spacing w:before="0" w:beforeAutospacing="0" w:after="0" w:afterAutospacing="0"/>
            </w:pPr>
            <w:r>
              <w:rPr>
                <w:rFonts w:hint="eastAsia"/>
                <w:sz w:val="18"/>
                <w:szCs w:val="18"/>
              </w:rPr>
              <w:t>承兑人为信用风险较小的银行</w:t>
            </w:r>
          </w:p>
        </w:tc>
      </w:tr>
      <w:tr w:rsidR="00CC38FA" w:rsidTr="003C7507">
        <w:trPr>
          <w:divId w:val="2032105829"/>
          <w:trHeight w:val="300"/>
        </w:trPr>
        <w:tc>
          <w:tcPr>
            <w:tcW w:w="1951" w:type="dxa"/>
            <w:shd w:val="clear" w:color="auto" w:fill="D3D3D3"/>
            <w:noWrap/>
            <w:tcMar>
              <w:top w:w="0" w:type="dxa"/>
              <w:left w:w="108" w:type="dxa"/>
              <w:bottom w:w="0" w:type="dxa"/>
              <w:right w:w="108" w:type="dxa"/>
            </w:tcMar>
            <w:vAlign w:val="center"/>
            <w:hideMark/>
          </w:tcPr>
          <w:p w:rsidR="00CC38FA" w:rsidRDefault="00CC38FA">
            <w:pPr>
              <w:pStyle w:val="a3"/>
              <w:spacing w:before="0" w:beforeAutospacing="0" w:after="0" w:afterAutospacing="0"/>
            </w:pPr>
            <w:r>
              <w:rPr>
                <w:rFonts w:hint="eastAsia"/>
                <w:color w:val="000000"/>
                <w:sz w:val="18"/>
                <w:szCs w:val="18"/>
              </w:rPr>
              <w:t>商业承兑汇票</w:t>
            </w:r>
          </w:p>
        </w:tc>
        <w:tc>
          <w:tcPr>
            <w:tcW w:w="7796" w:type="dxa"/>
            <w:noWrap/>
            <w:tcMar>
              <w:top w:w="0" w:type="dxa"/>
              <w:left w:w="108" w:type="dxa"/>
              <w:bottom w:w="0" w:type="dxa"/>
              <w:right w:w="108" w:type="dxa"/>
            </w:tcMar>
            <w:vAlign w:val="center"/>
            <w:hideMark/>
          </w:tcPr>
          <w:p w:rsidR="00CC38FA" w:rsidRDefault="00CC38FA">
            <w:pPr>
              <w:pStyle w:val="a3"/>
              <w:spacing w:before="0" w:beforeAutospacing="0" w:after="0" w:afterAutospacing="0"/>
            </w:pPr>
            <w:r>
              <w:rPr>
                <w:rFonts w:hint="eastAsia"/>
                <w:sz w:val="18"/>
                <w:szCs w:val="18"/>
              </w:rPr>
              <w:t>与“应收账款”组合划分相同</w:t>
            </w:r>
          </w:p>
        </w:tc>
      </w:tr>
    </w:tbl>
    <w:p w:rsidR="007F3A90" w:rsidRDefault="00CC38FA">
      <w:pPr>
        <w:pStyle w:val="3"/>
        <w:spacing w:line="280" w:lineRule="exact"/>
        <w:jc w:val="left"/>
        <w:rPr>
          <w:rFonts w:ascii="宋体" w:hAnsi="宋体" w:cs="宋体"/>
          <w:b/>
          <w:bCs/>
        </w:rPr>
      </w:pPr>
      <w:bookmarkStart w:id="121" w:name="_Toc989010"/>
      <w:r>
        <w:rPr>
          <w:rFonts w:ascii="宋体" w:hAnsi="宋体" w:cs="宋体"/>
          <w:b/>
          <w:bCs/>
        </w:rPr>
        <w:t>13、应收账款</w:t>
      </w:r>
      <w:bookmarkEnd w:id="121"/>
    </w:p>
    <w:p w:rsidR="00CC38FA" w:rsidRDefault="00CC38FA">
      <w:pPr>
        <w:pStyle w:val="a3"/>
        <w:spacing w:before="0" w:beforeAutospacing="0" w:after="0" w:afterAutospacing="0"/>
        <w:ind w:firstLine="360"/>
        <w:divId w:val="1333070227"/>
      </w:pPr>
      <w:r>
        <w:rPr>
          <w:rFonts w:hint="eastAsia"/>
          <w:sz w:val="18"/>
          <w:szCs w:val="18"/>
        </w:rPr>
        <w:t>对于不含重大融资成分的应收款项，本公司按照相当于整个存续期内的预期信用损失金额计量损失准备。</w:t>
      </w:r>
    </w:p>
    <w:p w:rsidR="00CC38FA" w:rsidRDefault="00CC38FA">
      <w:pPr>
        <w:pStyle w:val="a3"/>
        <w:spacing w:before="0" w:beforeAutospacing="0" w:after="0" w:afterAutospacing="0"/>
        <w:ind w:firstLine="360"/>
        <w:divId w:val="1333070227"/>
      </w:pPr>
      <w:r>
        <w:rPr>
          <w:rFonts w:hint="eastAsia"/>
          <w:sz w:val="18"/>
          <w:szCs w:val="18"/>
        </w:rPr>
        <w:t>对于包含重大融资成分的应收款项，本公司选择始终按照相当于存续期内预期信用损失的金额计量损失准备。</w:t>
      </w:r>
    </w:p>
    <w:p w:rsidR="00CC38FA" w:rsidRDefault="00CC38FA">
      <w:pPr>
        <w:pStyle w:val="a3"/>
        <w:spacing w:before="0" w:beforeAutospacing="0" w:after="0" w:afterAutospacing="0"/>
        <w:ind w:firstLine="360"/>
        <w:divId w:val="1333070227"/>
      </w:pPr>
      <w:r>
        <w:rPr>
          <w:rFonts w:hint="eastAsia"/>
          <w:sz w:val="18"/>
          <w:szCs w:val="18"/>
        </w:rPr>
        <w:t>对于存在客观证据表明存在减值，以及其他适用于单项评估的应收账款，单独进行减值测试，确认预期信用损失，计提单项减值准备。对于不存在减值客观证据的应收账款或当单项应收账款无法以合理成本评估预期信用损失的信息时，本公司依据信用风险特征将应收账款划分为若干组合，在组合基础上计算预期信用损失，确定组合的依据如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1"/>
        <w:gridCol w:w="7796"/>
      </w:tblGrid>
      <w:tr w:rsidR="00CC38FA" w:rsidTr="003C7507">
        <w:trPr>
          <w:divId w:val="1333070227"/>
          <w:trHeight w:val="378"/>
          <w:tblHeader/>
        </w:trPr>
        <w:tc>
          <w:tcPr>
            <w:tcW w:w="1951" w:type="dxa"/>
            <w:shd w:val="clear" w:color="auto" w:fill="D3D3D3"/>
            <w:tcMar>
              <w:top w:w="0" w:type="dxa"/>
              <w:left w:w="108" w:type="dxa"/>
              <w:bottom w:w="0" w:type="dxa"/>
              <w:right w:w="108" w:type="dxa"/>
            </w:tcMar>
            <w:vAlign w:val="center"/>
            <w:hideMark/>
          </w:tcPr>
          <w:p w:rsidR="00CC38FA" w:rsidRDefault="00CC38FA" w:rsidP="003C7507">
            <w:pPr>
              <w:pStyle w:val="a3"/>
              <w:spacing w:before="0" w:beforeAutospacing="0" w:after="0" w:afterAutospacing="0"/>
              <w:jc w:val="center"/>
            </w:pPr>
            <w:r>
              <w:rPr>
                <w:rFonts w:hint="eastAsia"/>
                <w:color w:val="000000"/>
                <w:sz w:val="18"/>
                <w:szCs w:val="18"/>
              </w:rPr>
              <w:lastRenderedPageBreak/>
              <w:t>项  目</w:t>
            </w:r>
          </w:p>
        </w:tc>
        <w:tc>
          <w:tcPr>
            <w:tcW w:w="7796" w:type="dxa"/>
            <w:shd w:val="clear" w:color="auto" w:fill="D3D3D3"/>
            <w:tcMar>
              <w:top w:w="0" w:type="dxa"/>
              <w:left w:w="108" w:type="dxa"/>
              <w:bottom w:w="0" w:type="dxa"/>
              <w:right w:w="108" w:type="dxa"/>
            </w:tcMar>
            <w:vAlign w:val="center"/>
            <w:hideMark/>
          </w:tcPr>
          <w:p w:rsidR="00CC38FA" w:rsidRDefault="00CC38FA" w:rsidP="003C7507">
            <w:pPr>
              <w:pStyle w:val="a3"/>
              <w:spacing w:before="0" w:beforeAutospacing="0" w:after="0" w:afterAutospacing="0"/>
              <w:ind w:firstLine="400"/>
              <w:jc w:val="center"/>
            </w:pPr>
            <w:r>
              <w:rPr>
                <w:rFonts w:hint="eastAsia"/>
                <w:color w:val="000000"/>
                <w:sz w:val="18"/>
                <w:szCs w:val="18"/>
              </w:rPr>
              <w:t>确定组合的依据</w:t>
            </w:r>
          </w:p>
        </w:tc>
      </w:tr>
      <w:tr w:rsidR="00CC38FA" w:rsidTr="003C7507">
        <w:trPr>
          <w:divId w:val="1333070227"/>
          <w:trHeight w:val="300"/>
        </w:trPr>
        <w:tc>
          <w:tcPr>
            <w:tcW w:w="1951" w:type="dxa"/>
            <w:shd w:val="clear" w:color="auto" w:fill="D3D3D3"/>
            <w:noWrap/>
            <w:tcMar>
              <w:top w:w="0" w:type="dxa"/>
              <w:left w:w="108" w:type="dxa"/>
              <w:bottom w:w="0" w:type="dxa"/>
              <w:right w:w="108" w:type="dxa"/>
            </w:tcMar>
            <w:vAlign w:val="center"/>
            <w:hideMark/>
          </w:tcPr>
          <w:p w:rsidR="00CC38FA" w:rsidRDefault="00CC38FA">
            <w:pPr>
              <w:pStyle w:val="a3"/>
              <w:spacing w:before="0" w:beforeAutospacing="0" w:after="0" w:afterAutospacing="0"/>
            </w:pPr>
            <w:r>
              <w:rPr>
                <w:rFonts w:hint="eastAsia"/>
                <w:color w:val="000000"/>
                <w:sz w:val="18"/>
                <w:szCs w:val="18"/>
              </w:rPr>
              <w:t>合并范围内关联方</w:t>
            </w:r>
          </w:p>
        </w:tc>
        <w:tc>
          <w:tcPr>
            <w:tcW w:w="7796" w:type="dxa"/>
            <w:noWrap/>
            <w:tcMar>
              <w:top w:w="0" w:type="dxa"/>
              <w:left w:w="108" w:type="dxa"/>
              <w:bottom w:w="0" w:type="dxa"/>
              <w:right w:w="108" w:type="dxa"/>
            </w:tcMar>
            <w:vAlign w:val="center"/>
            <w:hideMark/>
          </w:tcPr>
          <w:p w:rsidR="00CC38FA" w:rsidRDefault="00CC38FA">
            <w:pPr>
              <w:pStyle w:val="a3"/>
              <w:spacing w:before="0" w:beforeAutospacing="0" w:after="0" w:afterAutospacing="0"/>
            </w:pPr>
            <w:r>
              <w:rPr>
                <w:rFonts w:hint="eastAsia"/>
                <w:sz w:val="18"/>
                <w:szCs w:val="18"/>
              </w:rPr>
              <w:t>合并报表范围内公司间应收款项（个别报表）</w:t>
            </w:r>
          </w:p>
        </w:tc>
      </w:tr>
      <w:tr w:rsidR="00CC38FA" w:rsidTr="003C7507">
        <w:trPr>
          <w:divId w:val="1333070227"/>
          <w:trHeight w:val="300"/>
        </w:trPr>
        <w:tc>
          <w:tcPr>
            <w:tcW w:w="1951" w:type="dxa"/>
            <w:shd w:val="clear" w:color="auto" w:fill="D3D3D3"/>
            <w:noWrap/>
            <w:tcMar>
              <w:top w:w="0" w:type="dxa"/>
              <w:left w:w="108" w:type="dxa"/>
              <w:bottom w:w="0" w:type="dxa"/>
              <w:right w:w="108" w:type="dxa"/>
            </w:tcMar>
            <w:vAlign w:val="center"/>
            <w:hideMark/>
          </w:tcPr>
          <w:p w:rsidR="00CC38FA" w:rsidRDefault="00CC38FA">
            <w:pPr>
              <w:pStyle w:val="a3"/>
              <w:spacing w:before="0" w:beforeAutospacing="0" w:after="0" w:afterAutospacing="0"/>
            </w:pPr>
            <w:r>
              <w:rPr>
                <w:rFonts w:hint="eastAsia"/>
                <w:color w:val="000000"/>
                <w:sz w:val="18"/>
                <w:szCs w:val="18"/>
              </w:rPr>
              <w:t>采用账龄的组合</w:t>
            </w:r>
          </w:p>
        </w:tc>
        <w:tc>
          <w:tcPr>
            <w:tcW w:w="7796" w:type="dxa"/>
            <w:noWrap/>
            <w:tcMar>
              <w:top w:w="0" w:type="dxa"/>
              <w:left w:w="108" w:type="dxa"/>
              <w:bottom w:w="0" w:type="dxa"/>
              <w:right w:w="108" w:type="dxa"/>
            </w:tcMar>
            <w:vAlign w:val="center"/>
            <w:hideMark/>
          </w:tcPr>
          <w:p w:rsidR="00CC38FA" w:rsidRDefault="00CC38FA">
            <w:pPr>
              <w:pStyle w:val="a3"/>
              <w:spacing w:before="0" w:beforeAutospacing="0" w:after="0" w:afterAutospacing="0"/>
            </w:pPr>
            <w:r>
              <w:rPr>
                <w:rFonts w:hint="eastAsia"/>
                <w:sz w:val="18"/>
                <w:szCs w:val="18"/>
              </w:rPr>
              <w:t>合并报表范围外的境内各公司账面的应收款项，本组合以应收款项的账龄作为信用风险特征。</w:t>
            </w:r>
          </w:p>
        </w:tc>
      </w:tr>
      <w:tr w:rsidR="00CC38FA" w:rsidTr="003C7507">
        <w:trPr>
          <w:divId w:val="1333070227"/>
          <w:trHeight w:val="300"/>
        </w:trPr>
        <w:tc>
          <w:tcPr>
            <w:tcW w:w="1951" w:type="dxa"/>
            <w:shd w:val="clear" w:color="auto" w:fill="D3D3D3"/>
            <w:noWrap/>
            <w:tcMar>
              <w:top w:w="0" w:type="dxa"/>
              <w:left w:w="108" w:type="dxa"/>
              <w:bottom w:w="0" w:type="dxa"/>
              <w:right w:w="108" w:type="dxa"/>
            </w:tcMar>
            <w:vAlign w:val="center"/>
            <w:hideMark/>
          </w:tcPr>
          <w:p w:rsidR="00CC38FA" w:rsidRDefault="00CC38FA">
            <w:pPr>
              <w:pStyle w:val="a3"/>
              <w:spacing w:before="0" w:beforeAutospacing="0" w:after="0" w:afterAutospacing="0"/>
            </w:pPr>
            <w:r>
              <w:rPr>
                <w:rFonts w:hint="eastAsia"/>
                <w:color w:val="000000"/>
                <w:sz w:val="18"/>
                <w:szCs w:val="18"/>
              </w:rPr>
              <w:t>采用个别认定的组合</w:t>
            </w:r>
          </w:p>
        </w:tc>
        <w:tc>
          <w:tcPr>
            <w:tcW w:w="7796" w:type="dxa"/>
            <w:noWrap/>
            <w:tcMar>
              <w:top w:w="0" w:type="dxa"/>
              <w:left w:w="108" w:type="dxa"/>
              <w:bottom w:w="0" w:type="dxa"/>
              <w:right w:w="108" w:type="dxa"/>
            </w:tcMar>
            <w:vAlign w:val="center"/>
            <w:hideMark/>
          </w:tcPr>
          <w:p w:rsidR="00CC38FA" w:rsidRDefault="00CC38FA">
            <w:pPr>
              <w:pStyle w:val="a3"/>
              <w:spacing w:before="0" w:beforeAutospacing="0" w:after="0" w:afterAutospacing="0"/>
            </w:pPr>
            <w:r>
              <w:rPr>
                <w:rFonts w:hint="eastAsia"/>
                <w:sz w:val="18"/>
                <w:szCs w:val="18"/>
              </w:rPr>
              <w:t>管理手段可以用个别现金流量来判断，包括境外公司的单位或个人，以及对有确凿证据表明可收回性存在明显差异的应收款项，单独进行减值测试</w:t>
            </w:r>
          </w:p>
        </w:tc>
      </w:tr>
    </w:tbl>
    <w:p w:rsidR="007F3A90" w:rsidRDefault="00CC38FA">
      <w:pPr>
        <w:pStyle w:val="3"/>
        <w:spacing w:line="280" w:lineRule="exact"/>
        <w:jc w:val="left"/>
        <w:rPr>
          <w:rFonts w:ascii="宋体" w:hAnsi="宋体" w:cs="宋体"/>
          <w:b/>
          <w:bCs/>
        </w:rPr>
      </w:pPr>
      <w:bookmarkStart w:id="122" w:name="_Toc989011"/>
      <w:r>
        <w:rPr>
          <w:rFonts w:ascii="宋体" w:hAnsi="宋体" w:cs="宋体"/>
          <w:b/>
          <w:bCs/>
        </w:rPr>
        <w:t>14、应收款项融资</w:t>
      </w:r>
      <w:bookmarkEnd w:id="122"/>
    </w:p>
    <w:p w:rsidR="00CC38FA" w:rsidRDefault="00CC38FA">
      <w:pPr>
        <w:pStyle w:val="a3"/>
        <w:divId w:val="1652950907"/>
        <w:rPr>
          <w:sz w:val="18"/>
          <w:szCs w:val="18"/>
        </w:rPr>
      </w:pPr>
      <w:r>
        <w:rPr>
          <w:rFonts w:ascii="等线" w:eastAsia="等线" w:hAnsi="等线" w:hint="eastAsia"/>
          <w:sz w:val="18"/>
          <w:szCs w:val="18"/>
        </w:rPr>
        <w:t>详见“金融工具”。</w:t>
      </w:r>
    </w:p>
    <w:p w:rsidR="007F3A90" w:rsidRDefault="00CC38FA">
      <w:pPr>
        <w:pStyle w:val="3"/>
        <w:spacing w:line="280" w:lineRule="exact"/>
        <w:jc w:val="left"/>
        <w:rPr>
          <w:rFonts w:ascii="宋体" w:hAnsi="宋体" w:cs="宋体"/>
          <w:b/>
          <w:bCs/>
        </w:rPr>
      </w:pPr>
      <w:bookmarkStart w:id="123" w:name="_Toc989012"/>
      <w:r>
        <w:rPr>
          <w:rFonts w:ascii="宋体" w:hAnsi="宋体" w:cs="宋体"/>
          <w:b/>
          <w:bCs/>
        </w:rPr>
        <w:t>15、其他应收款</w:t>
      </w:r>
      <w:bookmarkEnd w:id="123"/>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其他应收款的预期信用损失的确定方法及会计处理方法</w:t>
      </w:r>
    </w:p>
    <w:p w:rsidR="00CC38FA" w:rsidRDefault="00CC38FA">
      <w:pPr>
        <w:pStyle w:val="a3"/>
        <w:spacing w:before="0" w:beforeAutospacing="0" w:after="0" w:afterAutospacing="0"/>
        <w:ind w:firstLine="360"/>
        <w:divId w:val="372342665"/>
      </w:pPr>
      <w:r>
        <w:rPr>
          <w:rFonts w:hint="eastAsia"/>
          <w:sz w:val="18"/>
          <w:szCs w:val="18"/>
        </w:rPr>
        <w:t>本公司依据其他应收款信用风险自初始确认后是否已经显著增加，采用相当于未来12个月内、或整个存续期的预期信用损失的金额计量减值损失。除了单项评估信用风险的其他应收款外，基于其信用风险特征，将其划分为不同组合：</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1"/>
        <w:gridCol w:w="7796"/>
      </w:tblGrid>
      <w:tr w:rsidR="00CC38FA" w:rsidTr="003C7507">
        <w:trPr>
          <w:divId w:val="372342665"/>
          <w:trHeight w:val="378"/>
          <w:tblHeader/>
        </w:trPr>
        <w:tc>
          <w:tcPr>
            <w:tcW w:w="1951" w:type="dxa"/>
            <w:shd w:val="clear" w:color="auto" w:fill="D3D3D3"/>
            <w:tcMar>
              <w:top w:w="0" w:type="dxa"/>
              <w:left w:w="108" w:type="dxa"/>
              <w:bottom w:w="0" w:type="dxa"/>
              <w:right w:w="108" w:type="dxa"/>
            </w:tcMar>
            <w:vAlign w:val="center"/>
            <w:hideMark/>
          </w:tcPr>
          <w:p w:rsidR="00CC38FA" w:rsidRDefault="00CC38FA" w:rsidP="003C7507">
            <w:pPr>
              <w:pStyle w:val="a3"/>
              <w:spacing w:before="0" w:beforeAutospacing="0" w:after="0" w:afterAutospacing="0"/>
              <w:jc w:val="center"/>
            </w:pPr>
            <w:r>
              <w:rPr>
                <w:rFonts w:hint="eastAsia"/>
                <w:color w:val="000000"/>
                <w:sz w:val="18"/>
                <w:szCs w:val="18"/>
              </w:rPr>
              <w:t>项  目</w:t>
            </w:r>
          </w:p>
        </w:tc>
        <w:tc>
          <w:tcPr>
            <w:tcW w:w="7796" w:type="dxa"/>
            <w:shd w:val="clear" w:color="auto" w:fill="D3D3D3"/>
            <w:tcMar>
              <w:top w:w="0" w:type="dxa"/>
              <w:left w:w="108" w:type="dxa"/>
              <w:bottom w:w="0" w:type="dxa"/>
              <w:right w:w="108" w:type="dxa"/>
            </w:tcMar>
            <w:vAlign w:val="center"/>
            <w:hideMark/>
          </w:tcPr>
          <w:p w:rsidR="00CC38FA" w:rsidRDefault="00CC38FA" w:rsidP="003C7507">
            <w:pPr>
              <w:pStyle w:val="a3"/>
              <w:spacing w:before="0" w:beforeAutospacing="0" w:after="0" w:afterAutospacing="0"/>
              <w:ind w:firstLine="420"/>
              <w:jc w:val="center"/>
            </w:pPr>
            <w:r>
              <w:rPr>
                <w:rFonts w:hint="eastAsia"/>
                <w:color w:val="000000"/>
                <w:sz w:val="18"/>
                <w:szCs w:val="18"/>
              </w:rPr>
              <w:t>确定组合的依据</w:t>
            </w:r>
          </w:p>
        </w:tc>
      </w:tr>
      <w:tr w:rsidR="00CC38FA" w:rsidTr="003C7507">
        <w:trPr>
          <w:divId w:val="372342665"/>
          <w:trHeight w:val="300"/>
        </w:trPr>
        <w:tc>
          <w:tcPr>
            <w:tcW w:w="1951" w:type="dxa"/>
            <w:shd w:val="clear" w:color="auto" w:fill="D3D3D3"/>
            <w:noWrap/>
            <w:tcMar>
              <w:top w:w="0" w:type="dxa"/>
              <w:left w:w="108" w:type="dxa"/>
              <w:bottom w:w="0" w:type="dxa"/>
              <w:right w:w="108" w:type="dxa"/>
            </w:tcMar>
            <w:vAlign w:val="center"/>
            <w:hideMark/>
          </w:tcPr>
          <w:p w:rsidR="00CC38FA" w:rsidRDefault="00CC38FA">
            <w:pPr>
              <w:pStyle w:val="a3"/>
              <w:spacing w:before="0" w:beforeAutospacing="0" w:after="0" w:afterAutospacing="0"/>
              <w:jc w:val="center"/>
            </w:pPr>
            <w:r>
              <w:rPr>
                <w:rFonts w:hint="eastAsia"/>
                <w:color w:val="000000"/>
                <w:sz w:val="18"/>
                <w:szCs w:val="18"/>
              </w:rPr>
              <w:t>合并范围内关联方</w:t>
            </w:r>
          </w:p>
        </w:tc>
        <w:tc>
          <w:tcPr>
            <w:tcW w:w="7796" w:type="dxa"/>
            <w:noWrap/>
            <w:tcMar>
              <w:top w:w="0" w:type="dxa"/>
              <w:left w:w="108" w:type="dxa"/>
              <w:bottom w:w="0" w:type="dxa"/>
              <w:right w:w="108" w:type="dxa"/>
            </w:tcMar>
            <w:vAlign w:val="center"/>
            <w:hideMark/>
          </w:tcPr>
          <w:p w:rsidR="00CC38FA" w:rsidRDefault="00CC38FA">
            <w:pPr>
              <w:pStyle w:val="a3"/>
              <w:spacing w:before="0" w:beforeAutospacing="0" w:after="0" w:afterAutospacing="0"/>
            </w:pPr>
            <w:r>
              <w:rPr>
                <w:rFonts w:hint="eastAsia"/>
                <w:sz w:val="18"/>
                <w:szCs w:val="18"/>
              </w:rPr>
              <w:t>合并报表范围内公司间应收款项（个别报表）</w:t>
            </w:r>
          </w:p>
        </w:tc>
      </w:tr>
      <w:tr w:rsidR="00CC38FA" w:rsidTr="003C7507">
        <w:trPr>
          <w:divId w:val="372342665"/>
          <w:trHeight w:val="300"/>
        </w:trPr>
        <w:tc>
          <w:tcPr>
            <w:tcW w:w="1951" w:type="dxa"/>
            <w:shd w:val="clear" w:color="auto" w:fill="D3D3D3"/>
            <w:noWrap/>
            <w:tcMar>
              <w:top w:w="0" w:type="dxa"/>
              <w:left w:w="108" w:type="dxa"/>
              <w:bottom w:w="0" w:type="dxa"/>
              <w:right w:w="108" w:type="dxa"/>
            </w:tcMar>
            <w:vAlign w:val="center"/>
            <w:hideMark/>
          </w:tcPr>
          <w:p w:rsidR="00CC38FA" w:rsidRDefault="00CC38FA">
            <w:pPr>
              <w:pStyle w:val="a3"/>
              <w:spacing w:before="0" w:beforeAutospacing="0" w:after="0" w:afterAutospacing="0"/>
              <w:jc w:val="center"/>
            </w:pPr>
            <w:r>
              <w:rPr>
                <w:rFonts w:hint="eastAsia"/>
                <w:color w:val="000000"/>
                <w:sz w:val="18"/>
                <w:szCs w:val="18"/>
              </w:rPr>
              <w:t>采用账龄的组合</w:t>
            </w:r>
          </w:p>
        </w:tc>
        <w:tc>
          <w:tcPr>
            <w:tcW w:w="7796" w:type="dxa"/>
            <w:noWrap/>
            <w:tcMar>
              <w:top w:w="0" w:type="dxa"/>
              <w:left w:w="108" w:type="dxa"/>
              <w:bottom w:w="0" w:type="dxa"/>
              <w:right w:w="108" w:type="dxa"/>
            </w:tcMar>
            <w:vAlign w:val="center"/>
            <w:hideMark/>
          </w:tcPr>
          <w:p w:rsidR="00CC38FA" w:rsidRDefault="00CC38FA">
            <w:pPr>
              <w:pStyle w:val="a3"/>
              <w:spacing w:before="0" w:beforeAutospacing="0" w:after="0" w:afterAutospacing="0"/>
            </w:pPr>
            <w:r>
              <w:rPr>
                <w:rFonts w:hint="eastAsia"/>
                <w:sz w:val="18"/>
                <w:szCs w:val="18"/>
              </w:rPr>
              <w:t>合并报表范围外的境内各公司账面的应收款项，本组合以应收款项的账龄作为信用风险特征。</w:t>
            </w:r>
          </w:p>
        </w:tc>
      </w:tr>
      <w:tr w:rsidR="00CC38FA" w:rsidTr="003C7507">
        <w:trPr>
          <w:divId w:val="372342665"/>
          <w:trHeight w:val="300"/>
        </w:trPr>
        <w:tc>
          <w:tcPr>
            <w:tcW w:w="1951" w:type="dxa"/>
            <w:shd w:val="clear" w:color="auto" w:fill="D3D3D3"/>
            <w:noWrap/>
            <w:tcMar>
              <w:top w:w="0" w:type="dxa"/>
              <w:left w:w="108" w:type="dxa"/>
              <w:bottom w:w="0" w:type="dxa"/>
              <w:right w:w="108" w:type="dxa"/>
            </w:tcMar>
            <w:vAlign w:val="center"/>
            <w:hideMark/>
          </w:tcPr>
          <w:p w:rsidR="00CC38FA" w:rsidRDefault="00CC38FA">
            <w:pPr>
              <w:pStyle w:val="a3"/>
              <w:spacing w:before="0" w:beforeAutospacing="0" w:after="0" w:afterAutospacing="0"/>
              <w:jc w:val="center"/>
            </w:pPr>
            <w:r>
              <w:rPr>
                <w:rFonts w:hint="eastAsia"/>
                <w:color w:val="000000"/>
                <w:sz w:val="18"/>
                <w:szCs w:val="18"/>
              </w:rPr>
              <w:t>采用个别认定的组合</w:t>
            </w:r>
          </w:p>
        </w:tc>
        <w:tc>
          <w:tcPr>
            <w:tcW w:w="7796" w:type="dxa"/>
            <w:noWrap/>
            <w:tcMar>
              <w:top w:w="0" w:type="dxa"/>
              <w:left w:w="108" w:type="dxa"/>
              <w:bottom w:w="0" w:type="dxa"/>
              <w:right w:w="108" w:type="dxa"/>
            </w:tcMar>
            <w:vAlign w:val="center"/>
            <w:hideMark/>
          </w:tcPr>
          <w:p w:rsidR="00CC38FA" w:rsidRDefault="00CC38FA">
            <w:pPr>
              <w:pStyle w:val="a3"/>
              <w:spacing w:before="0" w:beforeAutospacing="0" w:after="0" w:afterAutospacing="0"/>
            </w:pPr>
            <w:r>
              <w:rPr>
                <w:rFonts w:hint="eastAsia"/>
                <w:sz w:val="18"/>
                <w:szCs w:val="18"/>
              </w:rPr>
              <w:t>管理手段可以用个别现金流量来判断，包括境外公司的单位或个人，以及对有确凿证据表明可收回性存在明显差异的应收款项，单独进行减值测试</w:t>
            </w:r>
          </w:p>
        </w:tc>
      </w:tr>
    </w:tbl>
    <w:p w:rsidR="007F3A90" w:rsidRDefault="00CC38FA">
      <w:pPr>
        <w:pStyle w:val="3"/>
        <w:spacing w:line="280" w:lineRule="exact"/>
        <w:jc w:val="left"/>
        <w:rPr>
          <w:rFonts w:ascii="宋体" w:hAnsi="宋体" w:cs="宋体"/>
          <w:b/>
          <w:bCs/>
        </w:rPr>
      </w:pPr>
      <w:bookmarkStart w:id="124" w:name="_Toc989013"/>
      <w:r>
        <w:rPr>
          <w:rFonts w:ascii="宋体" w:hAnsi="宋体" w:cs="宋体"/>
          <w:b/>
          <w:bCs/>
        </w:rPr>
        <w:t>16、合同资产</w:t>
      </w:r>
      <w:bookmarkEnd w:id="124"/>
    </w:p>
    <w:p w:rsidR="00CC38FA" w:rsidRDefault="00CC38FA">
      <w:pPr>
        <w:pStyle w:val="a3"/>
        <w:spacing w:before="0" w:beforeAutospacing="0" w:after="0" w:afterAutospacing="0"/>
        <w:ind w:firstLine="360"/>
        <w:divId w:val="1626813320"/>
      </w:pPr>
      <w:r>
        <w:rPr>
          <w:rFonts w:hint="eastAsia"/>
          <w:color w:val="000000"/>
          <w:sz w:val="18"/>
          <w:szCs w:val="18"/>
        </w:rPr>
        <w:t>本公司将客户尚未支付合同对价，但本公司已经依据合同履行了履约义务，且不属于无条件（即仅取决于时间流逝）向客户收款的权利，在资产负债表中列示为合同资产。同一合同下的合同资产和合同负债以净额列示，不同合同下的合同资产和合同负债不予抵销。</w:t>
      </w:r>
    </w:p>
    <w:p w:rsidR="00CC38FA" w:rsidRDefault="00CC38FA">
      <w:pPr>
        <w:pStyle w:val="a3"/>
        <w:spacing w:before="0" w:beforeAutospacing="0" w:after="0" w:afterAutospacing="0"/>
        <w:ind w:firstLine="360"/>
        <w:divId w:val="1626813320"/>
      </w:pPr>
      <w:r>
        <w:rPr>
          <w:rFonts w:hint="eastAsia"/>
          <w:color w:val="000000"/>
          <w:sz w:val="18"/>
          <w:szCs w:val="18"/>
        </w:rPr>
        <w:t>合同资产预期信用损失的确定方法和会计处理方法参见附注金融资产减值。</w:t>
      </w:r>
    </w:p>
    <w:p w:rsidR="007F3A90" w:rsidRDefault="00CC38FA">
      <w:pPr>
        <w:pStyle w:val="3"/>
        <w:spacing w:line="280" w:lineRule="exact"/>
        <w:jc w:val="left"/>
        <w:rPr>
          <w:rFonts w:ascii="宋体" w:hAnsi="宋体" w:cs="宋体"/>
          <w:b/>
          <w:bCs/>
        </w:rPr>
      </w:pPr>
      <w:bookmarkStart w:id="125" w:name="_Toc989014"/>
      <w:r>
        <w:rPr>
          <w:rFonts w:ascii="宋体" w:hAnsi="宋体" w:cs="宋体"/>
          <w:b/>
          <w:bCs/>
        </w:rPr>
        <w:t>17、存货</w:t>
      </w:r>
      <w:bookmarkEnd w:id="125"/>
    </w:p>
    <w:p w:rsidR="00CC38FA" w:rsidRDefault="00CC38FA">
      <w:pPr>
        <w:pStyle w:val="a3"/>
        <w:spacing w:before="0" w:beforeAutospacing="0" w:after="0" w:afterAutospacing="0"/>
        <w:ind w:firstLine="360"/>
        <w:divId w:val="8915954"/>
      </w:pPr>
      <w:r>
        <w:rPr>
          <w:rFonts w:hint="eastAsia"/>
          <w:color w:val="000000"/>
          <w:sz w:val="18"/>
          <w:szCs w:val="18"/>
        </w:rPr>
        <w:t>（1）存货的分类</w:t>
      </w:r>
    </w:p>
    <w:p w:rsidR="00CC38FA" w:rsidRDefault="00CC38FA">
      <w:pPr>
        <w:pStyle w:val="a3"/>
        <w:spacing w:before="0" w:beforeAutospacing="0" w:after="0" w:afterAutospacing="0"/>
        <w:ind w:firstLine="360"/>
        <w:divId w:val="8915954"/>
      </w:pPr>
      <w:r>
        <w:rPr>
          <w:rFonts w:hint="eastAsia"/>
          <w:color w:val="000000"/>
          <w:sz w:val="18"/>
          <w:szCs w:val="18"/>
        </w:rPr>
        <w:t>存货主要包括原材料、自制半成品、库存商品、周转材料等。</w:t>
      </w:r>
    </w:p>
    <w:p w:rsidR="00CC38FA" w:rsidRDefault="00CC38FA">
      <w:pPr>
        <w:pStyle w:val="a3"/>
        <w:spacing w:before="0" w:beforeAutospacing="0" w:after="0" w:afterAutospacing="0"/>
        <w:ind w:firstLine="360"/>
        <w:divId w:val="8915954"/>
      </w:pPr>
      <w:r>
        <w:rPr>
          <w:rFonts w:hint="eastAsia"/>
          <w:color w:val="000000"/>
          <w:sz w:val="18"/>
          <w:szCs w:val="18"/>
        </w:rPr>
        <w:t>（2）存货取得和发出的计价方法</w:t>
      </w:r>
    </w:p>
    <w:p w:rsidR="00CC38FA" w:rsidRDefault="00CC38FA">
      <w:pPr>
        <w:pStyle w:val="a3"/>
        <w:spacing w:before="0" w:beforeAutospacing="0" w:after="0" w:afterAutospacing="0"/>
        <w:ind w:firstLine="360"/>
        <w:divId w:val="8915954"/>
      </w:pPr>
      <w:r>
        <w:rPr>
          <w:rFonts w:hint="eastAsia"/>
          <w:color w:val="000000"/>
          <w:sz w:val="18"/>
          <w:szCs w:val="18"/>
        </w:rPr>
        <w:t>存货在取得时按实际成本计价，存货成本包括采购成本、加工成本和其他成本。领用和发出时按加权平均法计价。</w:t>
      </w:r>
    </w:p>
    <w:p w:rsidR="00CC38FA" w:rsidRDefault="00CC38FA">
      <w:pPr>
        <w:pStyle w:val="a3"/>
        <w:spacing w:before="0" w:beforeAutospacing="0" w:after="0" w:afterAutospacing="0"/>
        <w:ind w:firstLine="360"/>
        <w:divId w:val="8915954"/>
      </w:pPr>
      <w:r>
        <w:rPr>
          <w:rFonts w:hint="eastAsia"/>
          <w:color w:val="000000"/>
          <w:sz w:val="18"/>
          <w:szCs w:val="18"/>
        </w:rPr>
        <w:t>（3）存货可变现净值的确认和跌价准备的计提方法</w:t>
      </w:r>
    </w:p>
    <w:p w:rsidR="00CC38FA" w:rsidRDefault="00CC38FA">
      <w:pPr>
        <w:pStyle w:val="a3"/>
        <w:spacing w:before="0" w:beforeAutospacing="0" w:after="0" w:afterAutospacing="0"/>
        <w:ind w:firstLine="360"/>
        <w:divId w:val="8915954"/>
      </w:pPr>
      <w:r>
        <w:rPr>
          <w:rFonts w:hint="eastAsia"/>
          <w:color w:val="000000"/>
          <w:sz w:val="18"/>
          <w:szCs w:val="18"/>
        </w:rPr>
        <w:t>可变现净值是指在日常活动中，存货的估计售价减去至完工时估计将要发生的成本、估计的销售费用以及相关税费后的金额。在确定存货的可变现净值时，以取得的确凿证据为基础，同时考虑持有存货的目的以及资产负债表日后事项的影响。</w:t>
      </w:r>
    </w:p>
    <w:p w:rsidR="00CC38FA" w:rsidRDefault="00CC38FA">
      <w:pPr>
        <w:pStyle w:val="a3"/>
        <w:spacing w:before="0" w:beforeAutospacing="0" w:after="0" w:afterAutospacing="0"/>
        <w:ind w:firstLine="360"/>
        <w:divId w:val="8915954"/>
      </w:pPr>
      <w:r>
        <w:rPr>
          <w:rFonts w:hint="eastAsia"/>
          <w:color w:val="000000"/>
          <w:sz w:val="18"/>
          <w:szCs w:val="18"/>
        </w:rPr>
        <w:t>在资产负债表日，存货按照成本与可变现净值孰低计量。当其可变现净值低于成本时，提取存货跌价准备。存货跌价准备按单个存货项目的成本高于其可变现净值的差额提取。</w:t>
      </w:r>
    </w:p>
    <w:p w:rsidR="00CC38FA" w:rsidRDefault="00CC38FA">
      <w:pPr>
        <w:pStyle w:val="a3"/>
        <w:spacing w:before="0" w:beforeAutospacing="0" w:after="0" w:afterAutospacing="0"/>
        <w:ind w:firstLine="360"/>
        <w:divId w:val="8915954"/>
      </w:pPr>
      <w:r>
        <w:rPr>
          <w:rFonts w:hint="eastAsia"/>
          <w:color w:val="000000"/>
          <w:sz w:val="18"/>
          <w:szCs w:val="18"/>
        </w:rPr>
        <w:t>计提存货跌价准备后，如果以前减记存货价值的影响因素已经消失，导致存货的可变现净值高于其账面价值的，在原已计提的存货跌价准备金额内予以转回，转回的金额计入当期损益。</w:t>
      </w:r>
    </w:p>
    <w:p w:rsidR="00CC38FA" w:rsidRDefault="00CC38FA">
      <w:pPr>
        <w:pStyle w:val="a3"/>
        <w:spacing w:before="0" w:beforeAutospacing="0" w:after="0" w:afterAutospacing="0"/>
        <w:ind w:firstLine="360"/>
        <w:divId w:val="8915954"/>
      </w:pPr>
      <w:r>
        <w:rPr>
          <w:rFonts w:hint="eastAsia"/>
          <w:color w:val="000000"/>
          <w:sz w:val="18"/>
          <w:szCs w:val="18"/>
        </w:rPr>
        <w:t>（4）存货的盘存制度为永续盘存制。</w:t>
      </w:r>
    </w:p>
    <w:p w:rsidR="00CC38FA" w:rsidRDefault="00CC38FA">
      <w:pPr>
        <w:pStyle w:val="a3"/>
        <w:spacing w:before="0" w:beforeAutospacing="0" w:after="0" w:afterAutospacing="0"/>
        <w:ind w:firstLine="360"/>
        <w:divId w:val="8915954"/>
      </w:pPr>
      <w:r>
        <w:rPr>
          <w:rFonts w:hint="eastAsia"/>
          <w:color w:val="000000"/>
          <w:sz w:val="18"/>
          <w:szCs w:val="18"/>
        </w:rPr>
        <w:t>（5）低值易耗品的摊销方法</w:t>
      </w:r>
    </w:p>
    <w:p w:rsidR="00CC38FA" w:rsidRDefault="00CC38FA">
      <w:pPr>
        <w:pStyle w:val="a3"/>
        <w:spacing w:before="0" w:beforeAutospacing="0" w:after="0" w:afterAutospacing="0"/>
        <w:ind w:firstLine="360"/>
        <w:divId w:val="8915954"/>
      </w:pPr>
      <w:r>
        <w:rPr>
          <w:rFonts w:hint="eastAsia"/>
          <w:color w:val="000000"/>
          <w:sz w:val="18"/>
          <w:szCs w:val="18"/>
        </w:rPr>
        <w:t>低值易耗品于领用时按一次摊销法摊销。</w:t>
      </w:r>
    </w:p>
    <w:p w:rsidR="007F3A90" w:rsidRDefault="00CC38FA">
      <w:pPr>
        <w:pStyle w:val="3"/>
        <w:spacing w:line="280" w:lineRule="exact"/>
        <w:jc w:val="left"/>
        <w:rPr>
          <w:rFonts w:ascii="宋体" w:hAnsi="宋体" w:cs="宋体"/>
          <w:b/>
          <w:bCs/>
        </w:rPr>
      </w:pPr>
      <w:bookmarkStart w:id="126" w:name="_Toc989015"/>
      <w:r>
        <w:rPr>
          <w:rFonts w:ascii="宋体" w:hAnsi="宋体" w:cs="宋体"/>
          <w:b/>
          <w:bCs/>
        </w:rPr>
        <w:lastRenderedPageBreak/>
        <w:t>18、持有待售资产</w:t>
      </w:r>
      <w:bookmarkEnd w:id="126"/>
    </w:p>
    <w:p w:rsidR="00CC38FA" w:rsidRDefault="00CC38FA">
      <w:pPr>
        <w:pStyle w:val="a3"/>
        <w:spacing w:before="0" w:beforeAutospacing="0" w:after="0" w:afterAutospacing="0"/>
        <w:ind w:firstLine="360"/>
        <w:divId w:val="1455103234"/>
      </w:pPr>
      <w:r>
        <w:rPr>
          <w:rFonts w:hint="eastAsia"/>
          <w:color w:val="000000"/>
          <w:sz w:val="18"/>
          <w:szCs w:val="18"/>
        </w:rPr>
        <w:t>本公司若主要通过出售（包括具有商业实质的非货币性资产交换，下同）而非持续使用一项非流动资产或处置组收回其账面价值的，则将其划分为持有待售类别。具体标准为同时满足以下条件：某项非流动资产或处置组根据类似交易中出售此类资产或处置组的惯例，在当前状况下即可立即出售；本公司已经就出售计划作出决议且获得确定的购买承诺；预计出售将在一年内完成。其中，处置组是指在一项交易中作为整体通过出售或其他方式一并处置的一组资产，以及在该交易中转让的与这些资产直接相关的负债。处置组所属的资产组或资产组组合按照《企业会计准则第 8 号——资产减值》分摊了企业合并中取得的商誉的，该处置组应当包含分摊至处置组的商誉。</w:t>
      </w:r>
    </w:p>
    <w:p w:rsidR="00CC38FA" w:rsidRDefault="00CC38FA">
      <w:pPr>
        <w:pStyle w:val="a3"/>
        <w:spacing w:before="0" w:beforeAutospacing="0" w:after="0" w:afterAutospacing="0"/>
        <w:ind w:firstLine="360"/>
        <w:divId w:val="1455103234"/>
      </w:pPr>
      <w:r>
        <w:rPr>
          <w:rFonts w:hint="eastAsia"/>
          <w:color w:val="000000"/>
          <w:sz w:val="18"/>
          <w:szCs w:val="18"/>
        </w:rPr>
        <w:t>本公司初始计量或在资产负债表日重新计量划分为持有待售的非流动资产和处置组时，其账面价值高于公允价值减去出售费用后的净额的，将账面价值减记至公允价值减去出售费用后的净额，减记的金额确认为资产减值损失，计入当期损益，同时计提持有待售资产减值准备。对于处置组，所确认的资产减值损失先抵减处置组中商誉的账面价值，再按比例抵减该处置组内适用《企业会计准则第42号——持有待售的非流动资产、处置组和终止经营》（以下简称“持有待售准则”）的计量规定的各项非流动资产的账面价值。后续资产负债表日持有待售的处置组公允价值减去出售费用后的净额增加的，以前减记的金额应当予以恢复，并在划分为持有待售类别后适用持有待售准则计量规定的非流动资产确认的资产减值损失金额内转回，转回金额计入当期损益，并根据处置组中除商誉外适用持有待售准则计量规定的各项非流动资产账面价值所占比重按比例增加其账面价值；已抵减的商誉账面价值，以及适用持有待售准则计量规定的非流动资产在划分为持有待售类别前确认的资产减值损失不得转回。</w:t>
      </w:r>
    </w:p>
    <w:p w:rsidR="00CC38FA" w:rsidRDefault="00CC38FA">
      <w:pPr>
        <w:pStyle w:val="a3"/>
        <w:spacing w:before="0" w:beforeAutospacing="0" w:after="0" w:afterAutospacing="0"/>
        <w:ind w:firstLine="360"/>
        <w:divId w:val="1455103234"/>
      </w:pPr>
      <w:r>
        <w:rPr>
          <w:rFonts w:hint="eastAsia"/>
          <w:color w:val="000000"/>
          <w:sz w:val="18"/>
          <w:szCs w:val="18"/>
        </w:rPr>
        <w:t>持有待售的非流动资产或处置组中的非流动资产不计提折旧或摊销，持有待售的处置组中负债的利息和其他费用继续予以确认。</w:t>
      </w:r>
    </w:p>
    <w:p w:rsidR="00CC38FA" w:rsidRDefault="00CC38FA">
      <w:pPr>
        <w:pStyle w:val="a3"/>
        <w:spacing w:before="0" w:beforeAutospacing="0" w:after="0" w:afterAutospacing="0"/>
        <w:ind w:firstLine="360"/>
        <w:divId w:val="1455103234"/>
      </w:pPr>
      <w:r>
        <w:rPr>
          <w:rFonts w:hint="eastAsia"/>
          <w:color w:val="000000"/>
          <w:sz w:val="18"/>
          <w:szCs w:val="18"/>
        </w:rPr>
        <w:t>非流动资产或处置组不再满足持有待售类别的划分条件时，本公司不再将其继续划分为持有待售类别或将非流动资产从持有待售的处置组中移除，并按照以下两者孰低计量：（1）划分为持有待售类别前的账面价值，按照假定不划分为持有待售类别情况下本应确认的折旧、摊销或减值等进行调整后的金额；（2）可收回金额。</w:t>
      </w:r>
    </w:p>
    <w:p w:rsidR="007F3A90" w:rsidRDefault="00CC38FA">
      <w:pPr>
        <w:pStyle w:val="3"/>
        <w:spacing w:line="280" w:lineRule="exact"/>
        <w:jc w:val="left"/>
        <w:rPr>
          <w:rFonts w:ascii="宋体" w:hAnsi="宋体" w:cs="宋体"/>
          <w:b/>
          <w:bCs/>
        </w:rPr>
      </w:pPr>
      <w:bookmarkStart w:id="127" w:name="_Toc989016"/>
      <w:r>
        <w:rPr>
          <w:rFonts w:ascii="宋体" w:hAnsi="宋体" w:cs="宋体"/>
          <w:b/>
          <w:bCs/>
        </w:rPr>
        <w:t>19、债权投资</w:t>
      </w:r>
      <w:bookmarkEnd w:id="127"/>
    </w:p>
    <w:p w:rsidR="00CC38FA" w:rsidRDefault="00CC38FA">
      <w:pPr>
        <w:pStyle w:val="a3"/>
        <w:ind w:firstLine="360"/>
        <w:divId w:val="1432387019"/>
      </w:pPr>
      <w:r>
        <w:rPr>
          <w:rFonts w:hint="eastAsia"/>
          <w:sz w:val="18"/>
          <w:szCs w:val="18"/>
        </w:rPr>
        <w:t>详见“金融工具”。</w:t>
      </w:r>
    </w:p>
    <w:p w:rsidR="007F3A90" w:rsidRDefault="00CC38FA">
      <w:pPr>
        <w:pStyle w:val="3"/>
        <w:spacing w:line="280" w:lineRule="exact"/>
        <w:jc w:val="left"/>
        <w:rPr>
          <w:rFonts w:ascii="宋体" w:hAnsi="宋体" w:cs="宋体"/>
          <w:b/>
          <w:bCs/>
        </w:rPr>
      </w:pPr>
      <w:bookmarkStart w:id="128" w:name="_Toc989017"/>
      <w:r>
        <w:rPr>
          <w:rFonts w:ascii="宋体" w:hAnsi="宋体" w:cs="宋体"/>
          <w:b/>
          <w:bCs/>
        </w:rPr>
        <w:t>20、其他债权投资</w:t>
      </w:r>
      <w:bookmarkEnd w:id="128"/>
    </w:p>
    <w:p w:rsidR="00CC38FA" w:rsidRDefault="00CC38FA">
      <w:pPr>
        <w:pStyle w:val="a3"/>
        <w:ind w:firstLine="360"/>
        <w:divId w:val="2008289370"/>
      </w:pPr>
      <w:r>
        <w:rPr>
          <w:rFonts w:hint="eastAsia"/>
          <w:sz w:val="18"/>
          <w:szCs w:val="18"/>
        </w:rPr>
        <w:t>详见“金融工具”。</w:t>
      </w:r>
    </w:p>
    <w:p w:rsidR="007F3A90" w:rsidRDefault="00CC38FA">
      <w:pPr>
        <w:pStyle w:val="3"/>
        <w:spacing w:line="280" w:lineRule="exact"/>
        <w:jc w:val="left"/>
        <w:rPr>
          <w:rFonts w:ascii="宋体" w:hAnsi="宋体" w:cs="宋体"/>
          <w:b/>
          <w:bCs/>
        </w:rPr>
      </w:pPr>
      <w:bookmarkStart w:id="129" w:name="_Toc989018"/>
      <w:r>
        <w:rPr>
          <w:rFonts w:ascii="宋体" w:hAnsi="宋体" w:cs="宋体"/>
          <w:b/>
          <w:bCs/>
        </w:rPr>
        <w:t>21、长期股权投资</w:t>
      </w:r>
      <w:bookmarkEnd w:id="129"/>
    </w:p>
    <w:p w:rsidR="00CC38FA" w:rsidRDefault="00CC38FA">
      <w:pPr>
        <w:pStyle w:val="a3"/>
        <w:spacing w:before="0" w:beforeAutospacing="0" w:after="0" w:afterAutospacing="0"/>
        <w:ind w:firstLine="360"/>
        <w:divId w:val="1195463196"/>
      </w:pPr>
      <w:r>
        <w:rPr>
          <w:rFonts w:hint="eastAsia"/>
          <w:color w:val="000000"/>
          <w:sz w:val="18"/>
          <w:szCs w:val="18"/>
        </w:rPr>
        <w:t>本部分所指的长期股权投资是指本公司对被投资单位具有控制、共同控制或重大影响的长期股权投资。本公司对被投资单位不具有控制、共同控制或重大影响的长期股权投资，作为以公允价值计量且其变动计入当期损益的金融资产核算，其中如果属于非交易性的，本公司在初始确认时可选择将其指定为以公允价值计量且其变动计入其他综合收益的金融资产核算，其会计政策详见附注“金融工具”。</w:t>
      </w:r>
    </w:p>
    <w:p w:rsidR="00CC38FA" w:rsidRDefault="00CC38FA">
      <w:pPr>
        <w:pStyle w:val="a3"/>
        <w:spacing w:before="0" w:beforeAutospacing="0" w:after="0" w:afterAutospacing="0"/>
        <w:ind w:firstLine="360"/>
        <w:divId w:val="1195463196"/>
      </w:pPr>
      <w:r>
        <w:rPr>
          <w:rFonts w:hint="eastAsia"/>
          <w:color w:val="000000"/>
          <w:sz w:val="18"/>
          <w:szCs w:val="18"/>
        </w:rPr>
        <w:t>共同控制，是指本公司按照相关约定对某项安排所共有的控制，并且该安排的相关活动必须经过分享控制权的参与方一致同意后才能决策。重大影响，是指本公司对被投资单位的财务和经营政策有参与决策的权力，但并不能够控制或者与其他方一起共同控制这些政策的制定。</w:t>
      </w:r>
    </w:p>
    <w:p w:rsidR="00CC38FA" w:rsidRDefault="00CC38FA">
      <w:pPr>
        <w:pStyle w:val="a3"/>
        <w:spacing w:before="0" w:beforeAutospacing="0" w:after="0" w:afterAutospacing="0"/>
        <w:ind w:firstLine="360"/>
        <w:divId w:val="1195463196"/>
      </w:pPr>
      <w:r>
        <w:rPr>
          <w:rFonts w:hint="eastAsia"/>
          <w:color w:val="000000"/>
          <w:sz w:val="18"/>
          <w:szCs w:val="18"/>
        </w:rPr>
        <w:t>（1）投资成本的确定</w:t>
      </w:r>
    </w:p>
    <w:p w:rsidR="00CC38FA" w:rsidRDefault="00CC38FA">
      <w:pPr>
        <w:pStyle w:val="a3"/>
        <w:spacing w:before="0" w:beforeAutospacing="0" w:after="0" w:afterAutospacing="0"/>
        <w:ind w:firstLine="360"/>
        <w:divId w:val="1195463196"/>
      </w:pPr>
      <w:r>
        <w:rPr>
          <w:rFonts w:hint="eastAsia"/>
          <w:color w:val="000000"/>
          <w:sz w:val="18"/>
          <w:szCs w:val="18"/>
        </w:rPr>
        <w:t>对于同一控制下的企业合并取得的长期股权投资，在合并日按照被合并方股东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以发行权益性证券作为合并对价的，在合并日按照被合并方股东权益在最终控制方合并财务报表中的账面价值的份额作为长期股权投资的初始投资成</w:t>
      </w:r>
      <w:r>
        <w:rPr>
          <w:rFonts w:hint="eastAsia"/>
          <w:color w:val="000000"/>
          <w:sz w:val="18"/>
          <w:szCs w:val="18"/>
        </w:rPr>
        <w:lastRenderedPageBreak/>
        <w:t>本，按照发行股份的面值总额作为股本，长期股权投资初始投资成本与所发行股份面值总额之间的差额，调整资本公积；资本公积不足冲减的，调整留存收益。通过多次交易分步取得同一控制下被合并方的股权，最终形成同一控制下企业合并的，应分别是否属于“一揽子交易”进行处理：属于“一揽子交易”的，将各项交易作为一项取得控制权的交易进行会计处理。不属于“一揽子交易”的，在合并日按照应享有被合并方股东权益在最终控制方合并财务报表中的账面价值的份额作为长期股权投资的初始投资成本，长期股权投资初始投资成本与达到合并前的长期股权投资账面价值加上合并日进一步取得股份新支付对价的账面价值之和的差额，调整资本公积；资本公积不足冲减的，调整留存收益。合并日之前持有的股权投资因采用权益法核算或作为以公允价值计量且其变动计入其他综合收益的金融资产而确认的其他综合收益，暂不进行会计处理。</w:t>
      </w:r>
    </w:p>
    <w:p w:rsidR="00CC38FA" w:rsidRDefault="00CC38FA">
      <w:pPr>
        <w:pStyle w:val="a3"/>
        <w:spacing w:before="0" w:beforeAutospacing="0" w:after="0" w:afterAutospacing="0"/>
        <w:ind w:firstLine="360"/>
        <w:divId w:val="1195463196"/>
      </w:pPr>
      <w:r>
        <w:rPr>
          <w:rFonts w:hint="eastAsia"/>
          <w:color w:val="000000"/>
          <w:sz w:val="18"/>
          <w:szCs w:val="18"/>
        </w:rPr>
        <w:t>对于非同一控制下的企业合并取得的长期股权投资，在购买日按照合并成本作为长期股权投资的初始投资成本，合并成本包括购买方付出的资产、发生或承担的负债、发行的权益性证券的公允价值之和。通过多次交易分步取得被购买方的股权，最终形成非同一控制下的企业合并的，应分别是否属于“一揽子交易”进行处理：属于“一揽子交易”的，将各项交易作为一项取得控制权的交易进行会计处理。不属于“一揽子交易”的，按照原持有被购买方的股权投资账面价值加上新增投资成本之和，作为改按成本法核算的长期股权投资的初始投资成本。原持有的股权采用权益法核算的，相关其他综合收益暂不进行会计处理。</w:t>
      </w:r>
    </w:p>
    <w:p w:rsidR="00CC38FA" w:rsidRDefault="00CC38FA">
      <w:pPr>
        <w:pStyle w:val="a3"/>
        <w:spacing w:before="0" w:beforeAutospacing="0" w:after="0" w:afterAutospacing="0"/>
        <w:ind w:firstLine="360"/>
        <w:divId w:val="1195463196"/>
      </w:pPr>
      <w:r>
        <w:rPr>
          <w:rFonts w:hint="eastAsia"/>
          <w:color w:val="000000"/>
          <w:sz w:val="18"/>
          <w:szCs w:val="18"/>
        </w:rPr>
        <w:t>合并方或购买方为企业合并发生的审计、法律服务、评估咨询等中介费用以及其他相关管理费用，于发生时计入当期损益。</w:t>
      </w:r>
    </w:p>
    <w:p w:rsidR="00CC38FA" w:rsidRDefault="00CC38FA">
      <w:pPr>
        <w:pStyle w:val="a3"/>
        <w:spacing w:before="0" w:beforeAutospacing="0" w:after="0" w:afterAutospacing="0"/>
        <w:ind w:firstLine="360"/>
        <w:divId w:val="1195463196"/>
      </w:pPr>
      <w:r>
        <w:rPr>
          <w:rFonts w:hint="eastAsia"/>
          <w:color w:val="000000"/>
          <w:sz w:val="18"/>
          <w:szCs w:val="18"/>
        </w:rPr>
        <w:t>除企业合并形成的长期股权投资外的其他股权投资，按成本进行初始计量，该成本视长期股权投资取得方式的不同，分别按照本公司实际支付的现金购买价款、本公司发行的权益性证券的公允价值、投资合同或协议约定的价值、非货币性资产交换交易中换出资产的公允价值或原账面价值、该项长期股权投资自身的公允价值等方式确定。与取得长期股权投资直接相关的费用、税金及其他必要支出也计入投资成本。对于因追加投资能够对被投资单位实施重大影响或实施共同控制但不构成控制的，长期股权投资成本为按照《企业会计准则第22号——金融工具确认和计量》确定的原持有股权投资的公允价值加上新增投资成本之和。</w:t>
      </w:r>
    </w:p>
    <w:p w:rsidR="00CC38FA" w:rsidRDefault="00CC38FA">
      <w:pPr>
        <w:pStyle w:val="a3"/>
        <w:spacing w:before="0" w:beforeAutospacing="0" w:after="0" w:afterAutospacing="0"/>
        <w:ind w:firstLine="360"/>
        <w:divId w:val="1195463196"/>
      </w:pPr>
      <w:r>
        <w:rPr>
          <w:rFonts w:hint="eastAsia"/>
          <w:color w:val="000000"/>
          <w:sz w:val="18"/>
          <w:szCs w:val="18"/>
        </w:rPr>
        <w:t>（2）后续计量及损益确认方法</w:t>
      </w:r>
    </w:p>
    <w:p w:rsidR="00CC38FA" w:rsidRDefault="00CC38FA">
      <w:pPr>
        <w:pStyle w:val="a3"/>
        <w:spacing w:before="0" w:beforeAutospacing="0" w:after="0" w:afterAutospacing="0"/>
        <w:ind w:firstLine="360"/>
        <w:divId w:val="1195463196"/>
      </w:pPr>
      <w:r>
        <w:rPr>
          <w:rFonts w:hint="eastAsia"/>
          <w:color w:val="000000"/>
          <w:sz w:val="18"/>
          <w:szCs w:val="18"/>
        </w:rPr>
        <w:t>对被投资单位具有共同控制（构成共同经营者除外）或重大影响的长期股权投资，采用权益法核算。此外，公司财务报表采用成本法核算能够对被投资单位实施控制的长期股权投资。</w:t>
      </w:r>
    </w:p>
    <w:p w:rsidR="00CC38FA" w:rsidRDefault="00CC38FA">
      <w:pPr>
        <w:pStyle w:val="a3"/>
        <w:spacing w:before="0" w:beforeAutospacing="0" w:after="0" w:afterAutospacing="0"/>
        <w:ind w:firstLine="360"/>
        <w:divId w:val="1195463196"/>
      </w:pPr>
      <w:r>
        <w:rPr>
          <w:rFonts w:hint="eastAsia"/>
          <w:color w:val="000000"/>
          <w:sz w:val="18"/>
          <w:szCs w:val="18"/>
        </w:rPr>
        <w:t>① 成本法核算的长期股权投资</w:t>
      </w:r>
    </w:p>
    <w:p w:rsidR="00CC38FA" w:rsidRDefault="00CC38FA">
      <w:pPr>
        <w:pStyle w:val="a3"/>
        <w:spacing w:before="0" w:beforeAutospacing="0" w:after="0" w:afterAutospacing="0"/>
        <w:ind w:firstLine="360"/>
        <w:divId w:val="1195463196"/>
      </w:pPr>
      <w:r>
        <w:rPr>
          <w:rFonts w:hint="eastAsia"/>
          <w:color w:val="000000"/>
          <w:sz w:val="18"/>
          <w:szCs w:val="18"/>
        </w:rPr>
        <w:t>采用成本法核算时，长期股权投资按初始投资成本计价，追加或收回投资调整长期股权投资的成本。除取得投资时实际支付的价款或者对价中包含的已宣告但尚未发放的现金股利或者利润外，当期投资收益按照享有被投资单位宣告发放的现金股利或利润确认。</w:t>
      </w:r>
    </w:p>
    <w:p w:rsidR="00CC38FA" w:rsidRDefault="00CC38FA">
      <w:pPr>
        <w:pStyle w:val="a3"/>
        <w:spacing w:before="0" w:beforeAutospacing="0" w:after="0" w:afterAutospacing="0"/>
        <w:ind w:firstLine="360"/>
        <w:divId w:val="1195463196"/>
      </w:pPr>
      <w:r>
        <w:rPr>
          <w:rFonts w:hint="eastAsia"/>
          <w:color w:val="000000"/>
          <w:sz w:val="18"/>
          <w:szCs w:val="18"/>
        </w:rPr>
        <w:t>② 权益法核算的长期股权投资</w:t>
      </w:r>
    </w:p>
    <w:p w:rsidR="00CC38FA" w:rsidRDefault="00CC38FA">
      <w:pPr>
        <w:pStyle w:val="a3"/>
        <w:spacing w:before="0" w:beforeAutospacing="0" w:after="0" w:afterAutospacing="0"/>
        <w:ind w:firstLine="360"/>
        <w:divId w:val="1195463196"/>
      </w:pPr>
      <w:r>
        <w:rPr>
          <w:rFonts w:hint="eastAsia"/>
          <w:color w:val="000000"/>
          <w:sz w:val="18"/>
          <w:szCs w:val="18"/>
        </w:rPr>
        <w:t>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w:t>
      </w:r>
    </w:p>
    <w:p w:rsidR="00CC38FA" w:rsidRDefault="00CC38FA">
      <w:pPr>
        <w:pStyle w:val="a3"/>
        <w:spacing w:before="0" w:beforeAutospacing="0" w:after="0" w:afterAutospacing="0"/>
        <w:ind w:firstLine="360"/>
        <w:divId w:val="1195463196"/>
      </w:pPr>
      <w:r>
        <w:rPr>
          <w:rFonts w:hint="eastAsia"/>
          <w:color w:val="000000"/>
          <w:sz w:val="18"/>
          <w:szCs w:val="18"/>
        </w:rPr>
        <w:t>采用权益法核算时，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对于本公司与联营企业及合营企业之间发生的交易，投出或出售的资产不构成业务的，未实现内部交易损益按照享有的比例计算归属于本公司的部分予以抵销，在此基础上确认投资损益。但本公司与被投资单位发生的未实现内部交易损失，属于所转让资产减值损失的，不予以抵销。本公司向合营企业或联营企业投出的资产构成业务的，投资方因此取得长期股权投资但未取得控制权的，以投出业务的公允价值作为新增长期股权投资的初始投资成本，初始投资成本与投出业务的账面价值之差，全额计入当期损益。本公司向合营企业或联营企业出售的资产构成业务的，取得的对价与业</w:t>
      </w:r>
      <w:r>
        <w:rPr>
          <w:rFonts w:hint="eastAsia"/>
          <w:color w:val="000000"/>
          <w:sz w:val="18"/>
          <w:szCs w:val="18"/>
        </w:rPr>
        <w:lastRenderedPageBreak/>
        <w:t>务的账面价值之差，全额计入当期损益。本公司自联营企业及合营企业购入的资产构成业务的，按《企业会计准则第20号——企业合并》的规定进行会计处理，全额确认与交易相关的利得或损失。</w:t>
      </w:r>
    </w:p>
    <w:p w:rsidR="00CC38FA" w:rsidRDefault="00CC38FA">
      <w:pPr>
        <w:pStyle w:val="a3"/>
        <w:spacing w:before="0" w:beforeAutospacing="0" w:after="0" w:afterAutospacing="0"/>
        <w:ind w:firstLine="360"/>
        <w:divId w:val="1195463196"/>
      </w:pPr>
      <w:r>
        <w:rPr>
          <w:rFonts w:hint="eastAsia"/>
          <w:color w:val="000000"/>
          <w:sz w:val="18"/>
          <w:szCs w:val="18"/>
        </w:rPr>
        <w:t>在确认应分担被投资单位发生的净亏损时，以长期股权投资的账面价值和其他实质上构成对被投资单位净投资的长期权益减记至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rsidR="00CC38FA" w:rsidRDefault="00CC38FA">
      <w:pPr>
        <w:pStyle w:val="a3"/>
        <w:spacing w:before="0" w:beforeAutospacing="0" w:after="0" w:afterAutospacing="0"/>
        <w:ind w:firstLine="360"/>
        <w:divId w:val="1195463196"/>
      </w:pPr>
      <w:r>
        <w:rPr>
          <w:rFonts w:hint="eastAsia"/>
          <w:color w:val="000000"/>
          <w:sz w:val="18"/>
          <w:szCs w:val="18"/>
        </w:rPr>
        <w:t>对于本公司首次执行新会计准则之前已经持有的对联营企业和合营企业的长期股权投资，如存在与该投资相关的股权投资借方差额，按原剩余期限直线摊销的金额计入当期损益。</w:t>
      </w:r>
    </w:p>
    <w:p w:rsidR="00CC38FA" w:rsidRDefault="00CC38FA">
      <w:pPr>
        <w:pStyle w:val="a3"/>
        <w:spacing w:before="0" w:beforeAutospacing="0" w:after="0" w:afterAutospacing="0"/>
        <w:ind w:firstLine="360"/>
        <w:divId w:val="1195463196"/>
      </w:pPr>
      <w:r>
        <w:rPr>
          <w:rFonts w:hint="eastAsia"/>
          <w:color w:val="000000"/>
          <w:sz w:val="18"/>
          <w:szCs w:val="18"/>
        </w:rPr>
        <w:t>③ 收购少数股权</w:t>
      </w:r>
    </w:p>
    <w:p w:rsidR="00CC38FA" w:rsidRDefault="00CC38FA">
      <w:pPr>
        <w:pStyle w:val="a3"/>
        <w:spacing w:before="0" w:beforeAutospacing="0" w:after="0" w:afterAutospacing="0"/>
        <w:ind w:firstLine="360"/>
        <w:divId w:val="1195463196"/>
      </w:pPr>
      <w:r>
        <w:rPr>
          <w:rFonts w:hint="eastAsia"/>
          <w:color w:val="000000"/>
          <w:sz w:val="18"/>
          <w:szCs w:val="18"/>
        </w:rPr>
        <w:t>在编制合并财务报表时，因购买少数股权新增的长期股权投资与按照新增持股比例计算应享有子公司自购买日（或合并日）开始持续计算的净资产份额之间的差额，调整资本公积，资本公积不足冲减的，调整留存收益。</w:t>
      </w:r>
    </w:p>
    <w:p w:rsidR="00CC38FA" w:rsidRDefault="00CC38FA">
      <w:pPr>
        <w:pStyle w:val="a3"/>
        <w:spacing w:before="0" w:beforeAutospacing="0" w:after="0" w:afterAutospacing="0"/>
        <w:ind w:firstLine="360"/>
        <w:divId w:val="1195463196"/>
      </w:pPr>
      <w:r>
        <w:rPr>
          <w:rFonts w:hint="eastAsia"/>
          <w:color w:val="000000"/>
          <w:sz w:val="18"/>
          <w:szCs w:val="18"/>
        </w:rPr>
        <w:t>④ 处置长期股权投资</w:t>
      </w:r>
    </w:p>
    <w:p w:rsidR="00CC38FA" w:rsidRDefault="00CC38FA">
      <w:pPr>
        <w:pStyle w:val="a3"/>
        <w:spacing w:before="0" w:beforeAutospacing="0" w:after="0" w:afterAutospacing="0"/>
        <w:ind w:firstLine="360"/>
        <w:divId w:val="1195463196"/>
      </w:pPr>
      <w:r>
        <w:rPr>
          <w:rFonts w:hint="eastAsia"/>
          <w:color w:val="000000"/>
          <w:sz w:val="18"/>
          <w:szCs w:val="18"/>
        </w:rPr>
        <w:t>在合并财务报表中，母公司在不丧失控制权的情况下部分处置对子公司的长期股权投资，处置价款与处置长期股权投资相对应享有子公司净资产的差额计入股东权益；母公司部分处置对子公司的长期股权投资导致丧失对子公司控制权的，按本附注“合并财务报表编制的方法”中所述的相关会计政策处理。</w:t>
      </w:r>
    </w:p>
    <w:p w:rsidR="00CC38FA" w:rsidRDefault="00CC38FA">
      <w:pPr>
        <w:pStyle w:val="a3"/>
        <w:spacing w:before="0" w:beforeAutospacing="0" w:after="0" w:afterAutospacing="0"/>
        <w:ind w:firstLine="360"/>
        <w:divId w:val="1195463196"/>
      </w:pPr>
      <w:r>
        <w:rPr>
          <w:rFonts w:hint="eastAsia"/>
          <w:color w:val="000000"/>
          <w:sz w:val="18"/>
          <w:szCs w:val="18"/>
        </w:rPr>
        <w:t>其他情形下的长期股权投资处置，对于处置的股权，其账面价值与实际取得价款的差额，计入当期损益。</w:t>
      </w:r>
    </w:p>
    <w:p w:rsidR="00CC38FA" w:rsidRDefault="00CC38FA">
      <w:pPr>
        <w:pStyle w:val="a3"/>
        <w:spacing w:before="0" w:beforeAutospacing="0" w:after="0" w:afterAutospacing="0"/>
        <w:ind w:firstLine="360"/>
        <w:divId w:val="1195463196"/>
      </w:pPr>
      <w:r>
        <w:rPr>
          <w:rFonts w:hint="eastAsia"/>
          <w:color w:val="000000"/>
          <w:sz w:val="18"/>
          <w:szCs w:val="18"/>
        </w:rPr>
        <w:t>采用权益法核算的长期股权投资，处置后的剩余股权仍采用权益法核算的，在处置时将原计入股东权益的其他综合收益部分按相应的比例采用与被投资单位直接处置相关资产或负债相同的基础进行会计处理。因被投资方除净损益、其他综合收益和利润分配以外的其他所有者权益变动而确认的所有者权益，按比例结转入当期损益。</w:t>
      </w:r>
    </w:p>
    <w:p w:rsidR="00CC38FA" w:rsidRDefault="00CC38FA">
      <w:pPr>
        <w:pStyle w:val="a3"/>
        <w:spacing w:before="0" w:beforeAutospacing="0" w:after="0" w:afterAutospacing="0"/>
        <w:ind w:firstLine="360"/>
        <w:divId w:val="1195463196"/>
      </w:pPr>
      <w:r>
        <w:rPr>
          <w:rFonts w:hint="eastAsia"/>
          <w:color w:val="000000"/>
          <w:sz w:val="18"/>
          <w:szCs w:val="18"/>
        </w:rPr>
        <w:t>采用成本法核算的长期股权投资，处置后剩余股权仍采用成本法核算的，其在取得对被投资单位的控制之前因采用权益法核算或金融工具确认和计量准则核算而确认的其他综合收益，采用与被投资单位直接处置相关资产或负债相同的基础进行会计处理，并按比例结转当期损益；因采用权益法核算而确认的被投资单位净资产中除净损益、其他综合收益和利润分配以外的其他所有者权益变动按比例结转当期损益。</w:t>
      </w:r>
    </w:p>
    <w:p w:rsidR="00CC38FA" w:rsidRDefault="00CC38FA">
      <w:pPr>
        <w:pStyle w:val="a3"/>
        <w:spacing w:before="0" w:beforeAutospacing="0" w:after="0" w:afterAutospacing="0"/>
        <w:ind w:firstLine="360"/>
        <w:divId w:val="1195463196"/>
      </w:pPr>
      <w:r>
        <w:rPr>
          <w:rFonts w:hint="eastAsia"/>
          <w:color w:val="000000"/>
          <w:sz w:val="18"/>
          <w:szCs w:val="18"/>
        </w:rPr>
        <w:t>本公司因处置部分股权投资丧失了对被投资单位的控制的，在编制个别财务报表时，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金融工具确认和计量准则的有关规定进行会计处理，其在丧失控制之日的公允价值与账面价值之间的差额计入当期损益。对于本公司取得对被投资单位的控制之前，因采用权益法核算或金融工具确认和计量准则核算而确认的其他综合收益，在丧失对被投资单位控制时采用与被投资单位直接处置相关资产或负债相同的基础进行会计处理，因采用权益法核算而确认的被投资单位净资产中除净损益、其他综合收益和利润分配以外的其他所有者权益变动在丧失对被投资单位控制时结转入当期损益。其中，处置后的剩余股权采用权益法核算的，其他综合收益和其他所有者权益按比例结转；处置后的剩余股权改按金融工具确认和计量准则进行会计处理的，其他综合收益和其他所有者权益全部结转。</w:t>
      </w:r>
    </w:p>
    <w:p w:rsidR="00CC38FA" w:rsidRDefault="00CC38FA">
      <w:pPr>
        <w:pStyle w:val="a3"/>
        <w:spacing w:before="0" w:beforeAutospacing="0" w:after="0" w:afterAutospacing="0"/>
        <w:ind w:firstLine="360"/>
        <w:divId w:val="1195463196"/>
      </w:pPr>
      <w:r>
        <w:rPr>
          <w:rFonts w:hint="eastAsia"/>
          <w:color w:val="000000"/>
          <w:sz w:val="18"/>
          <w:szCs w:val="18"/>
        </w:rPr>
        <w:t>本公司因处置部分股权投资丧失了对被投资单位的共同控制或重大影响的，处置后的剩余股权改按金融工具确认和计量准则核算，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因被投资方除净损益、其他综合收益和利润分配以外的其他所有者权益变动而确认的所有者权益，在终止采用权益法时全部转入当期投资收益。</w:t>
      </w:r>
    </w:p>
    <w:p w:rsidR="00CC38FA" w:rsidRDefault="00CC38FA">
      <w:pPr>
        <w:pStyle w:val="a3"/>
        <w:spacing w:before="0" w:beforeAutospacing="0" w:after="0" w:afterAutospacing="0"/>
        <w:ind w:firstLine="360"/>
        <w:divId w:val="1195463196"/>
      </w:pPr>
      <w:r>
        <w:rPr>
          <w:rFonts w:hint="eastAsia"/>
          <w:color w:val="000000"/>
          <w:sz w:val="18"/>
          <w:szCs w:val="18"/>
        </w:rPr>
        <w:t>本公司通过多次交易分步处置对子公司股权投资直至丧失控制权，如果上述交易属于一揽子交易的，将各项交易作为一项处置子公司股权投资并丧失控制权的交易进行会计处理，在丧失控制权之前每一次处置价款与所处置的股权对应的长期股权投资账面价值之间的差额，先确认为其他综合收益，到丧失控制权时再一并转入丧失控制权的当期损益。</w:t>
      </w:r>
    </w:p>
    <w:p w:rsidR="007F3A90" w:rsidRDefault="00CC38FA">
      <w:pPr>
        <w:pStyle w:val="3"/>
        <w:spacing w:line="280" w:lineRule="exact"/>
        <w:jc w:val="left"/>
        <w:rPr>
          <w:rFonts w:ascii="宋体" w:hAnsi="宋体" w:cs="宋体"/>
          <w:b/>
          <w:bCs/>
        </w:rPr>
      </w:pPr>
      <w:bookmarkStart w:id="130" w:name="_Toc989019"/>
      <w:r>
        <w:rPr>
          <w:rFonts w:ascii="宋体" w:hAnsi="宋体" w:cs="宋体"/>
          <w:b/>
          <w:bCs/>
        </w:rPr>
        <w:t>22、投资性房地产</w:t>
      </w:r>
      <w:bookmarkEnd w:id="130"/>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投资性房地产计量模式</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成本法计量</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折旧或摊销方法</w:t>
      </w:r>
    </w:p>
    <w:p w:rsidR="00CC38FA" w:rsidRDefault="00CC38FA">
      <w:pPr>
        <w:pStyle w:val="a3"/>
        <w:spacing w:before="0" w:beforeAutospacing="0" w:after="0" w:afterAutospacing="0"/>
        <w:ind w:firstLine="360"/>
        <w:divId w:val="294531709"/>
      </w:pPr>
      <w:r>
        <w:rPr>
          <w:rFonts w:hint="eastAsia"/>
          <w:color w:val="000000"/>
          <w:sz w:val="18"/>
          <w:szCs w:val="18"/>
        </w:rPr>
        <w:t>投资性房地产是指为赚取租金或资本增值，或两者兼有而持有的房地产。包括已出租的土地使用权、持有并准备增值后转让的土地使用权、已出租的建筑物等。</w:t>
      </w:r>
    </w:p>
    <w:p w:rsidR="00CC38FA" w:rsidRDefault="00CC38FA">
      <w:pPr>
        <w:pStyle w:val="a3"/>
        <w:spacing w:before="0" w:beforeAutospacing="0" w:after="0" w:afterAutospacing="0"/>
        <w:ind w:firstLine="360"/>
        <w:divId w:val="294531709"/>
      </w:pPr>
      <w:r>
        <w:rPr>
          <w:rFonts w:hint="eastAsia"/>
          <w:color w:val="000000"/>
          <w:sz w:val="18"/>
          <w:szCs w:val="18"/>
        </w:rPr>
        <w:t>投资性房地产按成本进行初始计量。与投资性房地产有关的后续支出，如果与该资产有关的经济利益很可能流入且其成本能可靠地计量，则计入投资性房地产成本。其他后续支出，在发生时计入当期损益。</w:t>
      </w:r>
    </w:p>
    <w:p w:rsidR="00CC38FA" w:rsidRDefault="00CC38FA">
      <w:pPr>
        <w:pStyle w:val="a3"/>
        <w:spacing w:before="0" w:beforeAutospacing="0" w:after="0" w:afterAutospacing="0"/>
        <w:ind w:firstLine="360"/>
        <w:divId w:val="294531709"/>
      </w:pPr>
      <w:r>
        <w:rPr>
          <w:rFonts w:hint="eastAsia"/>
          <w:color w:val="000000"/>
          <w:sz w:val="18"/>
          <w:szCs w:val="18"/>
        </w:rPr>
        <w:t>本公司采用成本模式对投资性房地产进行后续计量，并按照与房屋建筑物或土地使用权一致的政策进行折旧或摊销。</w:t>
      </w:r>
    </w:p>
    <w:p w:rsidR="00CC38FA" w:rsidRDefault="00CC38FA">
      <w:pPr>
        <w:pStyle w:val="a3"/>
        <w:spacing w:before="0" w:beforeAutospacing="0" w:after="0" w:afterAutospacing="0"/>
        <w:ind w:firstLine="360"/>
        <w:divId w:val="294531709"/>
      </w:pPr>
      <w:r>
        <w:rPr>
          <w:rFonts w:hint="eastAsia"/>
          <w:color w:val="000000"/>
          <w:sz w:val="18"/>
          <w:szCs w:val="18"/>
        </w:rPr>
        <w:t>投资性房地产的减值测试方法和减值准备计提方法详见附注“长期资产减值”。</w:t>
      </w:r>
    </w:p>
    <w:p w:rsidR="00CC38FA" w:rsidRDefault="00CC38FA">
      <w:pPr>
        <w:pStyle w:val="a3"/>
        <w:spacing w:before="0" w:beforeAutospacing="0" w:after="0" w:afterAutospacing="0"/>
        <w:ind w:firstLine="360"/>
        <w:divId w:val="294531709"/>
      </w:pPr>
      <w:r>
        <w:rPr>
          <w:rFonts w:hint="eastAsia"/>
          <w:color w:val="000000"/>
          <w:sz w:val="18"/>
          <w:szCs w:val="18"/>
        </w:rPr>
        <w:t>自用房地产或存货转换为投资性房地产或投资性房地产转换为自用房地产时，按转换前的账面价值作为转换后的入账价值。</w:t>
      </w:r>
    </w:p>
    <w:p w:rsidR="00CC38FA" w:rsidRDefault="00CC38FA">
      <w:pPr>
        <w:pStyle w:val="a3"/>
        <w:spacing w:before="0" w:beforeAutospacing="0" w:after="0" w:afterAutospacing="0"/>
        <w:ind w:firstLine="360"/>
        <w:divId w:val="294531709"/>
      </w:pPr>
      <w:r>
        <w:rPr>
          <w:rFonts w:hint="eastAsia"/>
          <w:color w:val="000000"/>
          <w:sz w:val="18"/>
          <w:szCs w:val="18"/>
        </w:rPr>
        <w:t>投资性房地产的用途改变为自用时，自改变之日起，将该投资性房地产转换为固定资产或无形资产。自用房地产的用途改变为赚取租金或资本增值时，自改变之日起，将固定资产或无形资产转换为投资性房地产。发生转换时，转换为采用成本模式计量的投资性房地产的，以转换前的账面价值作为转换后的入账价值；转换为以公允价值模式计量的投资性房地产的，以转换日的公允价值作为转换后的入账价值。</w:t>
      </w:r>
    </w:p>
    <w:p w:rsidR="00CC38FA" w:rsidRDefault="00CC38FA">
      <w:pPr>
        <w:pStyle w:val="a3"/>
        <w:spacing w:before="0" w:beforeAutospacing="0" w:after="0" w:afterAutospacing="0"/>
        <w:ind w:firstLine="360"/>
        <w:divId w:val="294531709"/>
      </w:pPr>
      <w:r>
        <w:rPr>
          <w:rFonts w:hint="eastAsia"/>
          <w:color w:val="000000"/>
          <w:sz w:val="18"/>
          <w:szCs w:val="18"/>
        </w:rPr>
        <w:t>当投资性房地产被处置、或者永久退出使用且预计不能从其处置中取得经济利益时，终止确认该项投资性房地产。投资性房地产出售、转让、报废或毁损的处置收入扣除其账面价值和相关税费后计入当期损益。</w:t>
      </w:r>
    </w:p>
    <w:p w:rsidR="007F3A90" w:rsidRDefault="00CC38FA">
      <w:pPr>
        <w:pStyle w:val="3"/>
        <w:spacing w:line="280" w:lineRule="exact"/>
        <w:jc w:val="left"/>
        <w:rPr>
          <w:rFonts w:ascii="宋体" w:hAnsi="宋体" w:cs="宋体"/>
          <w:b/>
          <w:bCs/>
        </w:rPr>
      </w:pPr>
      <w:bookmarkStart w:id="131" w:name="_Toc989020"/>
      <w:r>
        <w:rPr>
          <w:rFonts w:ascii="宋体" w:hAnsi="宋体" w:cs="宋体"/>
          <w:b/>
          <w:bCs/>
        </w:rPr>
        <w:t>23、固定资产</w:t>
      </w:r>
      <w:bookmarkEnd w:id="131"/>
    </w:p>
    <w:p w:rsidR="007F3A90" w:rsidRDefault="00CC38FA">
      <w:pPr>
        <w:keepNext/>
        <w:keepLines/>
        <w:spacing w:before="300" w:after="300" w:line="280" w:lineRule="exact"/>
        <w:outlineLvl w:val="3"/>
        <w:rPr>
          <w:rFonts w:ascii="宋体" w:eastAsia="宋体" w:hAnsi="宋体" w:cs="宋体"/>
          <w:b/>
          <w:bCs/>
          <w:szCs w:val="21"/>
        </w:rPr>
      </w:pPr>
      <w:bookmarkStart w:id="132" w:name="_Toc989021"/>
      <w:r>
        <w:rPr>
          <w:rFonts w:ascii="宋体" w:eastAsia="宋体" w:hAnsi="宋体" w:cs="宋体"/>
          <w:b/>
          <w:bCs/>
          <w:szCs w:val="21"/>
        </w:rPr>
        <w:t>（1） 确认条件</w:t>
      </w:r>
      <w:bookmarkEnd w:id="132"/>
    </w:p>
    <w:p w:rsidR="00CC38FA" w:rsidRDefault="00CC38FA">
      <w:pPr>
        <w:pStyle w:val="a3"/>
        <w:spacing w:line="240" w:lineRule="atLeast"/>
        <w:divId w:val="1971132109"/>
        <w:rPr>
          <w:sz w:val="18"/>
          <w:szCs w:val="18"/>
        </w:rPr>
      </w:pPr>
      <w:r>
        <w:rPr>
          <w:rFonts w:hint="eastAsia"/>
          <w:sz w:val="18"/>
          <w:szCs w:val="18"/>
        </w:rPr>
        <w:t>固定资产是指为生产商品、提供劳务、出租或经营管理而持有的，使用寿命超过一个会计年度的有形资产。固定资产仅在与其有关的经济利益很可能流入本公司，且其成本能够可靠地计量时才予以确认。固定资产按成本并考虑预计弃置费用因素的影响进行初始计量。</w:t>
      </w:r>
    </w:p>
    <w:p w:rsidR="007F3A90" w:rsidRDefault="00CC38FA" w:rsidP="003C7507">
      <w:pPr>
        <w:keepNext/>
        <w:keepLines/>
        <w:spacing w:before="300" w:after="300" w:line="280" w:lineRule="exact"/>
        <w:outlineLvl w:val="3"/>
      </w:pPr>
      <w:bookmarkStart w:id="133" w:name="_Toc989022"/>
      <w:r>
        <w:rPr>
          <w:rFonts w:ascii="宋体" w:eastAsia="宋体" w:hAnsi="宋体" w:cs="宋体"/>
          <w:b/>
          <w:bCs/>
          <w:szCs w:val="21"/>
        </w:rPr>
        <w:t>（2） 折旧方法</w:t>
      </w:r>
      <w:bookmarkEnd w:id="133"/>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折旧方法</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折旧年限</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残值率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年折旧率</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房屋及建筑物</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20-40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4.75--2.375</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机器设备</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10-25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0-5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9.50--4.00</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电子设备</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6</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15.83</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运输设备</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6</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15.83</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办公设备</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6</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15.83</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6</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15.83</w:t>
            </w:r>
          </w:p>
        </w:tc>
      </w:tr>
    </w:tbl>
    <w:p w:rsidR="00CC38FA" w:rsidRDefault="00CC38FA">
      <w:pPr>
        <w:pStyle w:val="a3"/>
        <w:spacing w:before="0" w:beforeAutospacing="0" w:after="0" w:afterAutospacing="0"/>
        <w:ind w:firstLine="360"/>
        <w:divId w:val="1421754748"/>
      </w:pPr>
      <w:r>
        <w:rPr>
          <w:rFonts w:hint="eastAsia"/>
          <w:color w:val="000000"/>
          <w:sz w:val="18"/>
          <w:szCs w:val="18"/>
        </w:rPr>
        <w:t>预计净残值是指假定固定资产预计使用寿命已满并处于使用寿命终了时的预期状态，本公司目前从该项资产处置中获得的扣除预计处置费用后的金额。</w:t>
      </w:r>
    </w:p>
    <w:p w:rsidR="007F3A90" w:rsidRDefault="00CC38FA">
      <w:pPr>
        <w:pStyle w:val="3"/>
        <w:spacing w:line="280" w:lineRule="exact"/>
        <w:jc w:val="left"/>
        <w:rPr>
          <w:rFonts w:ascii="宋体" w:hAnsi="宋体" w:cs="宋体"/>
          <w:b/>
          <w:bCs/>
        </w:rPr>
      </w:pPr>
      <w:bookmarkStart w:id="134" w:name="_Toc989023"/>
      <w:r>
        <w:rPr>
          <w:rFonts w:ascii="宋体" w:hAnsi="宋体" w:cs="宋体"/>
          <w:b/>
          <w:bCs/>
        </w:rPr>
        <w:t>24、在建工程</w:t>
      </w:r>
      <w:bookmarkEnd w:id="134"/>
    </w:p>
    <w:p w:rsidR="00CC38FA" w:rsidRDefault="00CC38FA">
      <w:pPr>
        <w:pStyle w:val="a3"/>
        <w:spacing w:before="0" w:beforeAutospacing="0" w:after="0" w:afterAutospacing="0"/>
        <w:ind w:firstLine="360"/>
        <w:divId w:val="1312521878"/>
      </w:pPr>
      <w:r>
        <w:rPr>
          <w:rFonts w:hint="eastAsia"/>
          <w:sz w:val="18"/>
          <w:szCs w:val="18"/>
        </w:rPr>
        <w:t>在建工程成本按实际工程支出确定，包括在</w:t>
      </w:r>
      <w:r>
        <w:rPr>
          <w:rFonts w:hint="eastAsia"/>
          <w:color w:val="000000"/>
          <w:sz w:val="18"/>
          <w:szCs w:val="18"/>
        </w:rPr>
        <w:t>建期间发生的各项工程支出以及其他相关费用等。在建工程在达到预定可使用状态后结转为固定资产。</w:t>
      </w:r>
    </w:p>
    <w:p w:rsidR="00CC38FA" w:rsidRDefault="00CC38FA">
      <w:pPr>
        <w:pStyle w:val="a3"/>
        <w:spacing w:before="0" w:beforeAutospacing="0" w:after="0" w:afterAutospacing="0"/>
        <w:ind w:firstLine="360"/>
        <w:divId w:val="1312521878"/>
      </w:pPr>
      <w:r>
        <w:rPr>
          <w:rFonts w:hint="eastAsia"/>
          <w:color w:val="000000"/>
          <w:sz w:val="18"/>
          <w:szCs w:val="18"/>
        </w:rPr>
        <w:t>在建工程的减值测试方法和减值准备计提方法详见附注“长</w:t>
      </w:r>
      <w:r>
        <w:rPr>
          <w:rFonts w:hint="eastAsia"/>
          <w:sz w:val="18"/>
          <w:szCs w:val="18"/>
        </w:rPr>
        <w:t>期资产减值”。</w:t>
      </w:r>
    </w:p>
    <w:p w:rsidR="007F3A90" w:rsidRDefault="00CC38FA">
      <w:pPr>
        <w:pStyle w:val="3"/>
        <w:spacing w:line="280" w:lineRule="exact"/>
        <w:jc w:val="left"/>
        <w:rPr>
          <w:rFonts w:ascii="宋体" w:hAnsi="宋体" w:cs="宋体"/>
          <w:b/>
          <w:bCs/>
        </w:rPr>
      </w:pPr>
      <w:bookmarkStart w:id="135" w:name="_Toc989024"/>
      <w:r>
        <w:rPr>
          <w:rFonts w:ascii="宋体" w:hAnsi="宋体" w:cs="宋体"/>
          <w:b/>
          <w:bCs/>
        </w:rPr>
        <w:t>25、借款费用</w:t>
      </w:r>
      <w:bookmarkEnd w:id="135"/>
    </w:p>
    <w:p w:rsidR="00CC38FA" w:rsidRDefault="00CC38FA">
      <w:pPr>
        <w:pStyle w:val="a3"/>
        <w:spacing w:before="0" w:beforeAutospacing="0" w:after="0" w:afterAutospacing="0"/>
        <w:ind w:firstLine="360"/>
        <w:divId w:val="2108580042"/>
      </w:pPr>
      <w:r>
        <w:rPr>
          <w:rFonts w:hint="eastAsia"/>
          <w:sz w:val="18"/>
          <w:szCs w:val="18"/>
        </w:rPr>
        <w:t>借款费用包括借款利息、折价或溢价的摊销、辅助费用以及因外币借款而发生的汇兑差额等。可直接归属于符合资本化条件的资产的购建或者生产的借款费用，在资产支出已经发生、借款费用已经发生、为使资产达到预定可使用或可</w:t>
      </w:r>
      <w:r>
        <w:rPr>
          <w:rFonts w:hint="eastAsia"/>
          <w:sz w:val="18"/>
          <w:szCs w:val="18"/>
        </w:rPr>
        <w:lastRenderedPageBreak/>
        <w:t>销售状态所必要的购建或生产活动已经开始时，开始资本化；构建或者生产的符合资本化条件的资产达到预定可使用状态或者可销售状态时，停止资本化。其余借款费用在发生当期确认为费用。</w:t>
      </w:r>
    </w:p>
    <w:p w:rsidR="00CC38FA" w:rsidRDefault="00CC38FA">
      <w:pPr>
        <w:pStyle w:val="a3"/>
        <w:spacing w:before="0" w:beforeAutospacing="0" w:after="0" w:afterAutospacing="0"/>
        <w:ind w:firstLine="360"/>
        <w:divId w:val="2108580042"/>
      </w:pPr>
      <w:r>
        <w:rPr>
          <w:rFonts w:hint="eastAsia"/>
          <w:sz w:val="18"/>
          <w:szCs w:val="18"/>
        </w:rPr>
        <w:t>专门借款当期实际发生的利息费用，减去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的加权平均利率计算确定。</w:t>
      </w:r>
    </w:p>
    <w:p w:rsidR="00CC38FA" w:rsidRDefault="00CC38FA">
      <w:pPr>
        <w:pStyle w:val="a3"/>
        <w:spacing w:before="0" w:beforeAutospacing="0" w:after="0" w:afterAutospacing="0"/>
        <w:ind w:firstLine="360"/>
        <w:divId w:val="2108580042"/>
      </w:pPr>
      <w:r>
        <w:rPr>
          <w:rFonts w:hint="eastAsia"/>
          <w:sz w:val="18"/>
          <w:szCs w:val="18"/>
        </w:rPr>
        <w:t>资本化期间内，外币专门借款的汇兑差额全部予以资本化；外币一般借款的汇兑差额计入当期损益。</w:t>
      </w:r>
    </w:p>
    <w:p w:rsidR="00CC38FA" w:rsidRDefault="00CC38FA">
      <w:pPr>
        <w:pStyle w:val="a3"/>
        <w:spacing w:before="0" w:beforeAutospacing="0" w:after="0" w:afterAutospacing="0"/>
        <w:ind w:firstLine="360"/>
        <w:divId w:val="2108580042"/>
      </w:pPr>
      <w:r>
        <w:rPr>
          <w:rFonts w:hint="eastAsia"/>
          <w:sz w:val="18"/>
          <w:szCs w:val="18"/>
        </w:rPr>
        <w:t>符合资本化条件的资产指需要经过相当长时间的购建或者生产活动才能达到预定可使用或可销售状态的固定资产、投资性房地产和存货等资产。</w:t>
      </w:r>
    </w:p>
    <w:p w:rsidR="00CC38FA" w:rsidRDefault="00CC38FA">
      <w:pPr>
        <w:pStyle w:val="a3"/>
        <w:spacing w:before="0" w:beforeAutospacing="0" w:after="0" w:afterAutospacing="0"/>
        <w:ind w:firstLine="360"/>
        <w:divId w:val="2108580042"/>
      </w:pPr>
      <w:r>
        <w:rPr>
          <w:rFonts w:hint="eastAsia"/>
          <w:sz w:val="18"/>
          <w:szCs w:val="18"/>
        </w:rPr>
        <w:t>如果符合资本化条件的资产在购建或生产过程中发生非正常中断、并且中断时间连续超过3个月的，暂停借款费用的资本化，直至资产的购建或生产活动重新开始。</w:t>
      </w:r>
    </w:p>
    <w:p w:rsidR="007F3A90" w:rsidRDefault="00CC38FA">
      <w:pPr>
        <w:pStyle w:val="3"/>
        <w:spacing w:line="280" w:lineRule="exact"/>
        <w:jc w:val="left"/>
        <w:rPr>
          <w:rFonts w:ascii="宋体" w:hAnsi="宋体" w:cs="宋体"/>
          <w:b/>
          <w:bCs/>
        </w:rPr>
      </w:pPr>
      <w:bookmarkStart w:id="136" w:name="_Toc989025"/>
      <w:r>
        <w:rPr>
          <w:rFonts w:ascii="宋体" w:hAnsi="宋体" w:cs="宋体"/>
          <w:b/>
          <w:bCs/>
        </w:rPr>
        <w:t>26、无形资产</w:t>
      </w:r>
      <w:bookmarkEnd w:id="136"/>
    </w:p>
    <w:p w:rsidR="007F3A90" w:rsidRDefault="00CC38FA">
      <w:pPr>
        <w:keepNext/>
        <w:keepLines/>
        <w:spacing w:before="300" w:after="300" w:line="280" w:lineRule="exact"/>
        <w:outlineLvl w:val="3"/>
        <w:rPr>
          <w:rFonts w:ascii="宋体" w:eastAsia="宋体" w:hAnsi="宋体" w:cs="宋体"/>
          <w:b/>
          <w:bCs/>
          <w:szCs w:val="21"/>
        </w:rPr>
      </w:pPr>
      <w:bookmarkStart w:id="137" w:name="_Toc989026"/>
      <w:r>
        <w:rPr>
          <w:rFonts w:ascii="宋体" w:eastAsia="宋体" w:hAnsi="宋体" w:cs="宋体"/>
          <w:b/>
          <w:bCs/>
          <w:szCs w:val="21"/>
        </w:rPr>
        <w:t>（1） 使用寿命及其确定依据、估计情况、摊销方法或复核程序</w:t>
      </w:r>
      <w:bookmarkEnd w:id="137"/>
    </w:p>
    <w:p w:rsidR="00CC38FA" w:rsidRDefault="00CC38FA">
      <w:pPr>
        <w:pStyle w:val="a3"/>
        <w:spacing w:before="0" w:beforeAutospacing="0" w:after="0" w:afterAutospacing="0"/>
        <w:ind w:firstLine="360"/>
        <w:divId w:val="720133752"/>
      </w:pPr>
      <w:r>
        <w:rPr>
          <w:rFonts w:hint="eastAsia"/>
          <w:sz w:val="18"/>
          <w:szCs w:val="18"/>
        </w:rPr>
        <w:t>无形资产是指本公司拥有或者控制的没有实物形态的可辨认非货币性资产。</w:t>
      </w:r>
    </w:p>
    <w:p w:rsidR="00CC38FA" w:rsidRDefault="00CC38FA">
      <w:pPr>
        <w:pStyle w:val="a3"/>
        <w:spacing w:before="0" w:beforeAutospacing="0" w:after="0" w:afterAutospacing="0"/>
        <w:ind w:firstLine="360"/>
        <w:divId w:val="720133752"/>
      </w:pPr>
      <w:r>
        <w:rPr>
          <w:rFonts w:hint="eastAsia"/>
          <w:sz w:val="18"/>
          <w:szCs w:val="18"/>
        </w:rPr>
        <w:t>无形资产按成本进行初始计量。与无形资产有关的支出，如果相关的经济利益很可能流入本公司且其成本能可靠地计量，则计入无形资产成本。除此以外的其他项目的支出，在发生时计入当期损益。</w:t>
      </w:r>
    </w:p>
    <w:p w:rsidR="00CC38FA" w:rsidRDefault="00CC38FA">
      <w:pPr>
        <w:pStyle w:val="a3"/>
        <w:spacing w:before="0" w:beforeAutospacing="0" w:after="0" w:afterAutospacing="0"/>
        <w:ind w:firstLine="360"/>
        <w:divId w:val="720133752"/>
      </w:pPr>
      <w:r>
        <w:rPr>
          <w:rFonts w:hint="eastAsia"/>
          <w:sz w:val="18"/>
          <w:szCs w:val="18"/>
        </w:rPr>
        <w:t>取得的土地使用权通常作为无形资产核算。自行开发建造厂房等建筑物，相关的土地使用权支出和建筑物建造成本则分别作为无形资产和固定资产核算。如为外购的房屋及建筑物，则将有关价款在土地使用权和建筑物之间进行分配，难以合理分配的，全部作为固定资产处理。</w:t>
      </w:r>
    </w:p>
    <w:p w:rsidR="00CC38FA" w:rsidRDefault="00CC38FA">
      <w:pPr>
        <w:pStyle w:val="a3"/>
        <w:spacing w:before="0" w:beforeAutospacing="0" w:after="0" w:afterAutospacing="0"/>
        <w:ind w:firstLine="360"/>
        <w:divId w:val="720133752"/>
      </w:pPr>
      <w:r>
        <w:rPr>
          <w:rFonts w:hint="eastAsia"/>
          <w:sz w:val="18"/>
          <w:szCs w:val="18"/>
        </w:rPr>
        <w:t>使用寿命有限的无形资产自可供使用时起，对其原值减去预计净残值和已计提的减值准备累计金额在其预计使用寿命内采用直线法分期平均摊销。使用寿命不确定的无形资产不予摊销。</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57"/>
        <w:gridCol w:w="2096"/>
        <w:gridCol w:w="2456"/>
        <w:gridCol w:w="1930"/>
      </w:tblGrid>
      <w:tr w:rsidR="00CC38FA" w:rsidTr="003C7507">
        <w:trPr>
          <w:divId w:val="720133752"/>
          <w:trHeight w:val="238"/>
          <w:jc w:val="center"/>
        </w:trPr>
        <w:tc>
          <w:tcPr>
            <w:tcW w:w="1638" w:type="pct"/>
            <w:shd w:val="clear" w:color="auto" w:fill="D3D3D3"/>
            <w:tcMar>
              <w:top w:w="0" w:type="dxa"/>
              <w:left w:w="108" w:type="dxa"/>
              <w:bottom w:w="0" w:type="dxa"/>
              <w:right w:w="108" w:type="dxa"/>
            </w:tcMar>
            <w:vAlign w:val="center"/>
            <w:hideMark/>
          </w:tcPr>
          <w:p w:rsidR="00CC38FA" w:rsidRDefault="00CC38FA">
            <w:pPr>
              <w:pStyle w:val="a3"/>
              <w:jc w:val="center"/>
            </w:pPr>
            <w:r>
              <w:rPr>
                <w:rFonts w:hint="eastAsia"/>
                <w:color w:val="000000"/>
                <w:sz w:val="18"/>
                <w:szCs w:val="18"/>
              </w:rPr>
              <w:t>类别</w:t>
            </w:r>
          </w:p>
        </w:tc>
        <w:tc>
          <w:tcPr>
            <w:tcW w:w="1087" w:type="pct"/>
            <w:shd w:val="clear" w:color="auto" w:fill="D3D3D3"/>
            <w:tcMar>
              <w:top w:w="0" w:type="dxa"/>
              <w:left w:w="108" w:type="dxa"/>
              <w:bottom w:w="0" w:type="dxa"/>
              <w:right w:w="108" w:type="dxa"/>
            </w:tcMar>
            <w:vAlign w:val="center"/>
            <w:hideMark/>
          </w:tcPr>
          <w:p w:rsidR="00CC38FA" w:rsidRDefault="00CC38FA">
            <w:pPr>
              <w:pStyle w:val="a3"/>
              <w:jc w:val="center"/>
            </w:pPr>
            <w:r>
              <w:rPr>
                <w:rFonts w:hint="eastAsia"/>
                <w:color w:val="000000"/>
                <w:sz w:val="18"/>
                <w:szCs w:val="18"/>
              </w:rPr>
              <w:t>使用寿命</w:t>
            </w:r>
          </w:p>
        </w:tc>
        <w:tc>
          <w:tcPr>
            <w:tcW w:w="1274" w:type="pct"/>
            <w:shd w:val="clear" w:color="auto" w:fill="D3D3D3"/>
            <w:tcMar>
              <w:top w:w="0" w:type="dxa"/>
              <w:left w:w="108" w:type="dxa"/>
              <w:bottom w:w="0" w:type="dxa"/>
              <w:right w:w="108" w:type="dxa"/>
            </w:tcMar>
            <w:vAlign w:val="center"/>
            <w:hideMark/>
          </w:tcPr>
          <w:p w:rsidR="00CC38FA" w:rsidRDefault="00CC38FA">
            <w:pPr>
              <w:pStyle w:val="a3"/>
              <w:jc w:val="center"/>
            </w:pPr>
            <w:r>
              <w:rPr>
                <w:rFonts w:hint="eastAsia"/>
                <w:color w:val="000000"/>
                <w:sz w:val="18"/>
                <w:szCs w:val="18"/>
              </w:rPr>
              <w:t>摊销方法</w:t>
            </w:r>
          </w:p>
        </w:tc>
        <w:tc>
          <w:tcPr>
            <w:tcW w:w="1001" w:type="pct"/>
            <w:shd w:val="clear" w:color="auto" w:fill="D3D3D3"/>
            <w:tcMar>
              <w:top w:w="0" w:type="dxa"/>
              <w:left w:w="108" w:type="dxa"/>
              <w:bottom w:w="0" w:type="dxa"/>
              <w:right w:w="108" w:type="dxa"/>
            </w:tcMar>
            <w:vAlign w:val="center"/>
            <w:hideMark/>
          </w:tcPr>
          <w:p w:rsidR="00CC38FA" w:rsidRDefault="00CC38FA">
            <w:pPr>
              <w:pStyle w:val="a3"/>
              <w:jc w:val="center"/>
            </w:pPr>
            <w:r>
              <w:rPr>
                <w:rFonts w:hint="eastAsia"/>
                <w:color w:val="000000"/>
                <w:sz w:val="18"/>
                <w:szCs w:val="18"/>
              </w:rPr>
              <w:t>备注</w:t>
            </w:r>
          </w:p>
        </w:tc>
      </w:tr>
      <w:tr w:rsidR="00CC38FA" w:rsidTr="003C7507">
        <w:trPr>
          <w:divId w:val="720133752"/>
          <w:trHeight w:val="238"/>
          <w:jc w:val="center"/>
        </w:trPr>
        <w:tc>
          <w:tcPr>
            <w:tcW w:w="1638" w:type="pct"/>
            <w:shd w:val="clear" w:color="auto" w:fill="D3D3D3"/>
            <w:tcMar>
              <w:top w:w="0" w:type="dxa"/>
              <w:left w:w="108" w:type="dxa"/>
              <w:bottom w:w="0" w:type="dxa"/>
              <w:right w:w="108" w:type="dxa"/>
            </w:tcMar>
            <w:vAlign w:val="center"/>
            <w:hideMark/>
          </w:tcPr>
          <w:p w:rsidR="00CC38FA" w:rsidRDefault="00CC38FA">
            <w:pPr>
              <w:pStyle w:val="a3"/>
            </w:pPr>
            <w:r>
              <w:rPr>
                <w:rFonts w:hint="eastAsia"/>
                <w:color w:val="000000"/>
                <w:sz w:val="18"/>
                <w:szCs w:val="18"/>
              </w:rPr>
              <w:t>非专利技术</w:t>
            </w:r>
          </w:p>
        </w:tc>
        <w:tc>
          <w:tcPr>
            <w:tcW w:w="1087" w:type="pct"/>
            <w:tcMar>
              <w:top w:w="0" w:type="dxa"/>
              <w:left w:w="108" w:type="dxa"/>
              <w:bottom w:w="0" w:type="dxa"/>
              <w:right w:w="108" w:type="dxa"/>
            </w:tcMar>
            <w:vAlign w:val="center"/>
            <w:hideMark/>
          </w:tcPr>
          <w:p w:rsidR="00CC38FA" w:rsidRDefault="00CC38FA">
            <w:pPr>
              <w:pStyle w:val="a3"/>
              <w:jc w:val="right"/>
            </w:pPr>
            <w:r>
              <w:rPr>
                <w:rFonts w:hint="eastAsia"/>
                <w:sz w:val="18"/>
                <w:szCs w:val="18"/>
              </w:rPr>
              <w:t>2-15年</w:t>
            </w:r>
          </w:p>
        </w:tc>
        <w:tc>
          <w:tcPr>
            <w:tcW w:w="1274" w:type="pct"/>
            <w:tcMar>
              <w:top w:w="0" w:type="dxa"/>
              <w:left w:w="108" w:type="dxa"/>
              <w:bottom w:w="0" w:type="dxa"/>
              <w:right w:w="108" w:type="dxa"/>
            </w:tcMar>
            <w:vAlign w:val="center"/>
            <w:hideMark/>
          </w:tcPr>
          <w:p w:rsidR="00CC38FA" w:rsidRDefault="00CC38FA">
            <w:pPr>
              <w:pStyle w:val="a3"/>
              <w:jc w:val="right"/>
            </w:pPr>
            <w:r>
              <w:rPr>
                <w:rFonts w:hint="eastAsia"/>
                <w:sz w:val="18"/>
                <w:szCs w:val="18"/>
              </w:rPr>
              <w:t>受益年限</w:t>
            </w:r>
          </w:p>
        </w:tc>
        <w:tc>
          <w:tcPr>
            <w:tcW w:w="1001" w:type="pct"/>
            <w:tcMar>
              <w:top w:w="0" w:type="dxa"/>
              <w:left w:w="108" w:type="dxa"/>
              <w:bottom w:w="0" w:type="dxa"/>
              <w:right w:w="108" w:type="dxa"/>
            </w:tcMar>
            <w:vAlign w:val="center"/>
            <w:hideMark/>
          </w:tcPr>
          <w:p w:rsidR="00CC38FA" w:rsidRDefault="00CC38FA">
            <w:pPr>
              <w:pStyle w:val="a3"/>
              <w:jc w:val="right"/>
            </w:pPr>
            <w:r>
              <w:rPr>
                <w:rFonts w:hint="eastAsia"/>
                <w:sz w:val="18"/>
                <w:szCs w:val="18"/>
              </w:rPr>
              <w:t> </w:t>
            </w:r>
          </w:p>
        </w:tc>
      </w:tr>
      <w:tr w:rsidR="00CC38FA" w:rsidTr="003C7507">
        <w:trPr>
          <w:divId w:val="720133752"/>
          <w:trHeight w:val="238"/>
          <w:jc w:val="center"/>
        </w:trPr>
        <w:tc>
          <w:tcPr>
            <w:tcW w:w="1638" w:type="pct"/>
            <w:shd w:val="clear" w:color="auto" w:fill="D3D3D3"/>
            <w:tcMar>
              <w:top w:w="0" w:type="dxa"/>
              <w:left w:w="108" w:type="dxa"/>
              <w:bottom w:w="0" w:type="dxa"/>
              <w:right w:w="108" w:type="dxa"/>
            </w:tcMar>
            <w:vAlign w:val="center"/>
            <w:hideMark/>
          </w:tcPr>
          <w:p w:rsidR="00CC38FA" w:rsidRDefault="00CC38FA">
            <w:pPr>
              <w:pStyle w:val="a3"/>
            </w:pPr>
            <w:r>
              <w:rPr>
                <w:rFonts w:hint="eastAsia"/>
                <w:color w:val="000000"/>
                <w:sz w:val="18"/>
                <w:szCs w:val="18"/>
              </w:rPr>
              <w:t>软件</w:t>
            </w:r>
          </w:p>
        </w:tc>
        <w:tc>
          <w:tcPr>
            <w:tcW w:w="1087" w:type="pct"/>
            <w:tcMar>
              <w:top w:w="0" w:type="dxa"/>
              <w:left w:w="108" w:type="dxa"/>
              <w:bottom w:w="0" w:type="dxa"/>
              <w:right w:w="108" w:type="dxa"/>
            </w:tcMar>
            <w:vAlign w:val="center"/>
            <w:hideMark/>
          </w:tcPr>
          <w:p w:rsidR="00CC38FA" w:rsidRDefault="00CC38FA">
            <w:pPr>
              <w:pStyle w:val="a3"/>
              <w:jc w:val="right"/>
            </w:pPr>
            <w:r>
              <w:rPr>
                <w:rFonts w:hint="eastAsia"/>
                <w:sz w:val="18"/>
                <w:szCs w:val="18"/>
              </w:rPr>
              <w:t>2-15年</w:t>
            </w:r>
          </w:p>
        </w:tc>
        <w:tc>
          <w:tcPr>
            <w:tcW w:w="1274" w:type="pct"/>
            <w:tcMar>
              <w:top w:w="0" w:type="dxa"/>
              <w:left w:w="108" w:type="dxa"/>
              <w:bottom w:w="0" w:type="dxa"/>
              <w:right w:w="108" w:type="dxa"/>
            </w:tcMar>
            <w:vAlign w:val="center"/>
            <w:hideMark/>
          </w:tcPr>
          <w:p w:rsidR="00CC38FA" w:rsidRDefault="00CC38FA">
            <w:pPr>
              <w:pStyle w:val="a3"/>
              <w:jc w:val="right"/>
            </w:pPr>
            <w:r>
              <w:rPr>
                <w:rFonts w:hint="eastAsia"/>
                <w:sz w:val="18"/>
                <w:szCs w:val="18"/>
              </w:rPr>
              <w:t>受益年限</w:t>
            </w:r>
          </w:p>
        </w:tc>
        <w:tc>
          <w:tcPr>
            <w:tcW w:w="1001" w:type="pct"/>
            <w:tcMar>
              <w:top w:w="0" w:type="dxa"/>
              <w:left w:w="108" w:type="dxa"/>
              <w:bottom w:w="0" w:type="dxa"/>
              <w:right w:w="108" w:type="dxa"/>
            </w:tcMar>
            <w:vAlign w:val="center"/>
            <w:hideMark/>
          </w:tcPr>
          <w:p w:rsidR="00CC38FA" w:rsidRDefault="00CC38FA">
            <w:pPr>
              <w:pStyle w:val="a3"/>
              <w:jc w:val="right"/>
            </w:pPr>
            <w:r>
              <w:rPr>
                <w:rFonts w:hint="eastAsia"/>
                <w:sz w:val="18"/>
                <w:szCs w:val="18"/>
              </w:rPr>
              <w:t> </w:t>
            </w:r>
          </w:p>
        </w:tc>
      </w:tr>
      <w:tr w:rsidR="00CC38FA" w:rsidTr="003C7507">
        <w:trPr>
          <w:divId w:val="720133752"/>
          <w:trHeight w:val="238"/>
          <w:jc w:val="center"/>
        </w:trPr>
        <w:tc>
          <w:tcPr>
            <w:tcW w:w="1638" w:type="pct"/>
            <w:shd w:val="clear" w:color="auto" w:fill="D3D3D3"/>
            <w:tcMar>
              <w:top w:w="0" w:type="dxa"/>
              <w:left w:w="108" w:type="dxa"/>
              <w:bottom w:w="0" w:type="dxa"/>
              <w:right w:w="108" w:type="dxa"/>
            </w:tcMar>
            <w:vAlign w:val="center"/>
            <w:hideMark/>
          </w:tcPr>
          <w:p w:rsidR="00CC38FA" w:rsidRDefault="00CC38FA">
            <w:pPr>
              <w:pStyle w:val="a3"/>
            </w:pPr>
            <w:r>
              <w:rPr>
                <w:rFonts w:hint="eastAsia"/>
                <w:color w:val="000000"/>
                <w:sz w:val="18"/>
                <w:szCs w:val="18"/>
              </w:rPr>
              <w:t>土地使用权</w:t>
            </w:r>
          </w:p>
        </w:tc>
        <w:tc>
          <w:tcPr>
            <w:tcW w:w="1087" w:type="pct"/>
            <w:tcMar>
              <w:top w:w="0" w:type="dxa"/>
              <w:left w:w="108" w:type="dxa"/>
              <w:bottom w:w="0" w:type="dxa"/>
              <w:right w:w="108" w:type="dxa"/>
            </w:tcMar>
            <w:vAlign w:val="center"/>
            <w:hideMark/>
          </w:tcPr>
          <w:p w:rsidR="00CC38FA" w:rsidRDefault="00CC38FA">
            <w:pPr>
              <w:pStyle w:val="a3"/>
              <w:jc w:val="right"/>
            </w:pPr>
            <w:r>
              <w:rPr>
                <w:rFonts w:hint="eastAsia"/>
                <w:sz w:val="18"/>
                <w:szCs w:val="18"/>
              </w:rPr>
              <w:t>50年</w:t>
            </w:r>
          </w:p>
        </w:tc>
        <w:tc>
          <w:tcPr>
            <w:tcW w:w="1274" w:type="pct"/>
            <w:tcMar>
              <w:top w:w="0" w:type="dxa"/>
              <w:left w:w="108" w:type="dxa"/>
              <w:bottom w:w="0" w:type="dxa"/>
              <w:right w:w="108" w:type="dxa"/>
            </w:tcMar>
            <w:vAlign w:val="center"/>
            <w:hideMark/>
          </w:tcPr>
          <w:p w:rsidR="00CC38FA" w:rsidRDefault="00CC38FA">
            <w:pPr>
              <w:pStyle w:val="a3"/>
              <w:jc w:val="right"/>
            </w:pPr>
            <w:r>
              <w:rPr>
                <w:rFonts w:hint="eastAsia"/>
                <w:sz w:val="18"/>
                <w:szCs w:val="18"/>
              </w:rPr>
              <w:t>土地使用年限</w:t>
            </w:r>
          </w:p>
        </w:tc>
        <w:tc>
          <w:tcPr>
            <w:tcW w:w="1001" w:type="pct"/>
            <w:tcMar>
              <w:top w:w="0" w:type="dxa"/>
              <w:left w:w="108" w:type="dxa"/>
              <w:bottom w:w="0" w:type="dxa"/>
              <w:right w:w="108" w:type="dxa"/>
            </w:tcMar>
            <w:vAlign w:val="center"/>
            <w:hideMark/>
          </w:tcPr>
          <w:p w:rsidR="00CC38FA" w:rsidRDefault="00CC38FA">
            <w:pPr>
              <w:pStyle w:val="a3"/>
              <w:jc w:val="right"/>
            </w:pPr>
            <w:r>
              <w:rPr>
                <w:rFonts w:hint="eastAsia"/>
                <w:sz w:val="18"/>
                <w:szCs w:val="18"/>
              </w:rPr>
              <w:t> </w:t>
            </w:r>
          </w:p>
        </w:tc>
      </w:tr>
      <w:tr w:rsidR="00CC38FA" w:rsidTr="003C7507">
        <w:trPr>
          <w:divId w:val="720133752"/>
          <w:trHeight w:val="238"/>
          <w:jc w:val="center"/>
        </w:trPr>
        <w:tc>
          <w:tcPr>
            <w:tcW w:w="1638" w:type="pct"/>
            <w:shd w:val="clear" w:color="auto" w:fill="D3D3D3"/>
            <w:tcMar>
              <w:top w:w="0" w:type="dxa"/>
              <w:left w:w="108" w:type="dxa"/>
              <w:bottom w:w="0" w:type="dxa"/>
              <w:right w:w="108" w:type="dxa"/>
            </w:tcMar>
            <w:vAlign w:val="center"/>
            <w:hideMark/>
          </w:tcPr>
          <w:p w:rsidR="00CC38FA" w:rsidRDefault="00CC38FA">
            <w:pPr>
              <w:pStyle w:val="a3"/>
            </w:pPr>
            <w:r>
              <w:rPr>
                <w:rFonts w:hint="eastAsia"/>
                <w:color w:val="000000"/>
                <w:sz w:val="18"/>
                <w:szCs w:val="18"/>
              </w:rPr>
              <w:t>专利权</w:t>
            </w:r>
          </w:p>
        </w:tc>
        <w:tc>
          <w:tcPr>
            <w:tcW w:w="1087" w:type="pct"/>
            <w:tcMar>
              <w:top w:w="0" w:type="dxa"/>
              <w:left w:w="108" w:type="dxa"/>
              <w:bottom w:w="0" w:type="dxa"/>
              <w:right w:w="108" w:type="dxa"/>
            </w:tcMar>
            <w:vAlign w:val="center"/>
            <w:hideMark/>
          </w:tcPr>
          <w:p w:rsidR="00CC38FA" w:rsidRDefault="00CC38FA">
            <w:pPr>
              <w:pStyle w:val="a3"/>
              <w:jc w:val="right"/>
            </w:pPr>
            <w:r>
              <w:rPr>
                <w:rFonts w:hint="eastAsia"/>
                <w:sz w:val="18"/>
                <w:szCs w:val="18"/>
              </w:rPr>
              <w:t>2-15年</w:t>
            </w:r>
          </w:p>
        </w:tc>
        <w:tc>
          <w:tcPr>
            <w:tcW w:w="1274" w:type="pct"/>
            <w:tcMar>
              <w:top w:w="0" w:type="dxa"/>
              <w:left w:w="108" w:type="dxa"/>
              <w:bottom w:w="0" w:type="dxa"/>
              <w:right w:w="108" w:type="dxa"/>
            </w:tcMar>
            <w:vAlign w:val="center"/>
            <w:hideMark/>
          </w:tcPr>
          <w:p w:rsidR="00CC38FA" w:rsidRDefault="00CC38FA">
            <w:pPr>
              <w:pStyle w:val="a3"/>
              <w:jc w:val="right"/>
            </w:pPr>
            <w:r>
              <w:rPr>
                <w:rFonts w:hint="eastAsia"/>
                <w:sz w:val="18"/>
                <w:szCs w:val="18"/>
              </w:rPr>
              <w:t>受益年限</w:t>
            </w:r>
          </w:p>
        </w:tc>
        <w:tc>
          <w:tcPr>
            <w:tcW w:w="1001" w:type="pct"/>
            <w:tcMar>
              <w:top w:w="0" w:type="dxa"/>
              <w:left w:w="108" w:type="dxa"/>
              <w:bottom w:w="0" w:type="dxa"/>
              <w:right w:w="108" w:type="dxa"/>
            </w:tcMar>
            <w:vAlign w:val="center"/>
            <w:hideMark/>
          </w:tcPr>
          <w:p w:rsidR="00CC38FA" w:rsidRDefault="00CC38FA">
            <w:pPr>
              <w:pStyle w:val="a3"/>
              <w:jc w:val="right"/>
            </w:pPr>
            <w:r>
              <w:rPr>
                <w:rFonts w:hint="eastAsia"/>
                <w:sz w:val="18"/>
                <w:szCs w:val="18"/>
              </w:rPr>
              <w:t> </w:t>
            </w:r>
          </w:p>
        </w:tc>
      </w:tr>
    </w:tbl>
    <w:p w:rsidR="00CC38FA" w:rsidRDefault="00CC38FA">
      <w:pPr>
        <w:pStyle w:val="a3"/>
        <w:spacing w:before="0" w:beforeAutospacing="0" w:after="0" w:afterAutospacing="0"/>
        <w:ind w:firstLine="360"/>
        <w:divId w:val="720133752"/>
      </w:pPr>
      <w:r>
        <w:rPr>
          <w:rFonts w:hint="eastAsia"/>
          <w:sz w:val="18"/>
          <w:szCs w:val="18"/>
        </w:rPr>
        <w:t>期末，对使用寿命有限的无形资产的使用寿命和摊销方法进行复核，如发生变更则作为会计估计变更处理。此外，还对使用寿命不确定的无形资产的使用寿命进行复核，如果有证据表明该无形资产为企业带来经济利益的期限是可预见的，则估计其使用寿命并按照使用寿命有限的无形资产的摊销政策进行摊销。</w:t>
      </w:r>
    </w:p>
    <w:p w:rsidR="007F3A90" w:rsidRDefault="00CC38FA">
      <w:pPr>
        <w:keepNext/>
        <w:keepLines/>
        <w:spacing w:before="300" w:after="300" w:line="280" w:lineRule="exact"/>
        <w:outlineLvl w:val="3"/>
        <w:rPr>
          <w:rFonts w:ascii="宋体" w:eastAsia="宋体" w:hAnsi="宋体" w:cs="宋体"/>
          <w:b/>
          <w:bCs/>
          <w:szCs w:val="21"/>
        </w:rPr>
      </w:pPr>
      <w:bookmarkStart w:id="138" w:name="_Toc989027"/>
      <w:r>
        <w:rPr>
          <w:rFonts w:ascii="宋体" w:eastAsia="宋体" w:hAnsi="宋体" w:cs="宋体"/>
          <w:b/>
          <w:bCs/>
          <w:szCs w:val="21"/>
        </w:rPr>
        <w:t>（2） 研发支出的归集范围及相关会计处理方法</w:t>
      </w:r>
      <w:bookmarkEnd w:id="138"/>
    </w:p>
    <w:p w:rsidR="00CC38FA" w:rsidRDefault="00CC38FA">
      <w:pPr>
        <w:pStyle w:val="a3"/>
        <w:spacing w:before="0" w:beforeAutospacing="0" w:after="0" w:afterAutospacing="0"/>
        <w:ind w:firstLine="360"/>
        <w:divId w:val="961889123"/>
      </w:pPr>
      <w:r>
        <w:rPr>
          <w:rFonts w:hint="eastAsia"/>
          <w:sz w:val="18"/>
          <w:szCs w:val="18"/>
        </w:rPr>
        <w:t>本公司内部研究开发项目的支出分为研究阶段支出与开发阶段支出。</w:t>
      </w:r>
    </w:p>
    <w:p w:rsidR="00CC38FA" w:rsidRDefault="00CC38FA">
      <w:pPr>
        <w:pStyle w:val="a3"/>
        <w:spacing w:before="0" w:beforeAutospacing="0" w:after="0" w:afterAutospacing="0"/>
        <w:ind w:firstLine="360"/>
        <w:divId w:val="961889123"/>
      </w:pPr>
      <w:r>
        <w:rPr>
          <w:rFonts w:hint="eastAsia"/>
          <w:sz w:val="18"/>
          <w:szCs w:val="18"/>
        </w:rPr>
        <w:t>研究阶段的支出，于发生时计入当期损益。</w:t>
      </w:r>
    </w:p>
    <w:p w:rsidR="00CC38FA" w:rsidRDefault="00CC38FA">
      <w:pPr>
        <w:pStyle w:val="a3"/>
        <w:spacing w:before="0" w:beforeAutospacing="0" w:after="0" w:afterAutospacing="0"/>
        <w:ind w:firstLine="360"/>
        <w:divId w:val="961889123"/>
      </w:pPr>
      <w:r>
        <w:rPr>
          <w:rFonts w:hint="eastAsia"/>
          <w:sz w:val="18"/>
          <w:szCs w:val="18"/>
        </w:rPr>
        <w:t>开发阶段的支出同时满足下列条件的，确认为无形资产，不能满足下述条件的开发阶段的支出计入当期损益：</w:t>
      </w:r>
    </w:p>
    <w:p w:rsidR="00CC38FA" w:rsidRDefault="00CC38FA">
      <w:pPr>
        <w:pStyle w:val="a3"/>
        <w:spacing w:before="0" w:beforeAutospacing="0" w:after="0" w:afterAutospacing="0"/>
        <w:ind w:firstLine="360"/>
        <w:divId w:val="961889123"/>
      </w:pPr>
      <w:r>
        <w:rPr>
          <w:rFonts w:hint="eastAsia"/>
          <w:sz w:val="18"/>
          <w:szCs w:val="18"/>
        </w:rPr>
        <w:t>①完成该无形资产以使其能够使用或出售在技术上具有可行性；</w:t>
      </w:r>
    </w:p>
    <w:p w:rsidR="00CC38FA" w:rsidRDefault="00CC38FA">
      <w:pPr>
        <w:pStyle w:val="a3"/>
        <w:spacing w:before="0" w:beforeAutospacing="0" w:after="0" w:afterAutospacing="0"/>
        <w:ind w:firstLine="360"/>
        <w:divId w:val="961889123"/>
      </w:pPr>
      <w:r>
        <w:rPr>
          <w:rFonts w:hint="eastAsia"/>
          <w:sz w:val="18"/>
          <w:szCs w:val="18"/>
        </w:rPr>
        <w:t>②具有完成该无形资产并使用或出售的意图；</w:t>
      </w:r>
    </w:p>
    <w:p w:rsidR="00CC38FA" w:rsidRDefault="00CC38FA">
      <w:pPr>
        <w:pStyle w:val="a3"/>
        <w:spacing w:before="0" w:beforeAutospacing="0" w:after="0" w:afterAutospacing="0"/>
        <w:ind w:firstLine="360"/>
        <w:divId w:val="961889123"/>
      </w:pPr>
      <w:r>
        <w:rPr>
          <w:rFonts w:hint="eastAsia"/>
          <w:sz w:val="18"/>
          <w:szCs w:val="18"/>
        </w:rPr>
        <w:t>③无形资产产生经济利益的方式，包括能够证明运用该无形资产生产的产品存在市场或无形资产自身存在市场，无形资产将在内部使用的，能够证明其有用性；</w:t>
      </w:r>
    </w:p>
    <w:p w:rsidR="00CC38FA" w:rsidRDefault="00CC38FA">
      <w:pPr>
        <w:pStyle w:val="a3"/>
        <w:spacing w:before="0" w:beforeAutospacing="0" w:after="0" w:afterAutospacing="0"/>
        <w:ind w:firstLine="360"/>
        <w:divId w:val="961889123"/>
      </w:pPr>
      <w:r>
        <w:rPr>
          <w:rFonts w:hint="eastAsia"/>
          <w:sz w:val="18"/>
          <w:szCs w:val="18"/>
        </w:rPr>
        <w:t>④有足够的技术、财务资源和其他资源支持，以完成该无形资产的开发，并有能力使用或出售该无形资产；</w:t>
      </w:r>
    </w:p>
    <w:p w:rsidR="00CC38FA" w:rsidRDefault="00CC38FA">
      <w:pPr>
        <w:pStyle w:val="a3"/>
        <w:spacing w:before="0" w:beforeAutospacing="0" w:after="0" w:afterAutospacing="0"/>
        <w:ind w:firstLine="360"/>
        <w:divId w:val="961889123"/>
      </w:pPr>
      <w:r>
        <w:rPr>
          <w:rFonts w:hint="eastAsia"/>
          <w:sz w:val="18"/>
          <w:szCs w:val="18"/>
        </w:rPr>
        <w:t>⑤归属于该无形资产开发阶段的支出能够可靠地计量。</w:t>
      </w:r>
    </w:p>
    <w:p w:rsidR="00CC38FA" w:rsidRDefault="00CC38FA">
      <w:pPr>
        <w:pStyle w:val="a3"/>
        <w:spacing w:before="0" w:beforeAutospacing="0" w:after="0" w:afterAutospacing="0"/>
        <w:ind w:firstLine="360"/>
        <w:divId w:val="961889123"/>
      </w:pPr>
      <w:r>
        <w:rPr>
          <w:rFonts w:hint="eastAsia"/>
          <w:sz w:val="18"/>
          <w:szCs w:val="18"/>
        </w:rPr>
        <w:t>无法区分研究阶段支出和开发阶段支出的，将发生的研发支出全部计入当期损益。</w:t>
      </w:r>
    </w:p>
    <w:p w:rsidR="007F3A90" w:rsidRDefault="00CC38FA">
      <w:pPr>
        <w:pStyle w:val="3"/>
        <w:spacing w:line="280" w:lineRule="exact"/>
        <w:jc w:val="left"/>
        <w:rPr>
          <w:rFonts w:ascii="宋体" w:hAnsi="宋体" w:cs="宋体"/>
          <w:b/>
          <w:bCs/>
        </w:rPr>
      </w:pPr>
      <w:bookmarkStart w:id="139" w:name="_Toc989028"/>
      <w:r>
        <w:rPr>
          <w:rFonts w:ascii="宋体" w:hAnsi="宋体" w:cs="宋体"/>
          <w:b/>
          <w:bCs/>
        </w:rPr>
        <w:lastRenderedPageBreak/>
        <w:t>27、长期资产减值</w:t>
      </w:r>
      <w:bookmarkEnd w:id="139"/>
    </w:p>
    <w:p w:rsidR="00CC38FA" w:rsidRDefault="00CC38FA">
      <w:pPr>
        <w:pStyle w:val="a3"/>
        <w:spacing w:before="0" w:beforeAutospacing="0" w:after="0" w:afterAutospacing="0"/>
        <w:ind w:firstLine="360"/>
        <w:divId w:val="923027587"/>
      </w:pPr>
      <w:r>
        <w:rPr>
          <w:rFonts w:hint="eastAsia"/>
          <w:sz w:val="18"/>
          <w:szCs w:val="18"/>
        </w:rPr>
        <w:t>对于固定资产、在建工程、使用寿命有限的无形资产、以成本模式计量的投资性房地产及对子公司、合营企业、联营企业的长期股权投资等非流动非金融资产，本公司于资产负债表日判断是否存在减值迹象。如存在减值迹象的，则估计其可收回金额，进行减值测试。商誉、使用寿命不确定的无形资产和尚未达到可使用状态的无形资产，无论是否存在减值迹象，每年均进行减值测试。</w:t>
      </w:r>
    </w:p>
    <w:p w:rsidR="00CC38FA" w:rsidRDefault="00CC38FA">
      <w:pPr>
        <w:pStyle w:val="a3"/>
        <w:spacing w:before="0" w:beforeAutospacing="0" w:after="0" w:afterAutospacing="0"/>
        <w:ind w:firstLine="360"/>
        <w:divId w:val="923027587"/>
      </w:pPr>
      <w:r>
        <w:rPr>
          <w:rFonts w:hint="eastAsia"/>
          <w:sz w:val="18"/>
          <w:szCs w:val="18"/>
        </w:rPr>
        <w:t>减值测试结果表明资产的可收回金额低于其账面价值的，按其差额计提减值准备并计入减值损失。可收回金额为资产的公允价值减去处置费用后的净额与资产预计未来现金流量的现值两者之间的较高者。资产的公允价值根据公平交易中销售协议价格确定；不存在销售协议但存在资产活跃市场的，公允价值按照该资产的买方出价确定；不存在销售协议和资产活跃市场的，则以可获取的最佳信息为基础估计资产的公允价值。处置费用包括与资产处置有关的法律费用、相关税费、搬运费以及为使资产达到可销售状态所发生的直接费用。资产预计未来现金流量的现值，按照资产在持续使用过程中和最终处置时所产生的预计未来现金流量，选择恰当的折现率对其进行折现后的金额加以确定。资产减值准备按单项资产为基础计算并确认，如果难以对单项资产的可收回金额进行估计的，以该资产所属的资产组确定资产组的可收回金额。资产组是能够独立产生现金流入的最小资产组合。</w:t>
      </w:r>
    </w:p>
    <w:p w:rsidR="00CC38FA" w:rsidRDefault="00CC38FA">
      <w:pPr>
        <w:pStyle w:val="a3"/>
        <w:spacing w:before="0" w:beforeAutospacing="0" w:after="0" w:afterAutospacing="0"/>
        <w:ind w:firstLine="360"/>
        <w:divId w:val="923027587"/>
      </w:pPr>
      <w:r>
        <w:rPr>
          <w:rFonts w:hint="eastAsia"/>
          <w:sz w:val="18"/>
          <w:szCs w:val="18"/>
        </w:rPr>
        <w:t>在财务报表中单独列示的商誉，在进行减值测试时，将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rsidR="00CC38FA" w:rsidRDefault="00CC38FA">
      <w:pPr>
        <w:pStyle w:val="a3"/>
        <w:spacing w:before="0" w:beforeAutospacing="0" w:after="0" w:afterAutospacing="0"/>
        <w:ind w:firstLine="360"/>
        <w:divId w:val="923027587"/>
      </w:pPr>
      <w:r>
        <w:rPr>
          <w:rFonts w:hint="eastAsia"/>
          <w:sz w:val="18"/>
          <w:szCs w:val="18"/>
        </w:rPr>
        <w:t>上述资产减值损失一经确认，以后期间不予转回价值得以恢复的部分。</w:t>
      </w:r>
    </w:p>
    <w:p w:rsidR="007F3A90" w:rsidRDefault="00CC38FA">
      <w:pPr>
        <w:pStyle w:val="3"/>
        <w:spacing w:line="280" w:lineRule="exact"/>
        <w:jc w:val="left"/>
        <w:rPr>
          <w:rFonts w:ascii="宋体" w:hAnsi="宋体" w:cs="宋体"/>
          <w:b/>
          <w:bCs/>
        </w:rPr>
      </w:pPr>
      <w:bookmarkStart w:id="140" w:name="_Toc989029"/>
      <w:r>
        <w:rPr>
          <w:rFonts w:ascii="宋体" w:hAnsi="宋体" w:cs="宋体"/>
          <w:b/>
          <w:bCs/>
        </w:rPr>
        <w:t>28、长期待摊费用</w:t>
      </w:r>
      <w:bookmarkEnd w:id="140"/>
    </w:p>
    <w:p w:rsidR="00CC38FA" w:rsidRDefault="00CC38FA">
      <w:pPr>
        <w:pStyle w:val="a3"/>
        <w:ind w:firstLine="360"/>
        <w:divId w:val="2022656029"/>
      </w:pPr>
      <w:r>
        <w:rPr>
          <w:rFonts w:hint="eastAsia"/>
          <w:sz w:val="18"/>
          <w:szCs w:val="18"/>
        </w:rPr>
        <w:t>长期待摊费用为已经发生但应由报告期和以后各期负担的分摊期限在一年以上的各项费用。长期待摊费用在预计受益期间按直线法摊销。</w:t>
      </w:r>
    </w:p>
    <w:p w:rsidR="007F3A90" w:rsidRDefault="00CC38FA">
      <w:pPr>
        <w:pStyle w:val="3"/>
        <w:spacing w:line="280" w:lineRule="exact"/>
        <w:jc w:val="left"/>
        <w:rPr>
          <w:rFonts w:ascii="宋体" w:hAnsi="宋体" w:cs="宋体"/>
          <w:b/>
          <w:bCs/>
        </w:rPr>
      </w:pPr>
      <w:bookmarkStart w:id="141" w:name="_Toc989030"/>
      <w:r>
        <w:rPr>
          <w:rFonts w:ascii="宋体" w:hAnsi="宋体" w:cs="宋体"/>
          <w:b/>
          <w:bCs/>
        </w:rPr>
        <w:t>29、合同负债</w:t>
      </w:r>
      <w:bookmarkEnd w:id="141"/>
    </w:p>
    <w:p w:rsidR="00CC38FA" w:rsidRDefault="00CC38FA">
      <w:pPr>
        <w:pStyle w:val="a3"/>
        <w:spacing w:before="0" w:beforeAutospacing="0" w:after="0" w:afterAutospacing="0"/>
        <w:ind w:firstLine="360"/>
        <w:divId w:val="625622082"/>
      </w:pPr>
      <w:r>
        <w:rPr>
          <w:rFonts w:hint="eastAsia"/>
          <w:sz w:val="18"/>
          <w:szCs w:val="18"/>
        </w:rPr>
        <w:t>合同负债，是指本公司已收或应收客户对价而应向客户转让商品的义务。如果在本公司向客户转让商品之前，客户已经支付了合同对价或本公司已经取得了无条件收款权，本公司在客户实际支付款项和到期应支付款项孰早时点，将该已收或应收款项列示为合同负债。同一合同下的合同资产和合同负债以净额列示，不同合同下的合同资产和合同负债不抵销。</w:t>
      </w:r>
    </w:p>
    <w:p w:rsidR="007F3A90" w:rsidRDefault="00CC38FA">
      <w:pPr>
        <w:pStyle w:val="3"/>
        <w:spacing w:line="280" w:lineRule="exact"/>
        <w:jc w:val="left"/>
        <w:rPr>
          <w:rFonts w:ascii="宋体" w:hAnsi="宋体" w:cs="宋体"/>
          <w:b/>
          <w:bCs/>
        </w:rPr>
      </w:pPr>
      <w:bookmarkStart w:id="142" w:name="_Toc989031"/>
      <w:r>
        <w:rPr>
          <w:rFonts w:ascii="宋体" w:hAnsi="宋体" w:cs="宋体"/>
          <w:b/>
          <w:bCs/>
        </w:rPr>
        <w:t>30、职工薪酬</w:t>
      </w:r>
      <w:bookmarkEnd w:id="142"/>
    </w:p>
    <w:p w:rsidR="007F3A90" w:rsidRDefault="00CC38FA">
      <w:pPr>
        <w:keepNext/>
        <w:keepLines/>
        <w:spacing w:before="300" w:after="300" w:line="280" w:lineRule="exact"/>
        <w:outlineLvl w:val="3"/>
        <w:rPr>
          <w:rFonts w:ascii="宋体" w:eastAsia="宋体" w:hAnsi="宋体" w:cs="宋体"/>
          <w:b/>
          <w:bCs/>
          <w:szCs w:val="21"/>
        </w:rPr>
      </w:pPr>
      <w:bookmarkStart w:id="143" w:name="_Toc989032"/>
      <w:r>
        <w:rPr>
          <w:rFonts w:ascii="宋体" w:eastAsia="宋体" w:hAnsi="宋体" w:cs="宋体"/>
          <w:b/>
          <w:bCs/>
          <w:szCs w:val="21"/>
        </w:rPr>
        <w:t>（1） 短期薪酬的会计处理方法</w:t>
      </w:r>
      <w:bookmarkEnd w:id="143"/>
    </w:p>
    <w:p w:rsidR="00CC38FA" w:rsidRDefault="00CC38FA">
      <w:pPr>
        <w:pStyle w:val="a3"/>
        <w:spacing w:before="0" w:beforeAutospacing="0" w:after="0" w:afterAutospacing="0"/>
        <w:ind w:firstLine="360"/>
        <w:divId w:val="1323779596"/>
      </w:pPr>
      <w:r>
        <w:rPr>
          <w:rFonts w:hint="eastAsia"/>
          <w:sz w:val="18"/>
          <w:szCs w:val="18"/>
        </w:rPr>
        <w:t>短期薪酬主要包括工资、奖金、津贴和补贴、职工福利费、医疗保险费、生育保险费、工伤保险费、住房公积金、工会经费和职工教育经费、非货币性福利等。本公司在职工为本公司提供服务的会计期间将实际发生的短期职工薪酬确认为负债，并计入当期损益或相关资产成本。其中非货币性福利按公允价值计量。</w:t>
      </w:r>
    </w:p>
    <w:p w:rsidR="007F3A90" w:rsidRDefault="00CC38FA">
      <w:pPr>
        <w:keepNext/>
        <w:keepLines/>
        <w:spacing w:before="300" w:after="300" w:line="280" w:lineRule="exact"/>
        <w:outlineLvl w:val="3"/>
        <w:rPr>
          <w:rFonts w:ascii="宋体" w:eastAsia="宋体" w:hAnsi="宋体" w:cs="宋体"/>
          <w:b/>
          <w:bCs/>
          <w:szCs w:val="21"/>
        </w:rPr>
      </w:pPr>
      <w:bookmarkStart w:id="144" w:name="_Toc989033"/>
      <w:r>
        <w:rPr>
          <w:rFonts w:ascii="宋体" w:eastAsia="宋体" w:hAnsi="宋体" w:cs="宋体"/>
          <w:b/>
          <w:bCs/>
          <w:szCs w:val="21"/>
        </w:rPr>
        <w:t>（2） 离职后福利的会计处理方法</w:t>
      </w:r>
      <w:bookmarkEnd w:id="144"/>
    </w:p>
    <w:p w:rsidR="00CC38FA" w:rsidRDefault="00CC38FA">
      <w:pPr>
        <w:pStyle w:val="a3"/>
        <w:spacing w:before="0" w:beforeAutospacing="0" w:after="0" w:afterAutospacing="0"/>
        <w:ind w:firstLine="360"/>
        <w:divId w:val="1238246484"/>
      </w:pPr>
      <w:r>
        <w:rPr>
          <w:rFonts w:hint="eastAsia"/>
          <w:sz w:val="18"/>
          <w:szCs w:val="18"/>
        </w:rPr>
        <w:t>离职后福利主要包括基本养老保险、失业保险以及年金等。离职后福利计划为设定提存计划。采用设定提存计划的，相应的应缴存金额于发生时计入相关资产成本或当期损益。</w:t>
      </w:r>
    </w:p>
    <w:p w:rsidR="007F3A90" w:rsidRDefault="00CC38FA">
      <w:pPr>
        <w:keepNext/>
        <w:keepLines/>
        <w:spacing w:before="300" w:after="300" w:line="280" w:lineRule="exact"/>
        <w:outlineLvl w:val="3"/>
        <w:rPr>
          <w:rFonts w:ascii="宋体" w:eastAsia="宋体" w:hAnsi="宋体" w:cs="宋体"/>
          <w:b/>
          <w:bCs/>
          <w:szCs w:val="21"/>
        </w:rPr>
      </w:pPr>
      <w:bookmarkStart w:id="145" w:name="_Toc989034"/>
      <w:r>
        <w:rPr>
          <w:rFonts w:ascii="宋体" w:eastAsia="宋体" w:hAnsi="宋体" w:cs="宋体"/>
          <w:b/>
          <w:bCs/>
          <w:szCs w:val="21"/>
        </w:rPr>
        <w:lastRenderedPageBreak/>
        <w:t>（3） 辞退福利的会计处理方法</w:t>
      </w:r>
      <w:bookmarkEnd w:id="145"/>
    </w:p>
    <w:p w:rsidR="00CC38FA" w:rsidRDefault="00CC38FA">
      <w:pPr>
        <w:pStyle w:val="a3"/>
        <w:spacing w:before="0" w:beforeAutospacing="0" w:after="0" w:afterAutospacing="0"/>
        <w:ind w:firstLine="360"/>
        <w:divId w:val="755520535"/>
      </w:pPr>
      <w:r>
        <w:rPr>
          <w:rFonts w:hint="eastAsia"/>
          <w:sz w:val="18"/>
          <w:szCs w:val="18"/>
        </w:rPr>
        <w:t>在职工劳动合同到期之前解除与职工的劳动关系，或为鼓励职工自愿接受裁减而提出给予补偿的建议，在本公司不能单方面撤回因解除劳动关系计划或裁减建议所提供的辞退福利时，和本公司确认与涉及支付辞退福利的重组相关的成本两者孰早日，确认辞退福利产生的职工薪酬负债，并计入当期损益。但辞退福利预期在年度报告期结束后十二个月不能完全支付的，按照其他长期职工薪酬处理。</w:t>
      </w:r>
    </w:p>
    <w:p w:rsidR="007F3A90" w:rsidRDefault="00CC38FA">
      <w:pPr>
        <w:keepNext/>
        <w:keepLines/>
        <w:spacing w:before="300" w:after="300" w:line="280" w:lineRule="exact"/>
        <w:outlineLvl w:val="3"/>
        <w:rPr>
          <w:rFonts w:ascii="宋体" w:eastAsia="宋体" w:hAnsi="宋体" w:cs="宋体"/>
          <w:b/>
          <w:bCs/>
          <w:szCs w:val="21"/>
        </w:rPr>
      </w:pPr>
      <w:bookmarkStart w:id="146" w:name="_Toc989035"/>
      <w:r>
        <w:rPr>
          <w:rFonts w:ascii="宋体" w:eastAsia="宋体" w:hAnsi="宋体" w:cs="宋体"/>
          <w:b/>
          <w:bCs/>
          <w:szCs w:val="21"/>
        </w:rPr>
        <w:t>（4） 其他长期职工福利的会计处理方法</w:t>
      </w:r>
      <w:bookmarkEnd w:id="146"/>
    </w:p>
    <w:p w:rsidR="00CC38FA" w:rsidRDefault="00CC38FA">
      <w:pPr>
        <w:pStyle w:val="a3"/>
        <w:spacing w:before="0" w:beforeAutospacing="0" w:after="0" w:afterAutospacing="0"/>
        <w:ind w:firstLine="360"/>
        <w:divId w:val="169029522"/>
      </w:pPr>
      <w:r>
        <w:rPr>
          <w:rFonts w:hint="eastAsia"/>
          <w:sz w:val="18"/>
          <w:szCs w:val="18"/>
        </w:rPr>
        <w:t>职工内部退休计划采用与上述辞退福利相同的原则处理。本公司将自职工停止提供服务日至正常退休日的期间拟支付的内退人员工资和缴纳的社会保险费等，在符合预计负债确认条件时，计入当期损益（辞退福利）。</w:t>
      </w:r>
    </w:p>
    <w:p w:rsidR="00CC38FA" w:rsidRDefault="00CC38FA">
      <w:pPr>
        <w:pStyle w:val="a3"/>
        <w:spacing w:before="0" w:beforeAutospacing="0" w:after="0" w:afterAutospacing="0"/>
        <w:ind w:firstLine="400"/>
        <w:jc w:val="both"/>
        <w:divId w:val="169029522"/>
      </w:pPr>
      <w:r>
        <w:rPr>
          <w:rFonts w:hint="eastAsia"/>
          <w:sz w:val="18"/>
          <w:szCs w:val="18"/>
        </w:rPr>
        <w:t>本公司向职工提供的其他长期职工福利，符合设定提存计划的，按照设定提存计划进行会计处理，除此之外按照设定受益计划进行会计处理。</w:t>
      </w:r>
    </w:p>
    <w:p w:rsidR="007F3A90" w:rsidRDefault="00CC38FA">
      <w:pPr>
        <w:pStyle w:val="3"/>
        <w:spacing w:line="280" w:lineRule="exact"/>
        <w:jc w:val="left"/>
        <w:rPr>
          <w:rFonts w:ascii="宋体" w:hAnsi="宋体" w:cs="宋体"/>
          <w:b/>
          <w:bCs/>
        </w:rPr>
      </w:pPr>
      <w:bookmarkStart w:id="147" w:name="_Toc989036"/>
      <w:r>
        <w:rPr>
          <w:rFonts w:ascii="宋体" w:hAnsi="宋体" w:cs="宋体"/>
          <w:b/>
          <w:bCs/>
        </w:rPr>
        <w:t>31、预计负债</w:t>
      </w:r>
      <w:bookmarkEnd w:id="147"/>
    </w:p>
    <w:p w:rsidR="00CC38FA" w:rsidRDefault="00CC38FA">
      <w:pPr>
        <w:pStyle w:val="a3"/>
        <w:spacing w:before="0" w:beforeAutospacing="0" w:after="0" w:afterAutospacing="0"/>
        <w:ind w:firstLine="360"/>
        <w:divId w:val="351959098"/>
      </w:pPr>
      <w:r>
        <w:rPr>
          <w:rFonts w:hint="eastAsia"/>
          <w:sz w:val="18"/>
          <w:szCs w:val="18"/>
        </w:rPr>
        <w:t>当与或有事项相关的义务同时符合以下条件，确认为预计负债：（1）该义务是本公司承担的现时义务；（2）履行该义务很可能导致经济利益流出；（3）该义务的金额能够可靠地计量。</w:t>
      </w:r>
    </w:p>
    <w:p w:rsidR="00CC38FA" w:rsidRDefault="00CC38FA">
      <w:pPr>
        <w:pStyle w:val="a3"/>
        <w:spacing w:before="0" w:beforeAutospacing="0" w:after="0" w:afterAutospacing="0"/>
        <w:ind w:firstLine="360"/>
        <w:divId w:val="351959098"/>
      </w:pPr>
      <w:r>
        <w:rPr>
          <w:rFonts w:hint="eastAsia"/>
          <w:sz w:val="18"/>
          <w:szCs w:val="18"/>
        </w:rPr>
        <w:t>在资产负债表日，考虑与或有事项有关的风险、不确定性和货币时间价值等因素，按照履行相关现时义务所需支出的最佳估计数对预计负债进行计量。</w:t>
      </w:r>
    </w:p>
    <w:p w:rsidR="00CC38FA" w:rsidRDefault="00CC38FA">
      <w:pPr>
        <w:pStyle w:val="a3"/>
        <w:spacing w:before="0" w:beforeAutospacing="0" w:after="0" w:afterAutospacing="0"/>
        <w:ind w:firstLine="360"/>
        <w:divId w:val="351959098"/>
      </w:pPr>
      <w:r>
        <w:rPr>
          <w:rFonts w:hint="eastAsia"/>
          <w:sz w:val="18"/>
          <w:szCs w:val="18"/>
        </w:rPr>
        <w:t>如果清偿预计负债所需支出全部或部分预期由第三方补偿的，补偿金额在基本确定能够收到时，作为资产单独确认，且确认的补偿金额不超过预计负债的账面价值。</w:t>
      </w:r>
    </w:p>
    <w:p w:rsidR="00CC38FA" w:rsidRDefault="00CC38FA">
      <w:pPr>
        <w:pStyle w:val="a3"/>
        <w:spacing w:before="0" w:beforeAutospacing="0" w:after="0" w:afterAutospacing="0"/>
        <w:ind w:firstLine="360"/>
        <w:divId w:val="351959098"/>
      </w:pPr>
      <w:r>
        <w:rPr>
          <w:rFonts w:hint="eastAsia"/>
          <w:sz w:val="18"/>
          <w:szCs w:val="18"/>
        </w:rPr>
        <w:t>（1）亏损合同</w:t>
      </w:r>
    </w:p>
    <w:p w:rsidR="00CC38FA" w:rsidRDefault="00CC38FA">
      <w:pPr>
        <w:pStyle w:val="a3"/>
        <w:spacing w:before="0" w:beforeAutospacing="0" w:after="0" w:afterAutospacing="0"/>
        <w:ind w:firstLine="360"/>
        <w:divId w:val="351959098"/>
      </w:pPr>
      <w:r>
        <w:rPr>
          <w:rFonts w:hint="eastAsia"/>
          <w:sz w:val="18"/>
          <w:szCs w:val="18"/>
        </w:rPr>
        <w:t>亏损合同是履行合同义务不可避免会发生的成本超过预期经济利益的合同。待执行合同变成亏损合同，且该亏损合同产生的义务满足上述预计负债的确认条件的，将合同预计损失超过合同标的资产已确认的减值损失（如有）的部分，确认为预计负债。</w:t>
      </w:r>
    </w:p>
    <w:p w:rsidR="00CC38FA" w:rsidRDefault="00CC38FA">
      <w:pPr>
        <w:pStyle w:val="a3"/>
        <w:spacing w:before="0" w:beforeAutospacing="0" w:after="0" w:afterAutospacing="0"/>
        <w:ind w:firstLine="360"/>
        <w:divId w:val="351959098"/>
      </w:pPr>
      <w:r>
        <w:rPr>
          <w:rFonts w:hint="eastAsia"/>
          <w:sz w:val="18"/>
          <w:szCs w:val="18"/>
        </w:rPr>
        <w:t>（2）重组义务</w:t>
      </w:r>
    </w:p>
    <w:p w:rsidR="00CC38FA" w:rsidRDefault="00CC38FA">
      <w:pPr>
        <w:pStyle w:val="a3"/>
        <w:spacing w:before="0" w:beforeAutospacing="0" w:after="0" w:afterAutospacing="0"/>
        <w:ind w:firstLine="360"/>
        <w:divId w:val="351959098"/>
      </w:pPr>
      <w:r>
        <w:rPr>
          <w:rFonts w:hint="eastAsia"/>
          <w:sz w:val="18"/>
          <w:szCs w:val="18"/>
        </w:rPr>
        <w:t>对于有详细、正式并且已经对外公告的重组计划，在满足前述预计负债的确认条件的情况下，按照与重组有关的直接支出确定预计负债金额。对于出售部分业务的重组义务，只有在本公司承诺出售部分业务（即签订了约束性出售协议时），才确认与重组相关的义务。</w:t>
      </w:r>
    </w:p>
    <w:p w:rsidR="007F3A90" w:rsidRDefault="00CC38FA">
      <w:pPr>
        <w:pStyle w:val="3"/>
        <w:spacing w:line="280" w:lineRule="exact"/>
        <w:jc w:val="left"/>
        <w:rPr>
          <w:rFonts w:ascii="宋体" w:hAnsi="宋体" w:cs="宋体"/>
          <w:b/>
          <w:bCs/>
        </w:rPr>
      </w:pPr>
      <w:bookmarkStart w:id="148" w:name="_Toc989037"/>
      <w:r>
        <w:rPr>
          <w:rFonts w:ascii="宋体" w:hAnsi="宋体" w:cs="宋体"/>
          <w:b/>
          <w:bCs/>
        </w:rPr>
        <w:t>32、股份支付</w:t>
      </w:r>
      <w:bookmarkEnd w:id="148"/>
    </w:p>
    <w:p w:rsidR="00CC38FA" w:rsidRDefault="00CC38FA">
      <w:pPr>
        <w:pStyle w:val="a3"/>
        <w:spacing w:before="0" w:beforeAutospacing="0" w:after="0" w:afterAutospacing="0"/>
        <w:ind w:firstLine="360"/>
        <w:divId w:val="9916950"/>
      </w:pPr>
      <w:r>
        <w:rPr>
          <w:rFonts w:hint="eastAsia"/>
          <w:sz w:val="18"/>
          <w:szCs w:val="18"/>
        </w:rPr>
        <w:t>（1）股份支付的会计处理方法</w:t>
      </w:r>
    </w:p>
    <w:p w:rsidR="00CC38FA" w:rsidRDefault="00CC38FA">
      <w:pPr>
        <w:pStyle w:val="a3"/>
        <w:spacing w:before="0" w:beforeAutospacing="0" w:after="0" w:afterAutospacing="0"/>
        <w:ind w:firstLine="360"/>
        <w:divId w:val="9916950"/>
      </w:pPr>
      <w:r>
        <w:rPr>
          <w:rFonts w:hint="eastAsia"/>
          <w:sz w:val="18"/>
          <w:szCs w:val="18"/>
        </w:rPr>
        <w:t>股份支付是为了获取职工或其他方提供服务而授予权益工具或者承担以权益工具为基础确定的负债的交易。股份支付分为以权益结算的股份支付和以现金结算的股份支付。</w:t>
      </w:r>
    </w:p>
    <w:p w:rsidR="00CC38FA" w:rsidRDefault="00CC38FA">
      <w:pPr>
        <w:pStyle w:val="a3"/>
        <w:spacing w:before="0" w:beforeAutospacing="0" w:after="0" w:afterAutospacing="0"/>
        <w:ind w:firstLine="360"/>
        <w:divId w:val="9916950"/>
      </w:pPr>
      <w:r>
        <w:rPr>
          <w:rFonts w:hint="eastAsia"/>
          <w:sz w:val="18"/>
          <w:szCs w:val="18"/>
        </w:rPr>
        <w:t>① 以权益结算的股份支付</w:t>
      </w:r>
    </w:p>
    <w:p w:rsidR="00CC38FA" w:rsidRDefault="00CC38FA">
      <w:pPr>
        <w:pStyle w:val="a3"/>
        <w:spacing w:before="0" w:beforeAutospacing="0" w:after="0" w:afterAutospacing="0"/>
        <w:ind w:firstLine="360"/>
        <w:divId w:val="9916950"/>
      </w:pPr>
      <w:r>
        <w:rPr>
          <w:rFonts w:hint="eastAsia"/>
          <w:sz w:val="18"/>
          <w:szCs w:val="18"/>
        </w:rPr>
        <w:t>用以换取职工提供的服务的权益结算的股份支付，以授予职工权益工具在授予日的公允价值计量。该公允价值的金额在完成等待期内的服务或达到规定业绩条件才可行权的情况下，在等待期内以对可行权权益工具数量的最佳估计为基础，按直线法计算计入相关成本或费用，相应增加资本公积。</w:t>
      </w:r>
    </w:p>
    <w:p w:rsidR="00CC38FA" w:rsidRDefault="00CC38FA">
      <w:pPr>
        <w:pStyle w:val="a3"/>
        <w:spacing w:before="0" w:beforeAutospacing="0" w:after="0" w:afterAutospacing="0"/>
        <w:ind w:firstLine="360"/>
        <w:divId w:val="9916950"/>
      </w:pPr>
      <w:r>
        <w:rPr>
          <w:rFonts w:hint="eastAsia"/>
          <w:sz w:val="18"/>
          <w:szCs w:val="18"/>
        </w:rPr>
        <w:t>在等待期内每个资产负债表日，本公司根据最新取得的可行权职工人数变动等后续信息做出最佳估计，修正预计可行权的权益工具数量。上述估计的影响计入当期相关成本或费用，并相应调整资本公积。</w:t>
      </w:r>
    </w:p>
    <w:p w:rsidR="00CC38FA" w:rsidRDefault="00CC38FA">
      <w:pPr>
        <w:pStyle w:val="a3"/>
        <w:spacing w:before="0" w:beforeAutospacing="0" w:after="0" w:afterAutospacing="0"/>
        <w:ind w:firstLine="360"/>
        <w:divId w:val="9916950"/>
      </w:pPr>
      <w:r>
        <w:rPr>
          <w:rFonts w:hint="eastAsia"/>
          <w:sz w:val="18"/>
          <w:szCs w:val="18"/>
        </w:rPr>
        <w:t>用以换取其他方服务的权益结算的股份支付，如果其他方服务的公允价值能够可靠计量，按照其他方服务在取得日的公允价值计量，如果其他方服务的公允价值不能可靠计量，但权益工具的公允价值能够可靠计量的，按照权益工具在服务取得日的公允价值计量，计入相关成本或费用，相应增加股东权益。</w:t>
      </w:r>
    </w:p>
    <w:p w:rsidR="00CC38FA" w:rsidRDefault="00CC38FA">
      <w:pPr>
        <w:pStyle w:val="a3"/>
        <w:spacing w:before="0" w:beforeAutospacing="0" w:after="0" w:afterAutospacing="0"/>
        <w:ind w:firstLine="360"/>
        <w:divId w:val="9916950"/>
      </w:pPr>
      <w:r>
        <w:rPr>
          <w:rFonts w:hint="eastAsia"/>
          <w:sz w:val="18"/>
          <w:szCs w:val="18"/>
        </w:rPr>
        <w:lastRenderedPageBreak/>
        <w:t>② 以现金结算的股份支付</w:t>
      </w:r>
    </w:p>
    <w:p w:rsidR="00CC38FA" w:rsidRDefault="00CC38FA">
      <w:pPr>
        <w:pStyle w:val="a3"/>
        <w:spacing w:before="0" w:beforeAutospacing="0" w:after="0" w:afterAutospacing="0"/>
        <w:ind w:firstLine="360"/>
        <w:divId w:val="9916950"/>
      </w:pPr>
      <w:r>
        <w:rPr>
          <w:rFonts w:hint="eastAsia"/>
          <w:sz w:val="18"/>
          <w:szCs w:val="18"/>
        </w:rPr>
        <w:t>以现金结算的股份支付，按照本公司承担的以股份或其他权益工具为基础确定的负债的公允价值计量。如授予后立即可行权，在授予日计入相关成本或费用，相应增加负债；如须完成等待期内的服务或达到规定业绩条件以后才可行权，在等待期的每个资产负债表日，以对可行权情况的最佳估计为基础，按照本公司承担负债的公允价值金额，将当期取得的服务计入成本或费用，相应增加负债。</w:t>
      </w:r>
    </w:p>
    <w:p w:rsidR="00CC38FA" w:rsidRDefault="00CC38FA">
      <w:pPr>
        <w:pStyle w:val="a3"/>
        <w:spacing w:before="0" w:beforeAutospacing="0" w:after="0" w:afterAutospacing="0"/>
        <w:ind w:firstLine="360"/>
        <w:divId w:val="9916950"/>
      </w:pPr>
      <w:r>
        <w:rPr>
          <w:rFonts w:hint="eastAsia"/>
          <w:sz w:val="18"/>
          <w:szCs w:val="18"/>
        </w:rPr>
        <w:t>在相关负债结算前的每个资产负债表日以及结算日，对负债的公允价值重新计量，其变动计入当期损益。</w:t>
      </w:r>
    </w:p>
    <w:p w:rsidR="00CC38FA" w:rsidRDefault="00CC38FA">
      <w:pPr>
        <w:pStyle w:val="a3"/>
        <w:spacing w:before="0" w:beforeAutospacing="0" w:after="0" w:afterAutospacing="0"/>
        <w:ind w:firstLine="360"/>
        <w:divId w:val="9916950"/>
      </w:pPr>
      <w:r>
        <w:rPr>
          <w:rFonts w:hint="eastAsia"/>
          <w:sz w:val="18"/>
          <w:szCs w:val="18"/>
        </w:rPr>
        <w:t>（2）修改、终止股份支付计划的相关会计处理</w:t>
      </w:r>
    </w:p>
    <w:p w:rsidR="00CC38FA" w:rsidRDefault="00CC38FA">
      <w:pPr>
        <w:pStyle w:val="a3"/>
        <w:spacing w:before="0" w:beforeAutospacing="0" w:after="0" w:afterAutospacing="0"/>
        <w:ind w:firstLine="360"/>
        <w:divId w:val="9916950"/>
      </w:pPr>
      <w:r>
        <w:rPr>
          <w:rFonts w:hint="eastAsia"/>
          <w:sz w:val="18"/>
          <w:szCs w:val="18"/>
        </w:rPr>
        <w:t>本公司对股份支付计划进行修改时，若修改增加了所授予权益工具的公允价值，按照权益工具公允价值的增加相应确认取得服务的增加。权益工具公允价值的增加是指修改前后的权益工具在修改日的公允价值之间的差额。若修改减少了股份支付公允价值总额或采用了其他不利于职工的方式，则仍继续对取得的服务进行会计处理，视同该变更从未发生，除非本公司取消了部分或全部已授予的权益工具。</w:t>
      </w:r>
    </w:p>
    <w:p w:rsidR="00CC38FA" w:rsidRDefault="00CC38FA">
      <w:pPr>
        <w:pStyle w:val="a3"/>
        <w:spacing w:before="0" w:beforeAutospacing="0" w:after="0" w:afterAutospacing="0"/>
        <w:ind w:firstLine="360"/>
        <w:divId w:val="9916950"/>
      </w:pPr>
      <w:r>
        <w:rPr>
          <w:rFonts w:hint="eastAsia"/>
          <w:sz w:val="18"/>
          <w:szCs w:val="18"/>
        </w:rPr>
        <w:t>在等待期内，如果取消了授予的权益工具，本公司对取消所授予的权益性工具作为加速行权处理，将剩余等待期内应确认的金额立即计入当期损益，同时确认资本公积。职工或其他方能够选择满足非可行权条件但在等待期内未满足的，本公司将其作为授予权益工具的取消处理。</w:t>
      </w:r>
    </w:p>
    <w:p w:rsidR="00CC38FA" w:rsidRDefault="00CC38FA">
      <w:pPr>
        <w:pStyle w:val="a3"/>
        <w:spacing w:before="0" w:beforeAutospacing="0" w:after="0" w:afterAutospacing="0"/>
        <w:ind w:firstLine="360"/>
        <w:divId w:val="9916950"/>
      </w:pPr>
      <w:r>
        <w:rPr>
          <w:rFonts w:hint="eastAsia"/>
          <w:sz w:val="18"/>
          <w:szCs w:val="18"/>
        </w:rPr>
        <w:t>（3）涉及本公司与本公司股东或实际控制人的股份支付交易的会计处理</w:t>
      </w:r>
    </w:p>
    <w:p w:rsidR="00CC38FA" w:rsidRDefault="00CC38FA">
      <w:pPr>
        <w:pStyle w:val="a3"/>
        <w:spacing w:before="0" w:beforeAutospacing="0" w:after="0" w:afterAutospacing="0"/>
        <w:ind w:firstLine="360"/>
        <w:divId w:val="9916950"/>
      </w:pPr>
      <w:r>
        <w:rPr>
          <w:rFonts w:hint="eastAsia"/>
          <w:sz w:val="18"/>
          <w:szCs w:val="18"/>
        </w:rPr>
        <w:t>涉及本公司与本公司股东或实际控制人的股份支付交易，结算企业与接受服务企业中其一在本公司合并范围内，另一在本公司合并范围外的，在本公司合并财务报表中按照以下规定进行会计处理：</w:t>
      </w:r>
    </w:p>
    <w:p w:rsidR="00CC38FA" w:rsidRDefault="00CC38FA">
      <w:pPr>
        <w:pStyle w:val="a3"/>
        <w:spacing w:before="0" w:beforeAutospacing="0" w:after="0" w:afterAutospacing="0"/>
        <w:ind w:firstLine="360"/>
        <w:divId w:val="9916950"/>
      </w:pPr>
      <w:r>
        <w:rPr>
          <w:rFonts w:hint="eastAsia"/>
          <w:sz w:val="18"/>
          <w:szCs w:val="18"/>
        </w:rPr>
        <w:t>① 结算企业以其本身权益工具结算的，将该股份支付交易作为权益结算的股份支付处理；除此之外，作为现金结算的股份支付处理。</w:t>
      </w:r>
    </w:p>
    <w:p w:rsidR="00CC38FA" w:rsidRDefault="00CC38FA">
      <w:pPr>
        <w:pStyle w:val="a3"/>
        <w:spacing w:before="0" w:beforeAutospacing="0" w:after="0" w:afterAutospacing="0"/>
        <w:ind w:firstLine="360"/>
        <w:divId w:val="9916950"/>
      </w:pPr>
      <w:r>
        <w:rPr>
          <w:rFonts w:hint="eastAsia"/>
          <w:sz w:val="18"/>
          <w:szCs w:val="18"/>
        </w:rPr>
        <w:t>结算企业是接受服务企业的投资者的，按照授予日权益工具的公允价值或应承担负债的公允价值确认为对接受服务企业的长期股权投资，同时确认资本公积（其他资本公积）或负债。</w:t>
      </w:r>
    </w:p>
    <w:p w:rsidR="00CC38FA" w:rsidRDefault="00CC38FA">
      <w:pPr>
        <w:pStyle w:val="a3"/>
        <w:spacing w:before="0" w:beforeAutospacing="0" w:after="0" w:afterAutospacing="0"/>
        <w:ind w:firstLine="360"/>
        <w:divId w:val="9916950"/>
      </w:pPr>
      <w:r>
        <w:rPr>
          <w:rFonts w:hint="eastAsia"/>
          <w:sz w:val="18"/>
          <w:szCs w:val="18"/>
        </w:rPr>
        <w:t>② 接受服务企业没有结算义务或授予本企业职工的是其本身权益工具的，将该股份支付交易作为权益结算的股份支付处理；接受服务企业具有结算义务且授予本企业职工的并非其本身权益工具的，将该股份支付交易作为现金结算的股份支付处理。</w:t>
      </w:r>
    </w:p>
    <w:p w:rsidR="00CC38FA" w:rsidRDefault="00CC38FA">
      <w:pPr>
        <w:pStyle w:val="a3"/>
        <w:spacing w:before="0" w:beforeAutospacing="0" w:after="0" w:afterAutospacing="0"/>
        <w:ind w:firstLine="360"/>
        <w:divId w:val="9916950"/>
      </w:pPr>
      <w:r>
        <w:rPr>
          <w:rFonts w:hint="eastAsia"/>
          <w:sz w:val="18"/>
          <w:szCs w:val="18"/>
        </w:rPr>
        <w:t>本公司合并范围内各企业之间发生的股份支付交易，接受服务企业和结算企业不是同一企业的，在接受服务企业和结算企业各自的个别财务报表中对该股份支付交易的确认和计量，比照上述原则处理。</w:t>
      </w:r>
    </w:p>
    <w:p w:rsidR="007F3A90" w:rsidRDefault="00CC38FA">
      <w:pPr>
        <w:pStyle w:val="3"/>
        <w:spacing w:line="280" w:lineRule="exact"/>
        <w:jc w:val="left"/>
        <w:rPr>
          <w:rFonts w:ascii="宋体" w:hAnsi="宋体" w:cs="宋体"/>
          <w:b/>
          <w:bCs/>
        </w:rPr>
      </w:pPr>
      <w:bookmarkStart w:id="149" w:name="_Toc989038"/>
      <w:r>
        <w:rPr>
          <w:rFonts w:ascii="宋体" w:hAnsi="宋体" w:cs="宋体"/>
          <w:b/>
          <w:bCs/>
        </w:rPr>
        <w:t>33、优先股、永续债等其他金融工具</w:t>
      </w:r>
      <w:bookmarkEnd w:id="149"/>
    </w:p>
    <w:p w:rsidR="00CC38FA" w:rsidRDefault="00CC38FA">
      <w:pPr>
        <w:pStyle w:val="a3"/>
        <w:spacing w:before="0" w:beforeAutospacing="0" w:after="0" w:afterAutospacing="0"/>
        <w:ind w:firstLine="360"/>
        <w:divId w:val="862287571"/>
      </w:pPr>
      <w:r>
        <w:rPr>
          <w:rFonts w:hint="eastAsia"/>
          <w:sz w:val="18"/>
          <w:szCs w:val="18"/>
        </w:rPr>
        <w:t>（1）永续债和优先股等的区分</w:t>
      </w:r>
    </w:p>
    <w:p w:rsidR="00CC38FA" w:rsidRDefault="00CC38FA">
      <w:pPr>
        <w:pStyle w:val="a3"/>
        <w:spacing w:before="0" w:beforeAutospacing="0" w:after="0" w:afterAutospacing="0"/>
        <w:ind w:firstLine="360"/>
        <w:divId w:val="862287571"/>
      </w:pPr>
      <w:r>
        <w:rPr>
          <w:rFonts w:hint="eastAsia"/>
          <w:sz w:val="18"/>
          <w:szCs w:val="18"/>
        </w:rPr>
        <w:t>本公司发行的永续债和优先股等金融工具，同时符合以下条件的，作为权益工具：</w:t>
      </w:r>
    </w:p>
    <w:p w:rsidR="00CC38FA" w:rsidRDefault="00CC38FA">
      <w:pPr>
        <w:pStyle w:val="a3"/>
        <w:spacing w:before="0" w:beforeAutospacing="0" w:after="0" w:afterAutospacing="0"/>
        <w:ind w:firstLine="360"/>
        <w:divId w:val="862287571"/>
      </w:pPr>
      <w:r>
        <w:rPr>
          <w:rFonts w:hint="eastAsia"/>
          <w:sz w:val="18"/>
          <w:szCs w:val="18"/>
        </w:rPr>
        <w:t>①该金融工具不包括交付现金或其他金融资产给其他方，或在潜在不利条件下与其他方交换金融资产或金融负债的合同义务；</w:t>
      </w:r>
    </w:p>
    <w:p w:rsidR="00CC38FA" w:rsidRDefault="00CC38FA">
      <w:pPr>
        <w:pStyle w:val="a3"/>
        <w:spacing w:before="0" w:beforeAutospacing="0" w:after="0" w:afterAutospacing="0"/>
        <w:ind w:firstLine="360"/>
        <w:divId w:val="862287571"/>
      </w:pPr>
      <w:r>
        <w:rPr>
          <w:rFonts w:hint="eastAsia"/>
          <w:sz w:val="18"/>
          <w:szCs w:val="18"/>
        </w:rPr>
        <w:t>②如将来须用或可用企业自身权益工具结算该金融工具的，如该金融工具为非衍生工具，则不包括交付可变数量的自身权益工具进行结算的合同义务；如为衍生工具，则本公司只能通过以固定数量的自身权益工具交换固定金额的现金或其他金融资产结算该金融工具。</w:t>
      </w:r>
    </w:p>
    <w:p w:rsidR="00CC38FA" w:rsidRDefault="00CC38FA">
      <w:pPr>
        <w:pStyle w:val="a3"/>
        <w:spacing w:before="0" w:beforeAutospacing="0" w:after="0" w:afterAutospacing="0"/>
        <w:ind w:firstLine="360"/>
        <w:divId w:val="862287571"/>
      </w:pPr>
      <w:r>
        <w:rPr>
          <w:rFonts w:hint="eastAsia"/>
          <w:sz w:val="18"/>
          <w:szCs w:val="18"/>
        </w:rPr>
        <w:t>除按上述条件可归类为权益工具的金融工具以外，本公司发行的其他金融工具应归类为金融负债。</w:t>
      </w:r>
    </w:p>
    <w:p w:rsidR="00CC38FA" w:rsidRDefault="00CC38FA">
      <w:pPr>
        <w:pStyle w:val="a3"/>
        <w:spacing w:before="0" w:beforeAutospacing="0" w:after="0" w:afterAutospacing="0"/>
        <w:ind w:firstLine="360"/>
        <w:divId w:val="862287571"/>
      </w:pPr>
      <w:r>
        <w:rPr>
          <w:rFonts w:hint="eastAsia"/>
          <w:sz w:val="18"/>
          <w:szCs w:val="18"/>
        </w:rPr>
        <w:t>本公司发行的金融工具为复合金融工具的，按照负债成分的公允价值确认为一项负债，按实际收到的金额扣除负债成分的公允价值后的金额，确认为“其他权益工具”。发行复合金融工具发生的交易费用，在负债成分和权益成分之间按照各自占总发行价款的比例进行分摊。</w:t>
      </w:r>
    </w:p>
    <w:p w:rsidR="00CC38FA" w:rsidRDefault="00CC38FA">
      <w:pPr>
        <w:pStyle w:val="a3"/>
        <w:spacing w:before="0" w:beforeAutospacing="0" w:after="0" w:afterAutospacing="0"/>
        <w:ind w:firstLine="360"/>
        <w:divId w:val="862287571"/>
      </w:pPr>
      <w:r>
        <w:rPr>
          <w:rFonts w:hint="eastAsia"/>
          <w:sz w:val="18"/>
          <w:szCs w:val="18"/>
        </w:rPr>
        <w:t>（2）永续债和优先股等的会计处理方法</w:t>
      </w:r>
    </w:p>
    <w:p w:rsidR="00CC38FA" w:rsidRPr="00450763" w:rsidRDefault="00CC38FA">
      <w:pPr>
        <w:pStyle w:val="a3"/>
        <w:spacing w:before="0" w:beforeAutospacing="0" w:after="0" w:afterAutospacing="0"/>
        <w:ind w:firstLine="360"/>
        <w:divId w:val="862287571"/>
        <w:rPr>
          <w:sz w:val="18"/>
          <w:szCs w:val="18"/>
        </w:rPr>
      </w:pPr>
      <w:r>
        <w:rPr>
          <w:rFonts w:hint="eastAsia"/>
          <w:sz w:val="18"/>
          <w:szCs w:val="18"/>
        </w:rPr>
        <w:t>归类为金融负债的永续债和优先股等金融工具，其相关利息、股利（或股息）、利得或损失，以及赎回或再融资产生的利得或损失等，除符合资本化条件的借款费用（参见本</w:t>
      </w:r>
      <w:r w:rsidRPr="00450763">
        <w:rPr>
          <w:rFonts w:hint="eastAsia"/>
          <w:sz w:val="18"/>
          <w:szCs w:val="18"/>
        </w:rPr>
        <w:t>附注</w:t>
      </w:r>
      <w:r>
        <w:rPr>
          <w:rFonts w:hint="eastAsia"/>
          <w:sz w:val="18"/>
          <w:szCs w:val="18"/>
        </w:rPr>
        <w:t>“借款费用”）以外，均计入当期损益。</w:t>
      </w:r>
    </w:p>
    <w:p w:rsidR="00CC38FA" w:rsidRDefault="00CC38FA">
      <w:pPr>
        <w:pStyle w:val="a3"/>
        <w:spacing w:before="0" w:beforeAutospacing="0" w:after="0" w:afterAutospacing="0"/>
        <w:ind w:firstLine="360"/>
        <w:divId w:val="862287571"/>
      </w:pPr>
      <w:r>
        <w:rPr>
          <w:rFonts w:hint="eastAsia"/>
          <w:sz w:val="18"/>
          <w:szCs w:val="18"/>
        </w:rPr>
        <w:t>归类为权益工具的永续债和优先股等金融工具，其发行（含再融资）、回购、出售或注销时，本公司作为权益的变动处理，相关交易费用亦从权益中扣减。本公司对权益工具持有方的分配作为利润分配处理。</w:t>
      </w:r>
    </w:p>
    <w:p w:rsidR="00CC38FA" w:rsidRDefault="00CC38FA">
      <w:pPr>
        <w:pStyle w:val="a3"/>
        <w:spacing w:before="0" w:beforeAutospacing="0" w:after="0" w:afterAutospacing="0"/>
        <w:ind w:firstLine="360"/>
        <w:divId w:val="862287571"/>
      </w:pPr>
      <w:r>
        <w:rPr>
          <w:rFonts w:hint="eastAsia"/>
          <w:sz w:val="18"/>
          <w:szCs w:val="18"/>
        </w:rPr>
        <w:lastRenderedPageBreak/>
        <w:t>本公司不确认权益工具的公允价值变动。</w:t>
      </w:r>
    </w:p>
    <w:p w:rsidR="007F3A90" w:rsidRDefault="00CC38FA">
      <w:pPr>
        <w:pStyle w:val="3"/>
        <w:spacing w:line="280" w:lineRule="exact"/>
        <w:jc w:val="left"/>
        <w:rPr>
          <w:rFonts w:ascii="宋体" w:hAnsi="宋体" w:cs="宋体"/>
          <w:b/>
          <w:bCs/>
        </w:rPr>
      </w:pPr>
      <w:bookmarkStart w:id="150" w:name="_Toc989039"/>
      <w:r>
        <w:rPr>
          <w:rFonts w:ascii="宋体" w:hAnsi="宋体" w:cs="宋体"/>
          <w:b/>
          <w:bCs/>
        </w:rPr>
        <w:t>34、收入</w:t>
      </w:r>
      <w:bookmarkEnd w:id="150"/>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按照业务类型披露收入确认和计量所采用的会计政策</w:t>
      </w:r>
    </w:p>
    <w:p w:rsidR="00CC38FA" w:rsidRDefault="00CC38FA">
      <w:pPr>
        <w:pStyle w:val="a3"/>
        <w:spacing w:before="0" w:beforeAutospacing="0" w:after="0" w:afterAutospacing="0"/>
        <w:ind w:firstLine="360"/>
        <w:divId w:val="384985071"/>
      </w:pPr>
      <w:r>
        <w:rPr>
          <w:rFonts w:hint="eastAsia"/>
          <w:sz w:val="18"/>
          <w:szCs w:val="18"/>
        </w:rPr>
        <w:t>（1）一般原则</w:t>
      </w:r>
    </w:p>
    <w:p w:rsidR="00CC38FA" w:rsidRDefault="00CC38FA">
      <w:pPr>
        <w:pStyle w:val="a3"/>
        <w:spacing w:before="0" w:beforeAutospacing="0" w:after="0" w:afterAutospacing="0"/>
        <w:ind w:firstLine="360"/>
        <w:divId w:val="384985071"/>
      </w:pPr>
      <w:r>
        <w:rPr>
          <w:rFonts w:hint="eastAsia"/>
          <w:sz w:val="18"/>
          <w:szCs w:val="18"/>
        </w:rPr>
        <w:t>本公司与客户之间的合同同时满足下列条件时，在客户取得相关商品控制权时确认收入：合同各方已批准该合同并承诺将履行各自义务；合同明确了合同各方与所转让商品或提供劳务相关的权利和义务；合同有明确的与所转让商品相关的支付条款；合同具有商业实质，即履行该合同将改变本公司未来现金流量的风险、时间分布或金额；本公司因向客户转让商品而有权取得的对价很可能收回。</w:t>
      </w:r>
    </w:p>
    <w:p w:rsidR="00CC38FA" w:rsidRDefault="00CC38FA">
      <w:pPr>
        <w:pStyle w:val="a3"/>
        <w:spacing w:before="0" w:beforeAutospacing="0" w:after="0" w:afterAutospacing="0"/>
        <w:ind w:firstLine="360"/>
        <w:divId w:val="384985071"/>
      </w:pPr>
      <w:r>
        <w:rPr>
          <w:rFonts w:hint="eastAsia"/>
          <w:sz w:val="18"/>
          <w:szCs w:val="18"/>
        </w:rPr>
        <w:t>在合同开始日，本公司识别合同中存在的各单项履约义务，并将交易价格按照各单项履约义务所承诺商品的单独售价的相对比例分摊至各单项履约义务。在确定交易价格时考虑了可变对价、合同中存在的重大融资成分、非现金对价、应付客户对价等因素的影响。</w:t>
      </w:r>
    </w:p>
    <w:p w:rsidR="00CC38FA" w:rsidRDefault="00CC38FA">
      <w:pPr>
        <w:pStyle w:val="a3"/>
        <w:spacing w:before="0" w:beforeAutospacing="0" w:after="0" w:afterAutospacing="0"/>
        <w:ind w:firstLine="360"/>
        <w:divId w:val="384985071"/>
      </w:pPr>
      <w:r>
        <w:rPr>
          <w:rFonts w:hint="eastAsia"/>
          <w:sz w:val="18"/>
          <w:szCs w:val="18"/>
        </w:rPr>
        <w:t>对于合同中的每个单项履约义务，如果满足下列条件之一的，本公司在相关履约时段内按照履约进度将分摊至该单项履约义务的交易价格确认为收入：客户在本公司履约的同时即取得并消耗本公司履约所带来的经济利益；客户能够控制本公司履约过程中在建的商品；本公司履约过程中所产出的商品具有不可替代用途，且本公司在整个合同期间内有权就累计至今已完成的履约部分收取款项。履约进度根据所转让商品的性质采用投入法或产出法确定，当履约进度不能合理确定时，本公司已经发生的成本预计能够得到补偿的，按照已经发生的成本金额确认收入，直到履约进度能够合理确定为止。</w:t>
      </w:r>
    </w:p>
    <w:p w:rsidR="00CC38FA" w:rsidRDefault="00CC38FA">
      <w:pPr>
        <w:pStyle w:val="a3"/>
        <w:spacing w:before="0" w:beforeAutospacing="0" w:after="0" w:afterAutospacing="0"/>
        <w:ind w:firstLine="360"/>
        <w:divId w:val="384985071"/>
      </w:pPr>
      <w:r>
        <w:rPr>
          <w:rFonts w:hint="eastAsia"/>
          <w:sz w:val="18"/>
          <w:szCs w:val="18"/>
        </w:rPr>
        <w:t>如果不满足上述条件之一，则本公司在客户取得相关商品控制权的时点将分摊至该单项履约义务的交易价格确认收入。在判断客户是否已取得商品控制权时，本公司考虑下列迹象：企业就该商品享有现时收款权利，即客户就该商品负有现时付款义务；企业已将该商品的法定所有权转移给客户，即客户已拥有该商品的法定所有权；企业已将该商品实物转移给客户，即客户已实物占有该商品；企业已将该商品所有权上的主要风险和报酬转移给客户，即客户已取得该商品所有权上的主要风险和报酬；客户已接受该商品；其他表明客户已取得商品控制权的迹象。</w:t>
      </w:r>
    </w:p>
    <w:p w:rsidR="00CC38FA" w:rsidRDefault="00CC38FA">
      <w:pPr>
        <w:pStyle w:val="a3"/>
        <w:spacing w:before="0" w:beforeAutospacing="0" w:after="0" w:afterAutospacing="0"/>
        <w:ind w:firstLine="360"/>
        <w:divId w:val="384985071"/>
      </w:pPr>
      <w:r>
        <w:rPr>
          <w:rFonts w:hint="eastAsia"/>
          <w:sz w:val="18"/>
          <w:szCs w:val="18"/>
        </w:rPr>
        <w:t>（2）收入确认具体方法</w:t>
      </w:r>
    </w:p>
    <w:p w:rsidR="00CC38FA" w:rsidRDefault="00CC38FA">
      <w:pPr>
        <w:pStyle w:val="a3"/>
        <w:spacing w:before="0" w:beforeAutospacing="0" w:after="0" w:afterAutospacing="0"/>
        <w:ind w:firstLine="360"/>
        <w:divId w:val="384985071"/>
      </w:pPr>
      <w:r>
        <w:rPr>
          <w:rFonts w:hint="eastAsia"/>
          <w:sz w:val="18"/>
          <w:szCs w:val="18"/>
        </w:rPr>
        <w:t>本公司收入确认的具体方法如下：</w:t>
      </w:r>
    </w:p>
    <w:p w:rsidR="00CC38FA" w:rsidRDefault="00CC38FA">
      <w:pPr>
        <w:pStyle w:val="a3"/>
        <w:spacing w:before="0" w:beforeAutospacing="0" w:after="0" w:afterAutospacing="0"/>
        <w:ind w:firstLine="360"/>
        <w:divId w:val="384985071"/>
      </w:pPr>
      <w:r>
        <w:rPr>
          <w:rFonts w:hint="eastAsia"/>
          <w:sz w:val="18"/>
          <w:szCs w:val="18"/>
        </w:rPr>
        <w:t>①机械设备收入的确认原则：根据销售合同约定，通常以产品完成安装调试并验收合格后确认销售收入。</w:t>
      </w:r>
    </w:p>
    <w:p w:rsidR="00CC38FA" w:rsidRDefault="00CC38FA">
      <w:pPr>
        <w:pStyle w:val="a3"/>
        <w:spacing w:before="0" w:beforeAutospacing="0" w:after="0" w:afterAutospacing="0"/>
        <w:ind w:firstLine="360"/>
        <w:divId w:val="384985071"/>
      </w:pPr>
      <w:r>
        <w:rPr>
          <w:rFonts w:hint="eastAsia"/>
          <w:sz w:val="18"/>
          <w:szCs w:val="18"/>
        </w:rPr>
        <w:t>②自行开发研制的软件产品销售收入确认原则：自行开发研制的软件产品是指经过信息产业部认证并获得著作权，销售时不转让所有权的软件产品。</w:t>
      </w:r>
    </w:p>
    <w:p w:rsidR="00CC38FA" w:rsidRDefault="00CC38FA">
      <w:pPr>
        <w:pStyle w:val="a3"/>
        <w:spacing w:before="0" w:beforeAutospacing="0" w:after="0" w:afterAutospacing="0"/>
        <w:ind w:firstLine="360"/>
        <w:divId w:val="384985071"/>
      </w:pPr>
      <w:r>
        <w:rPr>
          <w:rFonts w:hint="eastAsia"/>
          <w:sz w:val="18"/>
          <w:szCs w:val="18"/>
        </w:rPr>
        <w:t>本公司自行开发的软件产品主要通过嵌入硬件设备销售，软件产品于安装完成后，买方取得软件产品控制权时确认收入。</w:t>
      </w:r>
    </w:p>
    <w:p w:rsidR="00CC38FA" w:rsidRDefault="00CC38FA">
      <w:pPr>
        <w:pStyle w:val="a3"/>
        <w:spacing w:before="0" w:beforeAutospacing="0" w:after="0" w:afterAutospacing="0"/>
        <w:ind w:firstLine="360"/>
        <w:divId w:val="384985071"/>
      </w:pPr>
      <w:r>
        <w:rPr>
          <w:rFonts w:hint="eastAsia"/>
          <w:sz w:val="18"/>
          <w:szCs w:val="18"/>
        </w:rPr>
        <w:t>③系统集成收入的确认原则：系统集成收入是指与客户订立软件产品销售的同时，为其提供软件嵌入所需的设备配件和安装服务。</w:t>
      </w:r>
    </w:p>
    <w:p w:rsidR="00CC38FA" w:rsidRDefault="00CC38FA">
      <w:pPr>
        <w:pStyle w:val="a3"/>
        <w:spacing w:before="0" w:beforeAutospacing="0" w:after="0" w:afterAutospacing="0"/>
        <w:ind w:firstLine="360"/>
        <w:divId w:val="384985071"/>
      </w:pPr>
      <w:r>
        <w:rPr>
          <w:rFonts w:hint="eastAsia"/>
          <w:sz w:val="18"/>
          <w:szCs w:val="18"/>
        </w:rPr>
        <w:t>对于系统集成业务，如果软件收入与设备配件及安装服务收入能分开核算，则软件收入按上述软件产品销售的原则进行确认；如果软件收入与设备配件及安装服务收入不能分开核算，则将其一并核算，系统集成于安装完成后买方取得软件产品控制权时确认收入。</w:t>
      </w:r>
    </w:p>
    <w:p w:rsidR="00CC38FA" w:rsidRDefault="00CC38FA">
      <w:pPr>
        <w:pStyle w:val="a3"/>
        <w:spacing w:before="0" w:beforeAutospacing="0" w:after="0" w:afterAutospacing="0"/>
        <w:ind w:firstLine="360"/>
        <w:divId w:val="384985071"/>
      </w:pPr>
      <w:r>
        <w:rPr>
          <w:rFonts w:hint="eastAsia"/>
          <w:sz w:val="18"/>
          <w:szCs w:val="18"/>
        </w:rPr>
        <w:t>④系统维护收入的确认原则：系统维护收入，主要是指按合同要求向客户提供售后服务的业务。</w:t>
      </w:r>
    </w:p>
    <w:p w:rsidR="00CC38FA" w:rsidRDefault="00CC38FA">
      <w:pPr>
        <w:pStyle w:val="a3"/>
        <w:spacing w:before="0" w:beforeAutospacing="0" w:after="0" w:afterAutospacing="0"/>
        <w:ind w:firstLine="360"/>
        <w:divId w:val="384985071"/>
      </w:pPr>
      <w:r>
        <w:rPr>
          <w:rFonts w:hint="eastAsia"/>
          <w:sz w:val="18"/>
          <w:szCs w:val="18"/>
        </w:rPr>
        <w:t>售后服务业务是指超过合同规定的免费服务期限后的版本升级、系统维护、培训等有偿服务。在服务已经提供，收到价款或取得收取款项的证据时，确认服务收入。</w:t>
      </w:r>
    </w:p>
    <w:p w:rsidR="00CC38FA" w:rsidRDefault="00CC38FA">
      <w:pPr>
        <w:pStyle w:val="a3"/>
        <w:spacing w:before="0" w:beforeAutospacing="0" w:after="0" w:afterAutospacing="0"/>
        <w:ind w:firstLine="360"/>
        <w:divId w:val="384985071"/>
      </w:pPr>
      <w:r>
        <w:rPr>
          <w:rFonts w:hint="eastAsia"/>
          <w:sz w:val="18"/>
          <w:szCs w:val="18"/>
        </w:rPr>
        <w:t>⑤橡胶材料销售收入的确认原则：根据销售合同约定，通常以买方取得产品控制权时确认收入。</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同类业务采用不同经营模式涉及不同收入确认方式及计量方法的情况</w:t>
      </w:r>
    </w:p>
    <w:p w:rsidR="007F3A90" w:rsidRDefault="00CC38FA">
      <w:pPr>
        <w:pStyle w:val="3"/>
        <w:spacing w:line="280" w:lineRule="exact"/>
        <w:jc w:val="left"/>
        <w:rPr>
          <w:rFonts w:ascii="宋体" w:hAnsi="宋体" w:cs="宋体"/>
          <w:b/>
          <w:bCs/>
        </w:rPr>
      </w:pPr>
      <w:bookmarkStart w:id="151" w:name="_Toc989040"/>
      <w:r>
        <w:rPr>
          <w:rFonts w:ascii="宋体" w:hAnsi="宋体" w:cs="宋体"/>
          <w:b/>
          <w:bCs/>
        </w:rPr>
        <w:lastRenderedPageBreak/>
        <w:t>35、合同成本</w:t>
      </w:r>
      <w:bookmarkEnd w:id="151"/>
    </w:p>
    <w:p w:rsidR="00CC38FA" w:rsidRDefault="00CC38FA">
      <w:pPr>
        <w:pStyle w:val="a3"/>
        <w:spacing w:before="0" w:beforeAutospacing="0" w:after="0" w:afterAutospacing="0"/>
        <w:ind w:firstLine="360"/>
        <w:divId w:val="1916159101"/>
      </w:pPr>
      <w:r>
        <w:rPr>
          <w:rFonts w:hint="eastAsia"/>
          <w:color w:val="000000"/>
          <w:sz w:val="18"/>
          <w:szCs w:val="18"/>
        </w:rPr>
        <w:t>本</w:t>
      </w:r>
      <w:r>
        <w:rPr>
          <w:rFonts w:hint="eastAsia"/>
          <w:sz w:val="18"/>
          <w:szCs w:val="18"/>
        </w:rPr>
        <w:t>公司为取得合同发生的增量成本预期能够收回的，作为合同取得成本确认为一项资产，如果该资产的摊销期限不超过一年，则在发生时计入当期损益。</w:t>
      </w:r>
    </w:p>
    <w:p w:rsidR="00CC38FA" w:rsidRDefault="00CC38FA">
      <w:pPr>
        <w:pStyle w:val="a3"/>
        <w:spacing w:before="0" w:beforeAutospacing="0" w:after="0" w:afterAutospacing="0"/>
        <w:ind w:firstLine="360"/>
        <w:divId w:val="1916159101"/>
      </w:pPr>
      <w:r>
        <w:rPr>
          <w:rFonts w:hint="eastAsia"/>
          <w:sz w:val="18"/>
          <w:szCs w:val="18"/>
        </w:rPr>
        <w:t>为履行合同发生的成本不属于《企业会计准则第14号——收入（2017年修订）》之外的其他企业会计准则规范范围且同时满足下列条件的，作为合同履约成本确认为一项资产：①该成本与一份当前或预期取得的合同直接相关，包括直接人工、直接材料、制造费用（或类似费用）、明确由客户承担的成本以及仅因该合同而发生的其他成本；②该成本增加了本公司未来用于履行履约义务的资源；③该成本预期能够收回。</w:t>
      </w:r>
    </w:p>
    <w:p w:rsidR="00CC38FA" w:rsidRDefault="00CC38FA">
      <w:pPr>
        <w:pStyle w:val="a3"/>
        <w:spacing w:before="0" w:beforeAutospacing="0" w:after="0" w:afterAutospacing="0"/>
        <w:jc w:val="both"/>
        <w:divId w:val="1916159101"/>
      </w:pPr>
      <w:r>
        <w:rPr>
          <w:rFonts w:hint="eastAsia"/>
          <w:sz w:val="18"/>
          <w:szCs w:val="18"/>
        </w:rPr>
        <w:t>与合同成本有关的资产采用与该资产相关的商品收入确认相同的基础进行摊销，计入当期损益。</w:t>
      </w:r>
    </w:p>
    <w:p w:rsidR="007F3A90" w:rsidRDefault="00CC38FA">
      <w:pPr>
        <w:pStyle w:val="3"/>
        <w:spacing w:line="280" w:lineRule="exact"/>
        <w:jc w:val="left"/>
        <w:rPr>
          <w:rFonts w:ascii="宋体" w:hAnsi="宋体" w:cs="宋体"/>
          <w:b/>
          <w:bCs/>
        </w:rPr>
      </w:pPr>
      <w:bookmarkStart w:id="152" w:name="_Toc989041"/>
      <w:r>
        <w:rPr>
          <w:rFonts w:ascii="宋体" w:hAnsi="宋体" w:cs="宋体"/>
          <w:b/>
          <w:bCs/>
        </w:rPr>
        <w:t>36、政府补助</w:t>
      </w:r>
      <w:bookmarkEnd w:id="152"/>
    </w:p>
    <w:p w:rsidR="00CC38FA" w:rsidRDefault="00CC38FA">
      <w:pPr>
        <w:pStyle w:val="a3"/>
        <w:spacing w:before="0" w:beforeAutospacing="0" w:after="0" w:afterAutospacing="0"/>
        <w:ind w:firstLine="360"/>
        <w:divId w:val="292057390"/>
      </w:pPr>
      <w:r>
        <w:rPr>
          <w:rFonts w:hint="eastAsia"/>
          <w:sz w:val="18"/>
          <w:szCs w:val="18"/>
        </w:rPr>
        <w:t>政府补助是指本公司从政府无偿取得货币性资产和非货币性资产，不包括政府以投资者身份并享有相应所有者权益而投入的资本。政府补助分为与资产相关的政府补助和与收益相关的政府补助。本公司将所取得的用于购建或以其他方式形成长期资产的政府补助界定为与资产相关的政府补助；其余政府补助界定为与收益相关的政府补助。若政府文件未明确规定补助对象，则采用以下方式将补助款划分为与收益相关的政府补助和与资产相关的政府补助：（1）政府文件明确了补助所针对的特定项目的，根据该特定项目的预算中将形成资产的支出金额和计入费用的支出金额的相对比例进行划分，对该划分比例需在每个资产负债表日进行复核，必要时进行变更；（2）政府文件中对用途仅作一般性表述，没有指明特定项目的，作为与收益相关的政府补助。政府补助为货币性资产的，按照收到或应收的金额计量。政府补助为非货币性资产的，按照公允价值计量；公允价值不能够可靠取得的，按照名义金额计量。按照名义金额计量的政府补助，直接计入当期损益。</w:t>
      </w:r>
    </w:p>
    <w:p w:rsidR="00CC38FA" w:rsidRDefault="00CC38FA">
      <w:pPr>
        <w:pStyle w:val="a3"/>
        <w:spacing w:before="0" w:beforeAutospacing="0" w:after="0" w:afterAutospacing="0"/>
        <w:ind w:firstLine="360"/>
        <w:divId w:val="292057390"/>
      </w:pPr>
      <w:r>
        <w:rPr>
          <w:rFonts w:hint="eastAsia"/>
          <w:sz w:val="18"/>
          <w:szCs w:val="18"/>
        </w:rPr>
        <w:t>本公司对于政府补助通常在实际收到时，按照实收金额予以确认和计量。但对于期末有确凿证据表明能够符合财政扶持政策规定的相关条件预计能够收到财政扶持资金，按照应收的金额计量。按照应收金额计量的政府补助应同时符合以下条件：（1）应收补助款的金额已经过有权政府部门发文确认，或者可根据正式发布的财政资金管理办法的有关规定自行合理测算，且预计其金额不存在重大不确定性；（2）所依据的是当地财政部门正式发布并按照《政府信息公开条例》的规定予以主动公开的财政扶持项目及其财政资金管理办法，且该管理办法应当是普惠性的（任何符合规定条件的企业均可申请），而不是专门针对特定企业制定的；（3）相关的补助款批文中已明确承诺了拨付期限，且该款项的拨付是有相应财政预算作为保障的，因而可以合理保证其可在规定期限内收到；（4）根据本公司和该补助事项的具体情况，应满足的其他相关条件。</w:t>
      </w:r>
    </w:p>
    <w:p w:rsidR="00CC38FA" w:rsidRDefault="00CC38FA">
      <w:pPr>
        <w:pStyle w:val="a3"/>
        <w:spacing w:before="0" w:beforeAutospacing="0" w:after="0" w:afterAutospacing="0"/>
        <w:ind w:firstLine="360"/>
        <w:divId w:val="292057390"/>
      </w:pPr>
      <w:r>
        <w:rPr>
          <w:rFonts w:hint="eastAsia"/>
          <w:sz w:val="18"/>
          <w:szCs w:val="18"/>
        </w:rPr>
        <w:t>与资产相关的政府补助，确认为递延收益，并在相关资产的使用寿命内按照合理、系统的方法分期计入当期损益或冲减相关资产的账面价值。与收益相关的政府补助，用于补偿以后期间的相关成本费用或损失的，确认为递延收益，并在确认相关成本费用或损失的期间计入当期损益或冲减相关成本费用；用于补偿已经发生的相关成本费用或损失的，直接计入当期损益或冲减相关成本费用。</w:t>
      </w:r>
    </w:p>
    <w:p w:rsidR="00CC38FA" w:rsidRDefault="00CC38FA">
      <w:pPr>
        <w:pStyle w:val="a3"/>
        <w:spacing w:before="0" w:beforeAutospacing="0" w:after="0" w:afterAutospacing="0"/>
        <w:ind w:firstLine="360"/>
        <w:divId w:val="292057390"/>
      </w:pPr>
      <w:r>
        <w:rPr>
          <w:rFonts w:hint="eastAsia"/>
          <w:sz w:val="18"/>
          <w:szCs w:val="18"/>
        </w:rPr>
        <w:t>同时包含与资产相关部分和与收益相关部分的政府补助，区分不同部分分别进行会计处理；难以区分的，将其整体归类为与收益相关的政府补助。</w:t>
      </w:r>
    </w:p>
    <w:p w:rsidR="00CC38FA" w:rsidRDefault="00CC38FA">
      <w:pPr>
        <w:pStyle w:val="a3"/>
        <w:spacing w:before="0" w:beforeAutospacing="0" w:after="0" w:afterAutospacing="0"/>
        <w:ind w:firstLine="360"/>
        <w:divId w:val="292057390"/>
      </w:pPr>
      <w:r>
        <w:rPr>
          <w:rFonts w:hint="eastAsia"/>
          <w:sz w:val="18"/>
          <w:szCs w:val="18"/>
        </w:rPr>
        <w:t>与本公司日常活动相关的政府补助，按照经济业务的实质，计入其他收益或冲减相关成本费用；与日常活动无关的政府补助，计入营业外收支。</w:t>
      </w:r>
    </w:p>
    <w:p w:rsidR="00CC38FA" w:rsidRDefault="00CC38FA">
      <w:pPr>
        <w:pStyle w:val="a3"/>
        <w:spacing w:before="0" w:beforeAutospacing="0" w:after="0" w:afterAutospacing="0"/>
        <w:ind w:firstLine="360"/>
        <w:divId w:val="292057390"/>
      </w:pPr>
      <w:r>
        <w:rPr>
          <w:rFonts w:hint="eastAsia"/>
          <w:sz w:val="18"/>
          <w:szCs w:val="18"/>
        </w:rPr>
        <w:t>已确认的政府补助需要退回时，存在相关递延收益余额的，冲减相关递延收益账面余额，超出部分计入当期损益或对初始确认时冲减相关资产账面价值的与资产相关的政府补助，调整资产账面价值；属于其他情况的，直接计入当期损益。</w:t>
      </w:r>
    </w:p>
    <w:p w:rsidR="007F3A90" w:rsidRDefault="00CC38FA">
      <w:pPr>
        <w:pStyle w:val="3"/>
        <w:spacing w:line="280" w:lineRule="exact"/>
        <w:jc w:val="left"/>
        <w:rPr>
          <w:rFonts w:ascii="宋体" w:hAnsi="宋体" w:cs="宋体"/>
          <w:b/>
          <w:bCs/>
        </w:rPr>
      </w:pPr>
      <w:bookmarkStart w:id="153" w:name="_Toc989042"/>
      <w:r>
        <w:rPr>
          <w:rFonts w:ascii="宋体" w:hAnsi="宋体" w:cs="宋体"/>
          <w:b/>
          <w:bCs/>
        </w:rPr>
        <w:t>37、递延所得税资产/递延所得税负债</w:t>
      </w:r>
      <w:bookmarkEnd w:id="153"/>
    </w:p>
    <w:p w:rsidR="00CC38FA" w:rsidRDefault="00CC38FA">
      <w:pPr>
        <w:pStyle w:val="a3"/>
        <w:spacing w:before="0" w:beforeAutospacing="0" w:after="0" w:afterAutospacing="0"/>
        <w:ind w:firstLine="360"/>
        <w:divId w:val="486097859"/>
      </w:pPr>
      <w:r>
        <w:rPr>
          <w:rFonts w:hint="eastAsia"/>
          <w:sz w:val="18"/>
          <w:szCs w:val="18"/>
        </w:rPr>
        <w:t>（1）当期所得税</w:t>
      </w:r>
    </w:p>
    <w:p w:rsidR="00CC38FA" w:rsidRDefault="00CC38FA">
      <w:pPr>
        <w:pStyle w:val="a3"/>
        <w:spacing w:before="0" w:beforeAutospacing="0" w:after="0" w:afterAutospacing="0"/>
        <w:ind w:firstLine="360"/>
        <w:divId w:val="486097859"/>
      </w:pPr>
      <w:r>
        <w:rPr>
          <w:rFonts w:hint="eastAsia"/>
          <w:sz w:val="18"/>
          <w:szCs w:val="18"/>
        </w:rPr>
        <w:lastRenderedPageBreak/>
        <w:t>资产负债表日，对于当期和以前期间形成的当期所得税负债（或资产），以按照税法规定计算的预期应交纳（或返还）的所得税金额计量。计算当期所得税费用所依据的应纳税所得额系根据有关税法规定对本年度税前会计利润作相应调整后计算得出。</w:t>
      </w:r>
    </w:p>
    <w:p w:rsidR="00CC38FA" w:rsidRDefault="00CC38FA">
      <w:pPr>
        <w:pStyle w:val="a3"/>
        <w:spacing w:before="0" w:beforeAutospacing="0" w:after="0" w:afterAutospacing="0"/>
        <w:ind w:firstLine="360"/>
        <w:divId w:val="486097859"/>
      </w:pPr>
      <w:r>
        <w:rPr>
          <w:rFonts w:hint="eastAsia"/>
          <w:sz w:val="18"/>
          <w:szCs w:val="18"/>
        </w:rPr>
        <w:t>（2）递延所得税资产及递延所得税负债</w:t>
      </w:r>
    </w:p>
    <w:p w:rsidR="00CC38FA" w:rsidRDefault="00CC38FA">
      <w:pPr>
        <w:pStyle w:val="a3"/>
        <w:spacing w:before="0" w:beforeAutospacing="0" w:after="0" w:afterAutospacing="0"/>
        <w:ind w:firstLine="360"/>
        <w:divId w:val="486097859"/>
      </w:pPr>
      <w:r>
        <w:rPr>
          <w:rFonts w:hint="eastAsia"/>
          <w:sz w:val="18"/>
          <w:szCs w:val="18"/>
        </w:rPr>
        <w:t>某些资产、负债项目的账面价值与其计税基础之间的差额，以及未作为资产和负债确认但按照税法规定可以确定其计税基础的项目的账面价值与计税基础之间的差额产生的暂时性差异，采用资产负债表债务法确认递延所得税资产及递延所得税负债。</w:t>
      </w:r>
    </w:p>
    <w:p w:rsidR="00CC38FA" w:rsidRDefault="00CC38FA">
      <w:pPr>
        <w:pStyle w:val="a3"/>
        <w:spacing w:before="0" w:beforeAutospacing="0" w:after="0" w:afterAutospacing="0"/>
        <w:ind w:firstLine="360"/>
        <w:divId w:val="486097859"/>
      </w:pPr>
      <w:r>
        <w:rPr>
          <w:rFonts w:hint="eastAsia"/>
          <w:sz w:val="18"/>
          <w:szCs w:val="18"/>
        </w:rPr>
        <w:t>与商誉的初始确认有关，以及与既不是企业合并、发生时也不影响会计利润和应纳税所得额（或可抵扣亏损）的交易中产生的资产或负债的初始确认有关的应纳税暂时性差异，不予确认有关的递延所得税负债。此外，对与子公司、联营企业及合营企业投资相关的应纳税暂时性差异，如果本公司能够控制暂时性差异转回的时间，而且该暂时性差异在可预见的未来很可能不会转回，也不予确认有关的递延所得税负债。除上述例外情况，本公司确认其他所有应纳税暂时性差异产生的递延所得税负债。</w:t>
      </w:r>
    </w:p>
    <w:p w:rsidR="00CC38FA" w:rsidRDefault="00CC38FA">
      <w:pPr>
        <w:pStyle w:val="a3"/>
        <w:spacing w:before="0" w:beforeAutospacing="0" w:after="0" w:afterAutospacing="0"/>
        <w:ind w:firstLine="360"/>
        <w:divId w:val="486097859"/>
      </w:pPr>
      <w:r>
        <w:rPr>
          <w:rFonts w:hint="eastAsia"/>
          <w:sz w:val="18"/>
          <w:szCs w:val="18"/>
        </w:rPr>
        <w:t>与既不是企业合并、发生时也不影响会计利润和应纳税所得额（或可抵扣亏损）的交易中产生的资产或负债的初始确认有关的可抵扣暂时性差异，不予确认有关的递延所得税资产。此外，对与子公司、联营企业及合营企业投资相关的可抵扣暂时性差异，如果暂时性差异在可预见的未来不是很可能转回，或者未来不是很可能获得用来抵扣可抵扣暂时性差异的应纳税所得额，不予确认有关的递延所得税资产。除上述例外情况，本公司以很可能取得用来抵扣可抵扣暂时性差异的应纳税所得额为限，确认其他可抵扣暂时性差异产生的递延所得税资产。</w:t>
      </w:r>
    </w:p>
    <w:p w:rsidR="00CC38FA" w:rsidRDefault="00CC38FA">
      <w:pPr>
        <w:pStyle w:val="a3"/>
        <w:spacing w:before="0" w:beforeAutospacing="0" w:after="0" w:afterAutospacing="0"/>
        <w:ind w:firstLine="360"/>
        <w:divId w:val="486097859"/>
      </w:pPr>
      <w:r>
        <w:rPr>
          <w:rFonts w:hint="eastAsia"/>
          <w:sz w:val="18"/>
          <w:szCs w:val="18"/>
        </w:rPr>
        <w:t>对于能够结转以后年度的可抵扣亏损和税款抵减，以很可能获得用来抵扣可抵扣亏损和税款抵减的未来应纳税所得额为限，确认相应的递延所得税资产。</w:t>
      </w:r>
    </w:p>
    <w:p w:rsidR="00CC38FA" w:rsidRDefault="00CC38FA">
      <w:pPr>
        <w:pStyle w:val="a3"/>
        <w:spacing w:before="0" w:beforeAutospacing="0" w:after="0" w:afterAutospacing="0"/>
        <w:ind w:firstLine="360"/>
        <w:divId w:val="486097859"/>
      </w:pPr>
      <w:r>
        <w:rPr>
          <w:rFonts w:hint="eastAsia"/>
          <w:sz w:val="18"/>
          <w:szCs w:val="18"/>
        </w:rPr>
        <w:t>资产负债表日，对于递延所得税资产和递延所得税负债，根据税法规定，按照预期收回相关资产或清偿相关负债期间的适用税率计量。</w:t>
      </w:r>
    </w:p>
    <w:p w:rsidR="00CC38FA" w:rsidRDefault="00CC38FA">
      <w:pPr>
        <w:pStyle w:val="a3"/>
        <w:spacing w:before="0" w:beforeAutospacing="0" w:after="0" w:afterAutospacing="0"/>
        <w:ind w:firstLine="360"/>
        <w:divId w:val="486097859"/>
      </w:pPr>
      <w:r>
        <w:rPr>
          <w:rFonts w:hint="eastAsia"/>
          <w:sz w:val="18"/>
          <w:szCs w:val="18"/>
        </w:rPr>
        <w:t>于资产负债表日，对递延所得税资产的账面价值进行复核，如果未来很可能无法获得足够的应纳税所得额用以抵扣递延所得税资产的利益，则减记递延所得税资产的账面价值。在很可能获得足够的应纳税所得额时，减记的金额予以转回。</w:t>
      </w:r>
    </w:p>
    <w:p w:rsidR="00CC38FA" w:rsidRDefault="00CC38FA">
      <w:pPr>
        <w:pStyle w:val="a3"/>
        <w:spacing w:before="0" w:beforeAutospacing="0" w:after="0" w:afterAutospacing="0"/>
        <w:ind w:firstLine="360"/>
        <w:divId w:val="486097859"/>
      </w:pPr>
      <w:r>
        <w:rPr>
          <w:rFonts w:hint="eastAsia"/>
          <w:sz w:val="18"/>
          <w:szCs w:val="18"/>
        </w:rPr>
        <w:t>（3）所得税费用</w:t>
      </w:r>
    </w:p>
    <w:p w:rsidR="00CC38FA" w:rsidRDefault="00CC38FA">
      <w:pPr>
        <w:pStyle w:val="a3"/>
        <w:spacing w:before="0" w:beforeAutospacing="0" w:after="0" w:afterAutospacing="0"/>
        <w:ind w:firstLine="360"/>
        <w:divId w:val="486097859"/>
      </w:pPr>
      <w:r>
        <w:rPr>
          <w:rFonts w:hint="eastAsia"/>
          <w:sz w:val="18"/>
          <w:szCs w:val="18"/>
        </w:rPr>
        <w:t>所得税费用包括当期所得税和递延所得税。</w:t>
      </w:r>
    </w:p>
    <w:p w:rsidR="00CC38FA" w:rsidRDefault="00CC38FA">
      <w:pPr>
        <w:pStyle w:val="a3"/>
        <w:spacing w:before="0" w:beforeAutospacing="0" w:after="0" w:afterAutospacing="0"/>
        <w:ind w:firstLine="360"/>
        <w:divId w:val="486097859"/>
      </w:pPr>
      <w:r>
        <w:rPr>
          <w:rFonts w:hint="eastAsia"/>
          <w:sz w:val="18"/>
          <w:szCs w:val="18"/>
        </w:rPr>
        <w:t>除确认为其他综合收益或直接计入股东权益的交易和事项相关的当期所得税和递延所得税计入其他综合收益或股东权益，以及企业合并产生的递延所得税调整商誉的账面价值外，其余当期所得税和递延所得税费用或收益计入当期损益。</w:t>
      </w:r>
    </w:p>
    <w:p w:rsidR="00CC38FA" w:rsidRDefault="00CC38FA">
      <w:pPr>
        <w:pStyle w:val="a3"/>
        <w:spacing w:before="0" w:beforeAutospacing="0" w:after="0" w:afterAutospacing="0"/>
        <w:ind w:firstLine="360"/>
        <w:divId w:val="486097859"/>
      </w:pPr>
      <w:r>
        <w:rPr>
          <w:rFonts w:hint="eastAsia"/>
          <w:sz w:val="18"/>
          <w:szCs w:val="18"/>
        </w:rPr>
        <w:t>（4）所得税的抵销</w:t>
      </w:r>
    </w:p>
    <w:p w:rsidR="00CC38FA" w:rsidRDefault="00CC38FA">
      <w:pPr>
        <w:pStyle w:val="a3"/>
        <w:spacing w:before="0" w:beforeAutospacing="0" w:after="0" w:afterAutospacing="0"/>
        <w:ind w:firstLine="360"/>
        <w:divId w:val="486097859"/>
      </w:pPr>
      <w:r>
        <w:rPr>
          <w:rFonts w:hint="eastAsia"/>
          <w:sz w:val="18"/>
          <w:szCs w:val="18"/>
        </w:rPr>
        <w:t>当拥有以净额结算的法定权利，且意图以净额结算或取得资产、清偿负债同时进行时，本公司当期所得税资产及当期所得税负债以抵销后的净额列报。</w:t>
      </w:r>
    </w:p>
    <w:p w:rsidR="00CC38FA" w:rsidRDefault="00CC38FA">
      <w:pPr>
        <w:pStyle w:val="a3"/>
        <w:spacing w:before="0" w:beforeAutospacing="0" w:after="0" w:afterAutospacing="0"/>
        <w:ind w:firstLine="360"/>
        <w:divId w:val="486097859"/>
      </w:pPr>
      <w:r>
        <w:rPr>
          <w:rFonts w:hint="eastAsia"/>
          <w:sz w:val="18"/>
          <w:szCs w:val="18"/>
        </w:rPr>
        <w:t>当拥有以净额结算当期所得税资产及当期所得税负债的法定权利，且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时，本公司递延所得税资产及递延所得税负债以抵销后的净额列报。</w:t>
      </w:r>
    </w:p>
    <w:p w:rsidR="007F3A90" w:rsidRDefault="00CC38FA">
      <w:pPr>
        <w:pStyle w:val="3"/>
        <w:spacing w:line="280" w:lineRule="exact"/>
        <w:jc w:val="left"/>
        <w:rPr>
          <w:rFonts w:ascii="宋体" w:hAnsi="宋体" w:cs="宋体"/>
          <w:b/>
          <w:bCs/>
        </w:rPr>
      </w:pPr>
      <w:bookmarkStart w:id="154" w:name="_Toc989043"/>
      <w:r>
        <w:rPr>
          <w:rFonts w:ascii="宋体" w:hAnsi="宋体" w:cs="宋体"/>
          <w:b/>
          <w:bCs/>
        </w:rPr>
        <w:t>38、租赁</w:t>
      </w:r>
      <w:bookmarkEnd w:id="154"/>
    </w:p>
    <w:p w:rsidR="007F3A90" w:rsidRDefault="00CC38FA">
      <w:pPr>
        <w:keepNext/>
        <w:keepLines/>
        <w:spacing w:before="300" w:after="300" w:line="280" w:lineRule="exact"/>
        <w:outlineLvl w:val="3"/>
        <w:rPr>
          <w:rFonts w:ascii="宋体" w:eastAsia="宋体" w:hAnsi="宋体" w:cs="宋体"/>
          <w:b/>
          <w:bCs/>
          <w:szCs w:val="21"/>
        </w:rPr>
      </w:pPr>
      <w:bookmarkStart w:id="155" w:name="_Toc989044"/>
      <w:r>
        <w:rPr>
          <w:rFonts w:ascii="宋体" w:eastAsia="宋体" w:hAnsi="宋体" w:cs="宋体"/>
          <w:b/>
          <w:bCs/>
          <w:szCs w:val="21"/>
        </w:rPr>
        <w:t>（1） 作为承租方租赁的会计处理方法</w:t>
      </w:r>
      <w:bookmarkEnd w:id="155"/>
    </w:p>
    <w:p w:rsidR="00CC38FA" w:rsidRDefault="00CC38FA">
      <w:pPr>
        <w:pStyle w:val="a3"/>
        <w:spacing w:before="0" w:beforeAutospacing="0" w:after="0" w:afterAutospacing="0"/>
        <w:ind w:firstLine="360"/>
        <w:divId w:val="714157527"/>
      </w:pPr>
      <w:r>
        <w:rPr>
          <w:rFonts w:hint="eastAsia"/>
          <w:sz w:val="18"/>
          <w:szCs w:val="18"/>
        </w:rPr>
        <w:t>本公司租赁资产的类别主要为房屋建筑物等。</w:t>
      </w:r>
    </w:p>
    <w:p w:rsidR="00CC38FA" w:rsidRDefault="00CC38FA">
      <w:pPr>
        <w:pStyle w:val="a3"/>
        <w:spacing w:before="0" w:beforeAutospacing="0" w:after="0" w:afterAutospacing="0"/>
        <w:ind w:firstLine="360"/>
        <w:divId w:val="714157527"/>
      </w:pPr>
      <w:r>
        <w:rPr>
          <w:rFonts w:hint="eastAsia"/>
          <w:sz w:val="18"/>
          <w:szCs w:val="18"/>
        </w:rPr>
        <w:t>①初始计量</w:t>
      </w:r>
    </w:p>
    <w:p w:rsidR="00CC38FA" w:rsidRDefault="00CC38FA">
      <w:pPr>
        <w:pStyle w:val="a3"/>
        <w:spacing w:before="0" w:beforeAutospacing="0" w:after="0" w:afterAutospacing="0"/>
        <w:ind w:firstLine="360"/>
        <w:divId w:val="714157527"/>
      </w:pPr>
      <w:r>
        <w:rPr>
          <w:rFonts w:hint="eastAsia"/>
          <w:sz w:val="18"/>
          <w:szCs w:val="18"/>
        </w:rPr>
        <w:t>在租赁期开始日，本公司将可在租赁期内使用租赁资产的权利确认为使用权资产，将尚未支付的租赁付款额的现值确认为租赁负债，短期租赁和低价值资产租赁除外。在计算租赁付款额的现值时，本公司采用承租人增量借款利率作为折现率。</w:t>
      </w:r>
    </w:p>
    <w:p w:rsidR="00CC38FA" w:rsidRDefault="00CC38FA">
      <w:pPr>
        <w:pStyle w:val="a3"/>
        <w:spacing w:before="0" w:beforeAutospacing="0" w:after="0" w:afterAutospacing="0"/>
        <w:ind w:firstLine="360"/>
        <w:divId w:val="714157527"/>
      </w:pPr>
      <w:r>
        <w:rPr>
          <w:rFonts w:hint="eastAsia"/>
          <w:sz w:val="18"/>
          <w:szCs w:val="18"/>
        </w:rPr>
        <w:lastRenderedPageBreak/>
        <w:t>②后续计量</w:t>
      </w:r>
    </w:p>
    <w:p w:rsidR="00CC38FA" w:rsidRDefault="00CC38FA">
      <w:pPr>
        <w:pStyle w:val="a3"/>
        <w:spacing w:before="0" w:beforeAutospacing="0" w:after="0" w:afterAutospacing="0"/>
        <w:ind w:firstLine="360"/>
        <w:divId w:val="714157527"/>
      </w:pPr>
      <w:r>
        <w:rPr>
          <w:rFonts w:hint="eastAsia"/>
          <w:sz w:val="18"/>
          <w:szCs w:val="18"/>
        </w:rPr>
        <w:t>本公司自租赁期开始的次月对使用权资产计提折旧，能够合理确定租赁期届满时取得租赁资产所有权的，本公司在租赁资产剩余使用寿命内计提折旧。无法合理确定租赁期届满时能够取得租赁资产所有权的，本公司在租赁期与租赁资产剩余使用寿命两者孰短的期间内计提折旧。</w:t>
      </w:r>
    </w:p>
    <w:p w:rsidR="00CC38FA" w:rsidRDefault="00CC38FA">
      <w:pPr>
        <w:pStyle w:val="a3"/>
        <w:spacing w:before="0" w:beforeAutospacing="0" w:after="0" w:afterAutospacing="0"/>
        <w:ind w:firstLine="360"/>
        <w:divId w:val="714157527"/>
      </w:pPr>
      <w:r>
        <w:rPr>
          <w:rFonts w:hint="eastAsia"/>
          <w:sz w:val="18"/>
          <w:szCs w:val="18"/>
        </w:rPr>
        <w:t>对于租赁负债，本公司按照固定的周期性利率计算其在租赁期内各期间的利息费用，计入当期损益或计入相关资产成本。未纳入租赁负债计量的可变租赁付款额在实际发生时计入当期损益或相关资产成本。</w:t>
      </w:r>
    </w:p>
    <w:p w:rsidR="00CC38FA" w:rsidRDefault="00CC38FA">
      <w:pPr>
        <w:pStyle w:val="a3"/>
        <w:spacing w:before="0" w:beforeAutospacing="0" w:after="0" w:afterAutospacing="0"/>
        <w:ind w:firstLine="360"/>
        <w:divId w:val="714157527"/>
      </w:pPr>
      <w:r>
        <w:rPr>
          <w:rFonts w:hint="eastAsia"/>
          <w:sz w:val="18"/>
          <w:szCs w:val="18"/>
        </w:rPr>
        <w:t>租赁期开始日后，当实质固定付款额发生变动、担保余值预计的应付金额发生变化、用于确定租赁付款额的指数或比率发生变动、购买选择权、续租选择权或终止选择权的评估结果或实际行权情况发生变化时，本公司按照变动后的租赁付款额的现值重新计量租赁负债，并相应调整使用权资产的账面价值。使用权资产账面价值已调减至零，但租赁负债仍需进一步调减的，本公司将剩余金额计入当期损益。</w:t>
      </w:r>
    </w:p>
    <w:p w:rsidR="00CC38FA" w:rsidRDefault="00CC38FA">
      <w:pPr>
        <w:pStyle w:val="a3"/>
        <w:spacing w:before="0" w:beforeAutospacing="0" w:after="0" w:afterAutospacing="0"/>
        <w:ind w:firstLine="360"/>
        <w:divId w:val="714157527"/>
      </w:pPr>
      <w:r>
        <w:rPr>
          <w:rFonts w:hint="eastAsia"/>
          <w:sz w:val="18"/>
          <w:szCs w:val="18"/>
        </w:rPr>
        <w:t xml:space="preserve">③短期租赁和低价值资产租赁 </w:t>
      </w:r>
    </w:p>
    <w:p w:rsidR="00CC38FA" w:rsidRDefault="00CC38FA">
      <w:pPr>
        <w:pStyle w:val="a3"/>
        <w:spacing w:before="0" w:beforeAutospacing="0" w:after="0" w:afterAutospacing="0"/>
        <w:ind w:firstLine="360"/>
        <w:divId w:val="714157527"/>
      </w:pPr>
      <w:r>
        <w:rPr>
          <w:rFonts w:hint="eastAsia"/>
          <w:sz w:val="18"/>
          <w:szCs w:val="18"/>
        </w:rPr>
        <w:t>对于短期租赁（在租赁开始日租赁期不超过12个月的租赁）和低价值资产租赁，本公司采取简化处理方法，不确认使用权资产和租赁负债，而在租赁期内各个期间按照直线法或其他系统合理的方法将租赁付款额计入相关资产成本或当期损益。</w:t>
      </w:r>
    </w:p>
    <w:p w:rsidR="00CC38FA" w:rsidRDefault="00CC38FA">
      <w:pPr>
        <w:pStyle w:val="a3"/>
        <w:spacing w:before="0" w:beforeAutospacing="0" w:after="0" w:afterAutospacing="0"/>
        <w:ind w:firstLine="360"/>
        <w:divId w:val="714157527"/>
      </w:pPr>
      <w:r>
        <w:rPr>
          <w:rFonts w:hint="eastAsia"/>
          <w:sz w:val="18"/>
          <w:szCs w:val="18"/>
        </w:rPr>
        <w:t>④租赁变更</w:t>
      </w:r>
    </w:p>
    <w:p w:rsidR="00CC38FA" w:rsidRDefault="00CC38FA">
      <w:pPr>
        <w:pStyle w:val="a3"/>
        <w:spacing w:before="0" w:beforeAutospacing="0" w:after="0" w:afterAutospacing="0"/>
        <w:ind w:firstLine="360"/>
        <w:divId w:val="714157527"/>
      </w:pPr>
      <w:r>
        <w:rPr>
          <w:rFonts w:hint="eastAsia"/>
          <w:sz w:val="18"/>
          <w:szCs w:val="18"/>
        </w:rPr>
        <w:t>租赁发生变更且同时符合下列条件的，本公司将该租赁变更作为一项单独租赁进行会计处理：</w:t>
      </w:r>
    </w:p>
    <w:p w:rsidR="00CC38FA" w:rsidRDefault="00CC38FA">
      <w:pPr>
        <w:pStyle w:val="a3"/>
        <w:spacing w:before="0" w:beforeAutospacing="0" w:after="0" w:afterAutospacing="0"/>
        <w:ind w:firstLine="360"/>
        <w:divId w:val="714157527"/>
      </w:pPr>
      <w:r>
        <w:rPr>
          <w:rFonts w:hint="eastAsia"/>
          <w:sz w:val="18"/>
          <w:szCs w:val="18"/>
        </w:rPr>
        <w:t>• 该租赁变更通过增加一项或多项租赁资产的使用权而扩大了租赁范围；</w:t>
      </w:r>
    </w:p>
    <w:p w:rsidR="00CC38FA" w:rsidRDefault="00CC38FA">
      <w:pPr>
        <w:pStyle w:val="a3"/>
        <w:spacing w:before="0" w:beforeAutospacing="0" w:after="0" w:afterAutospacing="0"/>
        <w:ind w:firstLine="360"/>
        <w:divId w:val="714157527"/>
      </w:pPr>
      <w:r>
        <w:rPr>
          <w:rFonts w:hint="eastAsia"/>
          <w:sz w:val="18"/>
          <w:szCs w:val="18"/>
        </w:rPr>
        <w:t>• 增加的对价与租赁范围扩大部分的单独价格按该合同情况调整后的金额相当。</w:t>
      </w:r>
    </w:p>
    <w:p w:rsidR="00CC38FA" w:rsidRDefault="00CC38FA">
      <w:pPr>
        <w:pStyle w:val="a3"/>
        <w:spacing w:before="0" w:beforeAutospacing="0" w:after="0" w:afterAutospacing="0"/>
        <w:ind w:firstLine="360"/>
        <w:divId w:val="714157527"/>
      </w:pPr>
      <w:r>
        <w:rPr>
          <w:rFonts w:hint="eastAsia"/>
          <w:sz w:val="18"/>
          <w:szCs w:val="18"/>
        </w:rPr>
        <w:t>租赁变更未作为一项单独租赁进行会计处理的，在租赁变更生效日，本公司重新分摊变更后合同的对价，重新确定租赁期，并按照变更后租赁付款额和修订后的折现率计算的现值重新计量租赁负债。</w:t>
      </w:r>
    </w:p>
    <w:p w:rsidR="00CC38FA" w:rsidRDefault="00CC38FA">
      <w:pPr>
        <w:pStyle w:val="a3"/>
        <w:spacing w:before="0" w:beforeAutospacing="0" w:after="0" w:afterAutospacing="0"/>
        <w:ind w:firstLine="360"/>
        <w:divId w:val="714157527"/>
      </w:pPr>
      <w:r>
        <w:rPr>
          <w:rFonts w:hint="eastAsia"/>
          <w:sz w:val="18"/>
          <w:szCs w:val="18"/>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rsidR="007F3A90" w:rsidRDefault="00CC38FA">
      <w:pPr>
        <w:keepNext/>
        <w:keepLines/>
        <w:spacing w:before="300" w:after="300" w:line="280" w:lineRule="exact"/>
        <w:outlineLvl w:val="3"/>
        <w:rPr>
          <w:rFonts w:ascii="宋体" w:eastAsia="宋体" w:hAnsi="宋体" w:cs="宋体"/>
          <w:b/>
          <w:bCs/>
          <w:szCs w:val="21"/>
        </w:rPr>
      </w:pPr>
      <w:bookmarkStart w:id="156" w:name="_Toc989045"/>
      <w:r>
        <w:rPr>
          <w:rFonts w:ascii="宋体" w:eastAsia="宋体" w:hAnsi="宋体" w:cs="宋体"/>
          <w:b/>
          <w:bCs/>
          <w:szCs w:val="21"/>
        </w:rPr>
        <w:t>（2） 作为出租方租赁的会计处理方法</w:t>
      </w:r>
      <w:bookmarkEnd w:id="156"/>
    </w:p>
    <w:p w:rsidR="00CC38FA" w:rsidRDefault="00CC38FA">
      <w:pPr>
        <w:pStyle w:val="a3"/>
        <w:spacing w:before="0" w:beforeAutospacing="0" w:after="0" w:afterAutospacing="0"/>
        <w:ind w:firstLine="360"/>
        <w:divId w:val="902060735"/>
      </w:pPr>
      <w:r>
        <w:rPr>
          <w:rFonts w:hint="eastAsia"/>
          <w:sz w:val="18"/>
          <w:szCs w:val="18"/>
        </w:rPr>
        <w:t>本公司在租赁开始日，基于交易的实质，将租赁分为融资租赁和经营租赁。融资租赁是指实质上转移了与租赁资产所有权有关的几乎全部风险和报酬的租赁。经营租赁是指除融资租赁以外的其他租赁。</w:t>
      </w:r>
    </w:p>
    <w:p w:rsidR="00CC38FA" w:rsidRDefault="00CC38FA">
      <w:pPr>
        <w:pStyle w:val="a3"/>
        <w:spacing w:before="0" w:beforeAutospacing="0" w:after="0" w:afterAutospacing="0"/>
        <w:ind w:firstLine="360"/>
        <w:divId w:val="902060735"/>
      </w:pPr>
      <w:r>
        <w:rPr>
          <w:rFonts w:hint="eastAsia"/>
          <w:sz w:val="18"/>
          <w:szCs w:val="18"/>
        </w:rPr>
        <w:t>① 经营租赁</w:t>
      </w:r>
    </w:p>
    <w:p w:rsidR="00CC38FA" w:rsidRDefault="00CC38FA">
      <w:pPr>
        <w:pStyle w:val="a3"/>
        <w:spacing w:before="0" w:beforeAutospacing="0" w:after="0" w:afterAutospacing="0"/>
        <w:ind w:firstLine="360"/>
        <w:divId w:val="902060735"/>
      </w:pPr>
      <w:r>
        <w:rPr>
          <w:rFonts w:hint="eastAsia"/>
          <w:sz w:val="18"/>
          <w:szCs w:val="18"/>
        </w:rPr>
        <w:t>本公司采用直线法将经营租赁的租赁收款额确认为租赁期内各期间的租金收入。与经营租赁有关的未计入租赁收款额的可变租赁付款额，于实际发生时计入当期损益。</w:t>
      </w:r>
    </w:p>
    <w:p w:rsidR="00CC38FA" w:rsidRDefault="00CC38FA">
      <w:pPr>
        <w:pStyle w:val="a3"/>
        <w:spacing w:before="0" w:beforeAutospacing="0" w:after="0" w:afterAutospacing="0"/>
        <w:ind w:firstLine="360"/>
        <w:divId w:val="902060735"/>
      </w:pPr>
      <w:r>
        <w:rPr>
          <w:rFonts w:hint="eastAsia"/>
          <w:sz w:val="18"/>
          <w:szCs w:val="18"/>
        </w:rPr>
        <w:t>② 融资租赁</w:t>
      </w:r>
    </w:p>
    <w:p w:rsidR="00CC38FA" w:rsidRDefault="00CC38FA">
      <w:pPr>
        <w:pStyle w:val="a3"/>
        <w:spacing w:before="0" w:beforeAutospacing="0" w:after="0" w:afterAutospacing="0"/>
        <w:ind w:firstLine="360"/>
        <w:divId w:val="902060735"/>
      </w:pPr>
      <w:r>
        <w:rPr>
          <w:rFonts w:hint="eastAsia"/>
          <w:sz w:val="18"/>
          <w:szCs w:val="18"/>
        </w:rPr>
        <w:t>于租赁期开始日，本公司确认应收融资租赁款，并终止确认融资租赁资产。应收融资租赁款以租赁投资净额（未担保余值和租赁期开始日尚未收到的租赁收款额按照租赁内含利率折现的现值之和）进行初始计量，并按照固定的周期性利率计算确认租赁期内的利息收入。本公司取得的未纳入租赁投资净额计量的可变租赁付款额在实际发生时计入当期损益。</w:t>
      </w:r>
    </w:p>
    <w:p w:rsidR="00CC38FA" w:rsidRDefault="00CC38FA">
      <w:pPr>
        <w:pStyle w:val="a3"/>
        <w:spacing w:before="0" w:beforeAutospacing="0" w:after="0" w:afterAutospacing="0"/>
        <w:ind w:firstLine="360"/>
        <w:divId w:val="902060735"/>
      </w:pPr>
      <w:r>
        <w:rPr>
          <w:rFonts w:hint="eastAsia"/>
          <w:sz w:val="18"/>
          <w:szCs w:val="18"/>
        </w:rPr>
        <w:t>③ 租赁变更</w:t>
      </w:r>
    </w:p>
    <w:p w:rsidR="00CC38FA" w:rsidRDefault="00CC38FA">
      <w:pPr>
        <w:pStyle w:val="a3"/>
        <w:spacing w:before="0" w:beforeAutospacing="0" w:after="0" w:afterAutospacing="0"/>
        <w:ind w:firstLine="360"/>
        <w:divId w:val="902060735"/>
      </w:pPr>
      <w:r>
        <w:rPr>
          <w:rFonts w:hint="eastAsia"/>
          <w:sz w:val="18"/>
          <w:szCs w:val="18"/>
        </w:rPr>
        <w:t>经营租赁发生变更的，本公司自变更生效日起将其作为一项新租赁进行会计处理，与变更前租赁有关的预收或应收租赁收款额视为新租赁的收款额。     </w:t>
      </w:r>
    </w:p>
    <w:p w:rsidR="00CC38FA" w:rsidRDefault="00CC38FA">
      <w:pPr>
        <w:pStyle w:val="a3"/>
        <w:spacing w:before="0" w:beforeAutospacing="0" w:after="0" w:afterAutospacing="0"/>
        <w:ind w:firstLine="360"/>
        <w:divId w:val="902060735"/>
      </w:pPr>
      <w:r>
        <w:rPr>
          <w:rFonts w:hint="eastAsia"/>
          <w:sz w:val="18"/>
          <w:szCs w:val="18"/>
        </w:rPr>
        <w:t>融资租赁发生变更且同时符合下列条件的，本公司将该变更作为一项单独租赁进行会计处理：</w:t>
      </w:r>
    </w:p>
    <w:p w:rsidR="00CC38FA" w:rsidRDefault="00CC38FA">
      <w:pPr>
        <w:pStyle w:val="a3"/>
        <w:spacing w:before="0" w:beforeAutospacing="0" w:after="0" w:afterAutospacing="0"/>
        <w:ind w:firstLine="360"/>
        <w:divId w:val="902060735"/>
      </w:pPr>
      <w:r>
        <w:rPr>
          <w:rFonts w:hint="eastAsia"/>
          <w:sz w:val="18"/>
          <w:szCs w:val="18"/>
        </w:rPr>
        <w:t>• 该变更通过增加一项或多项租赁资产的使用权而扩大了租赁范围；</w:t>
      </w:r>
    </w:p>
    <w:p w:rsidR="00CC38FA" w:rsidRDefault="00CC38FA">
      <w:pPr>
        <w:pStyle w:val="a3"/>
        <w:spacing w:before="0" w:beforeAutospacing="0" w:after="0" w:afterAutospacing="0"/>
        <w:ind w:firstLine="360"/>
        <w:divId w:val="902060735"/>
      </w:pPr>
      <w:r>
        <w:rPr>
          <w:rFonts w:hint="eastAsia"/>
          <w:sz w:val="18"/>
          <w:szCs w:val="18"/>
        </w:rPr>
        <w:t>• 增加的对价与租赁范围扩大部分的单独价格按该合同情况调整后的金额相当。</w:t>
      </w:r>
    </w:p>
    <w:p w:rsidR="00CC38FA" w:rsidRDefault="00CC38FA">
      <w:pPr>
        <w:pStyle w:val="a3"/>
        <w:spacing w:before="0" w:beforeAutospacing="0" w:after="0" w:afterAutospacing="0"/>
        <w:ind w:firstLine="360"/>
        <w:divId w:val="902060735"/>
      </w:pPr>
      <w:r>
        <w:rPr>
          <w:rFonts w:hint="eastAsia"/>
          <w:sz w:val="18"/>
          <w:szCs w:val="18"/>
        </w:rPr>
        <w:t>融资租赁的变更未作为一项单独租赁进行会计处理的，本公司分下列情形对变更后的租赁进行处理：</w:t>
      </w:r>
    </w:p>
    <w:p w:rsidR="00CC38FA" w:rsidRDefault="00CC38FA">
      <w:pPr>
        <w:pStyle w:val="a3"/>
        <w:spacing w:before="0" w:beforeAutospacing="0" w:after="0" w:afterAutospacing="0"/>
        <w:ind w:firstLine="360"/>
        <w:divId w:val="902060735"/>
      </w:pPr>
      <w:r>
        <w:rPr>
          <w:rFonts w:hint="eastAsia"/>
          <w:sz w:val="18"/>
          <w:szCs w:val="18"/>
        </w:rPr>
        <w:t>• 假如变更在租赁开始日生效，该租赁会被分类为经营租赁的，本公司自租赁变更生效日开始将其作为一项新租赁进行会计处理，并以租赁变更生效日前的租赁投资净额作为租赁资产的账面价值；</w:t>
      </w:r>
    </w:p>
    <w:p w:rsidR="00CC38FA" w:rsidRDefault="00CC38FA">
      <w:pPr>
        <w:pStyle w:val="a3"/>
        <w:spacing w:before="0" w:beforeAutospacing="0" w:after="0" w:afterAutospacing="0"/>
        <w:ind w:firstLine="360"/>
        <w:divId w:val="902060735"/>
      </w:pPr>
      <w:r>
        <w:rPr>
          <w:rFonts w:hint="eastAsia"/>
          <w:sz w:val="18"/>
          <w:szCs w:val="18"/>
        </w:rPr>
        <w:lastRenderedPageBreak/>
        <w:t>• 假如变更在租赁开始日生效，该租赁会被分类为融资租赁的，本公司按照《企业会计准则第22 号——金融工具确认和计量》关于修改或重新议定合同的规定进行会计处理。</w:t>
      </w:r>
    </w:p>
    <w:p w:rsidR="007F3A90" w:rsidRDefault="00CC38FA">
      <w:pPr>
        <w:pStyle w:val="3"/>
        <w:spacing w:line="280" w:lineRule="exact"/>
        <w:jc w:val="left"/>
        <w:rPr>
          <w:rFonts w:ascii="宋体" w:hAnsi="宋体" w:cs="宋体"/>
          <w:b/>
          <w:bCs/>
        </w:rPr>
      </w:pPr>
      <w:bookmarkStart w:id="157" w:name="_Toc989046"/>
      <w:r>
        <w:rPr>
          <w:rFonts w:ascii="宋体" w:hAnsi="宋体" w:cs="宋体"/>
          <w:b/>
          <w:bCs/>
        </w:rPr>
        <w:t>39、其他重要的会计政策和会计估计</w:t>
      </w:r>
      <w:bookmarkEnd w:id="157"/>
    </w:p>
    <w:p w:rsidR="00CC38FA" w:rsidRDefault="00CC38FA">
      <w:pPr>
        <w:pStyle w:val="a3"/>
        <w:spacing w:before="0" w:beforeAutospacing="0" w:after="0" w:afterAutospacing="0"/>
        <w:ind w:firstLine="360"/>
        <w:divId w:val="2058966540"/>
      </w:pPr>
      <w:r>
        <w:rPr>
          <w:rFonts w:hint="eastAsia"/>
          <w:sz w:val="18"/>
          <w:szCs w:val="18"/>
        </w:rPr>
        <w:t>（1）终止经营</w:t>
      </w:r>
    </w:p>
    <w:p w:rsidR="00CC38FA" w:rsidRDefault="00CC38FA">
      <w:pPr>
        <w:pStyle w:val="a3"/>
        <w:spacing w:before="0" w:beforeAutospacing="0" w:after="0" w:afterAutospacing="0"/>
        <w:ind w:firstLine="360"/>
        <w:divId w:val="2058966540"/>
      </w:pPr>
      <w:r>
        <w:rPr>
          <w:rFonts w:hint="eastAsia"/>
          <w:sz w:val="18"/>
          <w:szCs w:val="18"/>
        </w:rPr>
        <w:t>终止经营，是指满足下列条件之一的、能够单独区分且已被本公司处置或划分为持有待售类别的组成部分：①该组成部分代表一项独立的主要业务或一个单独的主要经营地区；②该组成部分是拟对一项独立的主要业务或一个单独的主要经营地区进行处置的一项相关联计划的一部分；③该组成部分是专为了转售而取得的子公司。</w:t>
      </w:r>
    </w:p>
    <w:p w:rsidR="00CC38FA" w:rsidRDefault="00CC38FA">
      <w:pPr>
        <w:pStyle w:val="a3"/>
        <w:spacing w:before="0" w:beforeAutospacing="0" w:after="0" w:afterAutospacing="0"/>
        <w:ind w:firstLine="360"/>
        <w:divId w:val="2058966540"/>
      </w:pPr>
      <w:r>
        <w:rPr>
          <w:rFonts w:hint="eastAsia"/>
          <w:sz w:val="18"/>
          <w:szCs w:val="18"/>
        </w:rPr>
        <w:t>终止经营的会计处理方法参</w:t>
      </w:r>
      <w:r>
        <w:rPr>
          <w:rFonts w:hint="eastAsia"/>
          <w:color w:val="000000"/>
          <w:sz w:val="18"/>
          <w:szCs w:val="18"/>
        </w:rPr>
        <w:t>见本附注“持有</w:t>
      </w:r>
      <w:r>
        <w:rPr>
          <w:rFonts w:hint="eastAsia"/>
          <w:sz w:val="18"/>
          <w:szCs w:val="18"/>
        </w:rPr>
        <w:t>待售资产和处置组”相关描述。</w:t>
      </w:r>
    </w:p>
    <w:p w:rsidR="00CC38FA" w:rsidRDefault="00CC38FA">
      <w:pPr>
        <w:pStyle w:val="a3"/>
        <w:spacing w:before="0" w:beforeAutospacing="0" w:after="0" w:afterAutospacing="0"/>
        <w:ind w:firstLine="400"/>
        <w:jc w:val="both"/>
        <w:divId w:val="2058966540"/>
      </w:pPr>
      <w:r>
        <w:rPr>
          <w:rFonts w:hint="eastAsia"/>
          <w:sz w:val="18"/>
          <w:szCs w:val="18"/>
        </w:rPr>
        <w:t>（2）回购股份</w:t>
      </w:r>
    </w:p>
    <w:p w:rsidR="00CC38FA" w:rsidRDefault="00CC38FA">
      <w:pPr>
        <w:pStyle w:val="a3"/>
        <w:spacing w:before="0" w:beforeAutospacing="0" w:after="0" w:afterAutospacing="0"/>
        <w:ind w:firstLine="360"/>
        <w:divId w:val="2058966540"/>
      </w:pPr>
      <w:r>
        <w:rPr>
          <w:rFonts w:hint="eastAsia"/>
          <w:sz w:val="18"/>
          <w:szCs w:val="18"/>
        </w:rPr>
        <w:t>股份回购中支付的对价和交易费用减少股东权益，回购、转让或注销本公司股份时，不确认利得或损失。</w:t>
      </w:r>
    </w:p>
    <w:p w:rsidR="00CC38FA" w:rsidRDefault="00CC38FA">
      <w:pPr>
        <w:pStyle w:val="a3"/>
        <w:spacing w:before="0" w:beforeAutospacing="0" w:after="0" w:afterAutospacing="0"/>
        <w:ind w:firstLine="360"/>
        <w:divId w:val="2058966540"/>
      </w:pPr>
      <w:r>
        <w:rPr>
          <w:rFonts w:hint="eastAsia"/>
          <w:sz w:val="18"/>
          <w:szCs w:val="18"/>
        </w:rPr>
        <w:t>转让库存股，按实际收到的金额与库存股账面金额的差额，计入资本公积，资本公积不足冲减的，冲减盈余公积和未分配利润。注销库存股，按股票面值和注销股数减少股本，按注销库存股的账面余额与面值的差额，冲减资本公积，资本公积不足冲减的，冲减盈余公积和未分配利润。</w:t>
      </w:r>
    </w:p>
    <w:p w:rsidR="007F3A90" w:rsidRDefault="00CC38FA">
      <w:pPr>
        <w:pStyle w:val="3"/>
        <w:spacing w:line="280" w:lineRule="exact"/>
        <w:jc w:val="left"/>
        <w:rPr>
          <w:rFonts w:ascii="宋体" w:hAnsi="宋体" w:cs="宋体"/>
          <w:b/>
          <w:bCs/>
        </w:rPr>
      </w:pPr>
      <w:bookmarkStart w:id="158" w:name="_Toc989047"/>
      <w:r>
        <w:rPr>
          <w:rFonts w:ascii="宋体" w:hAnsi="宋体" w:cs="宋体"/>
          <w:b/>
          <w:bCs/>
        </w:rPr>
        <w:t>40、重要会计政策和会计估计变更</w:t>
      </w:r>
      <w:bookmarkEnd w:id="158"/>
    </w:p>
    <w:p w:rsidR="007F3A90" w:rsidRDefault="00CC38FA">
      <w:pPr>
        <w:keepNext/>
        <w:keepLines/>
        <w:spacing w:before="300" w:after="300" w:line="280" w:lineRule="exact"/>
        <w:outlineLvl w:val="3"/>
        <w:rPr>
          <w:rFonts w:ascii="宋体" w:eastAsia="宋体" w:hAnsi="宋体" w:cs="宋体"/>
          <w:b/>
          <w:bCs/>
          <w:sz w:val="18"/>
          <w:szCs w:val="18"/>
        </w:rPr>
      </w:pPr>
      <w:bookmarkStart w:id="159" w:name="_Toc989048"/>
      <w:r>
        <w:rPr>
          <w:rFonts w:ascii="宋体" w:eastAsia="宋体" w:hAnsi="宋体" w:cs="宋体"/>
          <w:b/>
          <w:bCs/>
          <w:sz w:val="18"/>
          <w:szCs w:val="18"/>
        </w:rPr>
        <w:t>（1） 重要会计政策变更</w:t>
      </w:r>
      <w:bookmarkEnd w:id="159"/>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keepNext/>
        <w:keepLines/>
        <w:spacing w:before="300" w:after="300" w:line="280" w:lineRule="exact"/>
        <w:outlineLvl w:val="3"/>
        <w:rPr>
          <w:rFonts w:ascii="宋体" w:eastAsia="宋体" w:hAnsi="宋体" w:cs="宋体"/>
          <w:b/>
          <w:bCs/>
          <w:sz w:val="18"/>
          <w:szCs w:val="18"/>
        </w:rPr>
      </w:pPr>
      <w:bookmarkStart w:id="160" w:name="_Toc989049"/>
      <w:r>
        <w:rPr>
          <w:rFonts w:ascii="宋体" w:eastAsia="宋体" w:hAnsi="宋体" w:cs="宋体"/>
          <w:b/>
          <w:bCs/>
          <w:sz w:val="18"/>
          <w:szCs w:val="18"/>
        </w:rPr>
        <w:t>（2） 重要会计估计变更</w:t>
      </w:r>
      <w:bookmarkEnd w:id="160"/>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keepNext/>
        <w:keepLines/>
        <w:spacing w:before="300" w:after="300" w:line="280" w:lineRule="exact"/>
        <w:outlineLvl w:val="3"/>
        <w:rPr>
          <w:rFonts w:ascii="宋体" w:eastAsia="宋体" w:hAnsi="宋体" w:cs="宋体"/>
          <w:b/>
          <w:bCs/>
          <w:sz w:val="18"/>
          <w:szCs w:val="18"/>
        </w:rPr>
      </w:pPr>
      <w:bookmarkStart w:id="161" w:name="_Toc989050"/>
      <w:r>
        <w:rPr>
          <w:rFonts w:ascii="宋体" w:eastAsia="宋体" w:hAnsi="宋体" w:cs="宋体"/>
          <w:b/>
          <w:bCs/>
          <w:sz w:val="18"/>
          <w:szCs w:val="18"/>
        </w:rPr>
        <w:t>（3） 2024年起首次执行新会计准则调整首次执行当年年初财务报表相关项目情况</w:t>
      </w:r>
      <w:bookmarkEnd w:id="161"/>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pStyle w:val="3"/>
        <w:spacing w:line="280" w:lineRule="exact"/>
        <w:jc w:val="left"/>
        <w:rPr>
          <w:rFonts w:ascii="宋体" w:hAnsi="宋体" w:cs="宋体"/>
          <w:b/>
          <w:bCs/>
        </w:rPr>
      </w:pPr>
      <w:bookmarkStart w:id="162" w:name="_Toc989051"/>
      <w:r>
        <w:rPr>
          <w:rFonts w:ascii="宋体" w:hAnsi="宋体" w:cs="宋体"/>
          <w:b/>
          <w:bCs/>
        </w:rPr>
        <w:t>41、重大会计判断和估计</w:t>
      </w:r>
      <w:bookmarkEnd w:id="162"/>
    </w:p>
    <w:p w:rsidR="00CC38FA" w:rsidRDefault="00CC38FA">
      <w:pPr>
        <w:pStyle w:val="a3"/>
        <w:spacing w:before="0" w:beforeAutospacing="0" w:after="0" w:afterAutospacing="0"/>
        <w:ind w:firstLine="360"/>
        <w:divId w:val="867570692"/>
      </w:pPr>
      <w:r>
        <w:rPr>
          <w:rFonts w:hint="eastAsia"/>
          <w:sz w:val="18"/>
          <w:szCs w:val="18"/>
        </w:rPr>
        <w:t>本公司在运用会计政策过程中，由于经营活动内在的不确定性，本公司需要对无法准确计量的报表项目的账面价值进行判断、估计和假设。这些判断、估计和假设是基于本公司管理层过去的历史经验，并在考虑其他相关因素的基础上做出的。这些判断、估计和假设会影响收入、费用、资产和负债的报告金额以及资产负债表日或有负债的披露。然而，这些估计的不确定性所导致的实际结果可能与本公司管理层当前的估计存在差异，进而造成对未来受影响的资产或负债的账面金额进行重大调整。</w:t>
      </w:r>
    </w:p>
    <w:p w:rsidR="00CC38FA" w:rsidRDefault="00CC38FA">
      <w:pPr>
        <w:pStyle w:val="a3"/>
        <w:spacing w:before="0" w:beforeAutospacing="0" w:after="0" w:afterAutospacing="0"/>
        <w:ind w:firstLine="360"/>
        <w:divId w:val="867570692"/>
      </w:pPr>
      <w:r>
        <w:rPr>
          <w:rFonts w:hint="eastAsia"/>
          <w:sz w:val="18"/>
          <w:szCs w:val="18"/>
        </w:rPr>
        <w:t>本公司对前述判断、估计和假设在持续经营的基础上进行定期复核，会计估计的变更仅影响变更当期的，其影响数在变更当期予以确认；既影响变更当期又影响未来期间的，其影响数在变更当期和未来期间予以确认。</w:t>
      </w:r>
    </w:p>
    <w:p w:rsidR="00CC38FA" w:rsidRDefault="00CC38FA">
      <w:pPr>
        <w:pStyle w:val="a3"/>
        <w:spacing w:before="0" w:beforeAutospacing="0" w:after="0" w:afterAutospacing="0"/>
        <w:ind w:firstLine="360"/>
        <w:divId w:val="867570692"/>
      </w:pPr>
      <w:r>
        <w:rPr>
          <w:rFonts w:hint="eastAsia"/>
          <w:sz w:val="18"/>
          <w:szCs w:val="18"/>
        </w:rPr>
        <w:t>于资产负债表日，本公司需对财务报表项目金额进行判断、估计和假设的重要领域如下：</w:t>
      </w:r>
    </w:p>
    <w:p w:rsidR="00CC38FA" w:rsidRDefault="00CC38FA">
      <w:pPr>
        <w:pStyle w:val="a3"/>
        <w:spacing w:before="0" w:beforeAutospacing="0" w:after="0" w:afterAutospacing="0"/>
        <w:ind w:firstLine="360"/>
        <w:divId w:val="867570692"/>
      </w:pPr>
      <w:r>
        <w:rPr>
          <w:rFonts w:hint="eastAsia"/>
          <w:sz w:val="18"/>
          <w:szCs w:val="18"/>
        </w:rPr>
        <w:t>（1）租赁的归类</w:t>
      </w:r>
    </w:p>
    <w:p w:rsidR="00CC38FA" w:rsidRDefault="00CC38FA">
      <w:pPr>
        <w:pStyle w:val="a3"/>
        <w:spacing w:before="0" w:beforeAutospacing="0" w:after="0" w:afterAutospacing="0"/>
        <w:ind w:firstLine="360"/>
        <w:divId w:val="867570692"/>
      </w:pPr>
      <w:r>
        <w:rPr>
          <w:rFonts w:hint="eastAsia"/>
          <w:sz w:val="18"/>
          <w:szCs w:val="18"/>
        </w:rPr>
        <w:t>①租赁的识别</w:t>
      </w:r>
    </w:p>
    <w:p w:rsidR="00CC38FA" w:rsidRDefault="00CC38FA">
      <w:pPr>
        <w:pStyle w:val="a3"/>
        <w:spacing w:before="0" w:beforeAutospacing="0" w:after="0" w:afterAutospacing="0"/>
        <w:ind w:firstLine="360"/>
        <w:divId w:val="867570692"/>
      </w:pPr>
      <w:r>
        <w:rPr>
          <w:rFonts w:hint="eastAsia"/>
          <w:sz w:val="18"/>
          <w:szCs w:val="18"/>
        </w:rPr>
        <w:t>本集团在识别一项合同是否为租赁或包含租赁时，需要评估是否存在一项已识别资产，且客户控制了该资产在一定期间内的使用权。在评估时，需要考虑资产的性质、实质性替换权、以及客户是否有权获得因在该期间使用该资产所产生的几乎全部经济利益，并能够主导该资产的使用。</w:t>
      </w:r>
    </w:p>
    <w:p w:rsidR="00CC38FA" w:rsidRDefault="00CC38FA">
      <w:pPr>
        <w:pStyle w:val="a3"/>
        <w:spacing w:before="0" w:beforeAutospacing="0" w:after="0" w:afterAutospacing="0"/>
        <w:ind w:firstLine="360"/>
        <w:divId w:val="867570692"/>
      </w:pPr>
      <w:r>
        <w:rPr>
          <w:rFonts w:hint="eastAsia"/>
          <w:sz w:val="18"/>
          <w:szCs w:val="18"/>
        </w:rPr>
        <w:t>②租赁的分类</w:t>
      </w:r>
    </w:p>
    <w:p w:rsidR="00CC38FA" w:rsidRDefault="00CC38FA">
      <w:pPr>
        <w:pStyle w:val="a3"/>
        <w:spacing w:before="0" w:beforeAutospacing="0" w:after="0" w:afterAutospacing="0"/>
        <w:ind w:firstLine="360"/>
        <w:divId w:val="867570692"/>
      </w:pPr>
      <w:r>
        <w:rPr>
          <w:rFonts w:hint="eastAsia"/>
          <w:sz w:val="18"/>
          <w:szCs w:val="18"/>
        </w:rPr>
        <w:lastRenderedPageBreak/>
        <w:t>本集团作为出租人时，将租赁分类为经营租赁和融资租赁。在进行分类时，管理层需要对是否已将与租出资产所有权有关的全部风险和报酬实质上转移给承租人作出分析和判断。</w:t>
      </w:r>
    </w:p>
    <w:p w:rsidR="00CC38FA" w:rsidRDefault="00CC38FA">
      <w:pPr>
        <w:pStyle w:val="a3"/>
        <w:spacing w:before="0" w:beforeAutospacing="0" w:after="0" w:afterAutospacing="0"/>
        <w:ind w:firstLine="360"/>
        <w:divId w:val="867570692"/>
      </w:pPr>
      <w:r>
        <w:rPr>
          <w:rFonts w:hint="eastAsia"/>
          <w:sz w:val="18"/>
          <w:szCs w:val="18"/>
        </w:rPr>
        <w:t>③租赁负债</w:t>
      </w:r>
    </w:p>
    <w:p w:rsidR="00CC38FA" w:rsidRDefault="00CC38FA">
      <w:pPr>
        <w:pStyle w:val="a3"/>
        <w:spacing w:before="0" w:beforeAutospacing="0" w:after="0" w:afterAutospacing="0"/>
        <w:ind w:firstLine="360"/>
        <w:divId w:val="867570692"/>
      </w:pPr>
      <w:r>
        <w:rPr>
          <w:rFonts w:hint="eastAsia"/>
          <w:sz w:val="18"/>
          <w:szCs w:val="18"/>
        </w:rPr>
        <w:t>本集团作为承租人时，租赁负债按照租赁期开始日尚未支付的租赁付款额的现值进行初始计量。在计量租赁付款额的现值时，本集团对使用的折现率以及存在续租选择权或终止选择权的租赁合同的租赁期进行估计。在评估租赁期时，本集团综合考虑与本集团行使选择权带来经济利益的所有相关事实和情况，包括自租赁期开始日至选择权行使日之间的事实和情况的预期变化等。不同的判断及估计可能会影响租赁负债和使用权资产的确认，并将影响后续期间的损益。</w:t>
      </w:r>
    </w:p>
    <w:p w:rsidR="00CC38FA" w:rsidRDefault="00CC38FA">
      <w:pPr>
        <w:pStyle w:val="a3"/>
        <w:spacing w:before="0" w:beforeAutospacing="0" w:after="0" w:afterAutospacing="0"/>
        <w:ind w:firstLine="360"/>
        <w:divId w:val="867570692"/>
      </w:pPr>
      <w:r>
        <w:rPr>
          <w:rFonts w:hint="eastAsia"/>
          <w:sz w:val="18"/>
          <w:szCs w:val="18"/>
        </w:rPr>
        <w:t>（2）金融资产减值</w:t>
      </w:r>
    </w:p>
    <w:p w:rsidR="00CC38FA" w:rsidRDefault="00CC38FA">
      <w:pPr>
        <w:pStyle w:val="a3"/>
        <w:spacing w:before="0" w:beforeAutospacing="0" w:after="0" w:afterAutospacing="0"/>
        <w:ind w:firstLine="360"/>
        <w:divId w:val="867570692"/>
      </w:pPr>
      <w:r>
        <w:rPr>
          <w:rFonts w:hint="eastAsia"/>
          <w:sz w:val="18"/>
          <w:szCs w:val="18"/>
        </w:rPr>
        <w:t>本公司采用预期信用损失模型对金融工具的减值进行评估，应用预期信用损失模型需要做出重大判断和估计，需考虑所有合理且有依据的信息，包括前瞻性信息。在做出该等判断和估计时，本公司根据历史数据结合经济政策、宏观经济指标、行业风险、外部市场环境、技术环境、客户情况的变化等因素推断债务人信用风险的预期变动。</w:t>
      </w:r>
    </w:p>
    <w:p w:rsidR="00CC38FA" w:rsidRDefault="00CC38FA">
      <w:pPr>
        <w:pStyle w:val="a3"/>
        <w:spacing w:before="0" w:beforeAutospacing="0" w:after="0" w:afterAutospacing="0"/>
        <w:ind w:firstLine="360"/>
        <w:divId w:val="867570692"/>
      </w:pPr>
      <w:r>
        <w:rPr>
          <w:rFonts w:hint="eastAsia"/>
          <w:sz w:val="18"/>
          <w:szCs w:val="18"/>
        </w:rPr>
        <w:t>（3）存货跌价准备</w:t>
      </w:r>
    </w:p>
    <w:p w:rsidR="00CC38FA" w:rsidRDefault="00CC38FA">
      <w:pPr>
        <w:pStyle w:val="a3"/>
        <w:spacing w:before="0" w:beforeAutospacing="0" w:after="0" w:afterAutospacing="0"/>
        <w:ind w:firstLine="360"/>
        <w:divId w:val="867570692"/>
      </w:pPr>
      <w:r>
        <w:rPr>
          <w:rFonts w:hint="eastAsia"/>
          <w:sz w:val="18"/>
          <w:szCs w:val="18"/>
        </w:rPr>
        <w:t>本公司根据存货会计政策，按照成本与可变现净值孰低计量，对成本高于可变现净值及陈旧和滞销的存货，计提存货跌价准备。存货减值至可变现净值是基于评估存货的可售性及其可变现净值。鉴定存货减值要求管理层在取得确凿证据，并且考虑持有存货的目的、资产负债表日后事项的影响等因素的基础上作出判断和估计。实际的结果与原先估计的差异将在估计被改变的期间影响存货的账面价值及存货跌价准备的计提或转回。</w:t>
      </w:r>
    </w:p>
    <w:p w:rsidR="00CC38FA" w:rsidRDefault="00CC38FA">
      <w:pPr>
        <w:pStyle w:val="a3"/>
        <w:spacing w:before="0" w:beforeAutospacing="0" w:after="0" w:afterAutospacing="0"/>
        <w:ind w:firstLine="360"/>
        <w:divId w:val="867570692"/>
      </w:pPr>
      <w:r>
        <w:rPr>
          <w:rFonts w:hint="eastAsia"/>
          <w:sz w:val="18"/>
          <w:szCs w:val="18"/>
        </w:rPr>
        <w:t>（4）金融工具公允价值</w:t>
      </w:r>
    </w:p>
    <w:p w:rsidR="00CC38FA" w:rsidRDefault="00CC38FA">
      <w:pPr>
        <w:pStyle w:val="a3"/>
        <w:spacing w:before="0" w:beforeAutospacing="0" w:after="0" w:afterAutospacing="0"/>
        <w:ind w:firstLine="360"/>
        <w:divId w:val="867570692"/>
      </w:pPr>
      <w:r>
        <w:rPr>
          <w:rFonts w:hint="eastAsia"/>
          <w:sz w:val="18"/>
          <w:szCs w:val="18"/>
        </w:rPr>
        <w:t>对不存在活跃交易市场的金融工具，本公司通过各种估值方法确定其公允价值。这些估值方法包括贴现现金流模型分析等。估值时本公司需对未来现金流量、信用风险、市场波动率和相关性等方面进行估计，并选择适当的折现率。这些相关假设具有不确定性，其变化会对金融工具的公允价值产生影响。权益工具投资或合同有公开报价的，本公司不将成本作为其公允价值的最佳估计。</w:t>
      </w:r>
    </w:p>
    <w:p w:rsidR="00CC38FA" w:rsidRDefault="00CC38FA">
      <w:pPr>
        <w:pStyle w:val="a3"/>
        <w:spacing w:before="0" w:beforeAutospacing="0" w:after="0" w:afterAutospacing="0"/>
        <w:ind w:firstLine="360"/>
        <w:divId w:val="867570692"/>
      </w:pPr>
      <w:r>
        <w:rPr>
          <w:rFonts w:hint="eastAsia"/>
          <w:sz w:val="18"/>
          <w:szCs w:val="18"/>
        </w:rPr>
        <w:t>（5）长期资产减值准备</w:t>
      </w:r>
    </w:p>
    <w:p w:rsidR="00CC38FA" w:rsidRDefault="00CC38FA">
      <w:pPr>
        <w:pStyle w:val="a3"/>
        <w:spacing w:before="0" w:beforeAutospacing="0" w:after="0" w:afterAutospacing="0"/>
        <w:ind w:firstLine="360"/>
        <w:divId w:val="867570692"/>
      </w:pPr>
      <w:r>
        <w:rPr>
          <w:rFonts w:hint="eastAsia"/>
          <w:sz w:val="18"/>
          <w:szCs w:val="18"/>
        </w:rPr>
        <w:t>本公司于资产负债表日对除金融资产之外的非流动资产判断是否存在可能发生减值的迹象。对使用寿命不确定的无形资产，除每年进行的减值测试外，当其存在减值迹象时，也进行减值测试。其他除金融资产之外的非流动资产，当存在迹象表明其账面金额不可收回时，进行减值测试。</w:t>
      </w:r>
    </w:p>
    <w:p w:rsidR="00CC38FA" w:rsidRDefault="00CC38FA">
      <w:pPr>
        <w:pStyle w:val="a3"/>
        <w:spacing w:before="0" w:beforeAutospacing="0" w:after="0" w:afterAutospacing="0"/>
        <w:ind w:firstLine="360"/>
        <w:divId w:val="867570692"/>
      </w:pPr>
      <w:r>
        <w:rPr>
          <w:rFonts w:hint="eastAsia"/>
          <w:sz w:val="18"/>
          <w:szCs w:val="18"/>
        </w:rPr>
        <w:t>当资产或资产组的账面价值高于可收回金额，即公允价值减去处置费用后的净额和预计未来现金流量的现值中的较高者，表明发生了减值。</w:t>
      </w:r>
    </w:p>
    <w:p w:rsidR="00CC38FA" w:rsidRDefault="00CC38FA">
      <w:pPr>
        <w:pStyle w:val="a3"/>
        <w:spacing w:before="0" w:beforeAutospacing="0" w:after="0" w:afterAutospacing="0"/>
        <w:ind w:firstLine="360"/>
        <w:divId w:val="867570692"/>
      </w:pPr>
      <w:r>
        <w:rPr>
          <w:rFonts w:hint="eastAsia"/>
          <w:sz w:val="18"/>
          <w:szCs w:val="18"/>
        </w:rPr>
        <w:t>公允价值减去处置费用后的净额，参考公平交易中类似资产的销售协议价格或可观察到的市场价格，减去可直接归属于该资产处置的增量成本确定。</w:t>
      </w:r>
    </w:p>
    <w:p w:rsidR="00CC38FA" w:rsidRDefault="00CC38FA">
      <w:pPr>
        <w:pStyle w:val="a3"/>
        <w:spacing w:before="0" w:beforeAutospacing="0" w:after="0" w:afterAutospacing="0"/>
        <w:ind w:firstLine="360"/>
        <w:divId w:val="867570692"/>
      </w:pPr>
      <w:r>
        <w:rPr>
          <w:rFonts w:hint="eastAsia"/>
          <w:sz w:val="18"/>
          <w:szCs w:val="18"/>
        </w:rPr>
        <w:t>在预计未来现金流量现值时，需要对该资产（或资产组）的产量、售价、相关经营成本以及计算现值时使用的折现率等作出重大判断。本公司在估计可收回金额时会采用所有能够获得的相关资料，包括根据合理和可支持的假设所作出有关产量、售价和相关经营成本的预测。</w:t>
      </w:r>
    </w:p>
    <w:p w:rsidR="00CC38FA" w:rsidRDefault="00CC38FA">
      <w:pPr>
        <w:pStyle w:val="a3"/>
        <w:spacing w:before="0" w:beforeAutospacing="0" w:after="0" w:afterAutospacing="0"/>
        <w:ind w:firstLine="360"/>
        <w:divId w:val="867570692"/>
      </w:pPr>
      <w:r>
        <w:rPr>
          <w:rFonts w:hint="eastAsia"/>
          <w:sz w:val="18"/>
          <w:szCs w:val="18"/>
        </w:rPr>
        <w:t>本公司至少每年测试商誉是否发生减值。这要求对分配了商誉的资产组或者资产组组合的未来现金流量的现值进行预计。对未来现金流量的现值进行预计时，本公司需要预计未来资产组或者资产组组合产生的现金流量，同时选择恰当的折现率确定未来现金流量的现值。</w:t>
      </w:r>
    </w:p>
    <w:p w:rsidR="00CC38FA" w:rsidRDefault="00CC38FA">
      <w:pPr>
        <w:pStyle w:val="a3"/>
        <w:spacing w:before="0" w:beforeAutospacing="0" w:after="0" w:afterAutospacing="0"/>
        <w:ind w:firstLine="360"/>
        <w:divId w:val="867570692"/>
      </w:pPr>
      <w:r>
        <w:rPr>
          <w:rFonts w:hint="eastAsia"/>
          <w:sz w:val="18"/>
          <w:szCs w:val="18"/>
        </w:rPr>
        <w:t>（6）折旧和摊销</w:t>
      </w:r>
    </w:p>
    <w:p w:rsidR="00CC38FA" w:rsidRDefault="00CC38FA">
      <w:pPr>
        <w:pStyle w:val="a3"/>
        <w:spacing w:before="0" w:beforeAutospacing="0" w:after="0" w:afterAutospacing="0"/>
        <w:ind w:firstLine="360"/>
        <w:divId w:val="867570692"/>
      </w:pPr>
      <w:r>
        <w:rPr>
          <w:rFonts w:hint="eastAsia"/>
          <w:sz w:val="18"/>
          <w:szCs w:val="18"/>
        </w:rPr>
        <w:t>本公司对投资性房地产、固定资产和无形资产在考虑其残值后，在使用寿命内按直线法计提折旧和摊销。本公司定期复核使用寿命，以决定将计入每个报告期的折旧和摊销费用数额。使用寿命是本公司根据对同类资产的以往经验并结合预期的技术更新而确定的。如果以前的估计发生重大变化，则会在未来期间对折旧和摊销费用进行调整。</w:t>
      </w:r>
    </w:p>
    <w:p w:rsidR="00CC38FA" w:rsidRDefault="00CC38FA">
      <w:pPr>
        <w:pStyle w:val="a3"/>
        <w:spacing w:before="0" w:beforeAutospacing="0" w:after="0" w:afterAutospacing="0"/>
        <w:ind w:firstLine="360"/>
        <w:divId w:val="867570692"/>
      </w:pPr>
      <w:r>
        <w:rPr>
          <w:rFonts w:hint="eastAsia"/>
          <w:sz w:val="18"/>
          <w:szCs w:val="18"/>
        </w:rPr>
        <w:t>（7）递延所得税资产</w:t>
      </w:r>
    </w:p>
    <w:p w:rsidR="00CC38FA" w:rsidRDefault="00CC38FA">
      <w:pPr>
        <w:pStyle w:val="a3"/>
        <w:spacing w:before="0" w:beforeAutospacing="0" w:after="0" w:afterAutospacing="0"/>
        <w:ind w:firstLine="360"/>
        <w:divId w:val="867570692"/>
      </w:pPr>
      <w:r>
        <w:rPr>
          <w:rFonts w:hint="eastAsia"/>
          <w:sz w:val="18"/>
          <w:szCs w:val="18"/>
        </w:rPr>
        <w:t>在很有可能有足够的应纳税利润来抵扣亏损的限度内，本公司就所有未利用的税务亏损确认递延所得税资产。这需要本公司管理层运用大量的判断来估计未来应纳税利润发生的时间和金额，结合纳税筹划策略，以决定应确认的递延所得税资产的金额。</w:t>
      </w:r>
    </w:p>
    <w:p w:rsidR="00CC38FA" w:rsidRDefault="00CC38FA">
      <w:pPr>
        <w:pStyle w:val="a3"/>
        <w:spacing w:before="0" w:beforeAutospacing="0" w:after="0" w:afterAutospacing="0"/>
        <w:ind w:firstLine="360"/>
        <w:divId w:val="867570692"/>
      </w:pPr>
      <w:r>
        <w:rPr>
          <w:rFonts w:hint="eastAsia"/>
          <w:sz w:val="18"/>
          <w:szCs w:val="18"/>
        </w:rPr>
        <w:t>（8）所得税</w:t>
      </w:r>
    </w:p>
    <w:p w:rsidR="00CC38FA" w:rsidRDefault="00CC38FA">
      <w:pPr>
        <w:pStyle w:val="a3"/>
        <w:spacing w:before="0" w:beforeAutospacing="0" w:after="0" w:afterAutospacing="0"/>
        <w:ind w:firstLine="360"/>
        <w:divId w:val="867570692"/>
      </w:pPr>
      <w:r>
        <w:rPr>
          <w:rFonts w:hint="eastAsia"/>
          <w:sz w:val="18"/>
          <w:szCs w:val="18"/>
        </w:rPr>
        <w:lastRenderedPageBreak/>
        <w:t>本公司在正常的经营活动中，有部分交易其最终的税务处理和计算存在一定的不确定性。部分项目是否能够在税前列支需要税收主管机关的审批。如果这些税务事项的最终认定结果同最初估计的金额存在差异，则该差异将对其最终认定期间的当期所得税和递延所得税产生影响。</w:t>
      </w:r>
    </w:p>
    <w:p w:rsidR="007F3A90" w:rsidRDefault="00CC38FA">
      <w:pPr>
        <w:pStyle w:val="2"/>
        <w:spacing w:before="300" w:after="300" w:line="320" w:lineRule="exact"/>
        <w:rPr>
          <w:rFonts w:ascii="宋体" w:eastAsia="宋体" w:hAnsi="宋体" w:cs="宋体"/>
          <w:b/>
          <w:bCs/>
          <w:sz w:val="24"/>
          <w:szCs w:val="24"/>
        </w:rPr>
      </w:pPr>
      <w:bookmarkStart w:id="163" w:name="_Toc989052"/>
      <w:r>
        <w:rPr>
          <w:rFonts w:ascii="宋体" w:eastAsia="宋体" w:hAnsi="宋体" w:cs="宋体"/>
          <w:b/>
          <w:bCs/>
          <w:sz w:val="24"/>
          <w:szCs w:val="24"/>
        </w:rPr>
        <w:t>六、税项</w:t>
      </w:r>
      <w:bookmarkEnd w:id="163"/>
    </w:p>
    <w:p w:rsidR="007F3A90" w:rsidRDefault="00CC38FA">
      <w:pPr>
        <w:pStyle w:val="3"/>
        <w:spacing w:line="280" w:lineRule="exact"/>
        <w:jc w:val="left"/>
        <w:rPr>
          <w:rFonts w:ascii="宋体" w:hAnsi="宋体" w:cs="宋体"/>
          <w:b/>
          <w:bCs/>
        </w:rPr>
      </w:pPr>
      <w:bookmarkStart w:id="164" w:name="_Toc989053"/>
      <w:r>
        <w:rPr>
          <w:rFonts w:ascii="宋体" w:hAnsi="宋体" w:cs="宋体"/>
          <w:b/>
          <w:bCs/>
        </w:rPr>
        <w:t>1、主要税种及税率</w:t>
      </w:r>
      <w:bookmarkEnd w:id="164"/>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809"/>
        <w:gridCol w:w="4617"/>
        <w:gridCol w:w="3213"/>
      </w:tblGrid>
      <w:tr w:rsidR="007F3A90" w:rsidTr="00450763">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税种</w:t>
            </w:r>
          </w:p>
        </w:tc>
        <w:tc>
          <w:tcPr>
            <w:tcW w:w="461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计税依据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税率</w:t>
            </w:r>
          </w:p>
        </w:tc>
      </w:tr>
      <w:tr w:rsidR="007F3A90" w:rsidTr="00450763">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增值税</w:t>
            </w:r>
          </w:p>
        </w:tc>
        <w:tc>
          <w:tcPr>
            <w:tcW w:w="46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销售货物或提供应税劳务过程中产生的增值额、水费、资金利息收入、技术服务费收入、资产租赁收入</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13%、9%、6%、5%</w:t>
            </w:r>
          </w:p>
        </w:tc>
      </w:tr>
      <w:tr w:rsidR="007F3A90" w:rsidTr="00450763">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消费税</w:t>
            </w:r>
          </w:p>
        </w:tc>
        <w:tc>
          <w:tcPr>
            <w:tcW w:w="46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软件产品税负超过3%部分，即征即退</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3%</w:t>
            </w:r>
          </w:p>
        </w:tc>
      </w:tr>
      <w:tr w:rsidR="007F3A90" w:rsidTr="00450763">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46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应纳流转税额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7%</w:t>
            </w:r>
          </w:p>
        </w:tc>
      </w:tr>
      <w:tr w:rsidR="007F3A90" w:rsidTr="00450763">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企业所得税</w:t>
            </w:r>
          </w:p>
        </w:tc>
        <w:tc>
          <w:tcPr>
            <w:tcW w:w="46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应纳税所得额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见附表</w:t>
            </w:r>
          </w:p>
        </w:tc>
      </w:tr>
      <w:tr w:rsidR="007F3A90" w:rsidTr="00450763">
        <w:trPr>
          <w:trHeight w:val="240"/>
        </w:trPr>
        <w:tc>
          <w:tcPr>
            <w:tcW w:w="18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教育费附加</w:t>
            </w:r>
          </w:p>
        </w:tc>
        <w:tc>
          <w:tcPr>
            <w:tcW w:w="46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应纳税所得额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3%</w:t>
            </w:r>
          </w:p>
        </w:tc>
      </w:tr>
      <w:tr w:rsidR="007F3A90" w:rsidTr="00450763">
        <w:trPr>
          <w:trHeight w:val="240"/>
        </w:trPr>
        <w:tc>
          <w:tcPr>
            <w:tcW w:w="18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地方教育费附加</w:t>
            </w:r>
          </w:p>
        </w:tc>
        <w:tc>
          <w:tcPr>
            <w:tcW w:w="46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应纳税所得额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2%</w:t>
            </w:r>
          </w:p>
        </w:tc>
      </w:tr>
      <w:tr w:rsidR="007F3A90" w:rsidTr="00450763">
        <w:trPr>
          <w:trHeight w:val="240"/>
        </w:trPr>
        <w:tc>
          <w:tcPr>
            <w:tcW w:w="18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房产税</w:t>
            </w:r>
          </w:p>
        </w:tc>
        <w:tc>
          <w:tcPr>
            <w:tcW w:w="46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从价计征的，计税依据为房产原值一次减除30%后的余值</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1.2%</w:t>
            </w:r>
          </w:p>
        </w:tc>
      </w:tr>
      <w:tr w:rsidR="007F3A90" w:rsidTr="00450763">
        <w:trPr>
          <w:trHeight w:val="240"/>
        </w:trPr>
        <w:tc>
          <w:tcPr>
            <w:tcW w:w="18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房产税</w:t>
            </w:r>
          </w:p>
        </w:tc>
        <w:tc>
          <w:tcPr>
            <w:tcW w:w="46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从租计征的，计税依据为租金收入</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12%</w:t>
            </w:r>
          </w:p>
        </w:tc>
      </w:tr>
      <w:tr w:rsidR="007F3A90" w:rsidTr="00450763">
        <w:trPr>
          <w:trHeight w:val="240"/>
        </w:trPr>
        <w:tc>
          <w:tcPr>
            <w:tcW w:w="18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土地使用税</w:t>
            </w:r>
          </w:p>
        </w:tc>
        <w:tc>
          <w:tcPr>
            <w:tcW w:w="46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土地面积</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6-12元/平方米</w:t>
            </w:r>
          </w:p>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存在不同企业所得税税率纳税主体的，披露情况说明</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7F3A9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纳税主体名称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所得税税率</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软控股份有限公司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15%</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青岛软控机电工程有限公司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15%</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青岛华控能源科技有限公司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15%</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北京敬业机械设备有限公司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15%</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抚顺伊科思新材料有限公司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15%</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软控联合科技有限公司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15%</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青岛海威物联科技有限公司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15%</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青岛软控海科科技有限公司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15%</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浙江软控智能科技股份有限公司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15%</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益凯新材料有限公司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15%</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大连软控机电有限公司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25%</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青岛优享供应链有限公司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20%</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青岛软控计量检测技术有限公司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20%</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青岛朗控清洁能源有限公司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20%</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青岛睿诚新能源有限公司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20%</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青岛优尼斯通国际贸易有限公司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20%</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青岛智控零碳服务有限公司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20%</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青岛云纵智能科技有限公司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20%</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天津敬业园机械设备有限公司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20%</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北京敬业机电科技发展有限公司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20%</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深圳市众源达智能装备有限公司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20%</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青岛科捷自动化设备有限公司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25%</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软控（诸暨）智能装备有限公司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25%</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软控欧洲研发和技术中心有限责任公司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21%</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软控（美洲）有限公司及其子公司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28%-34%</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艾优信（山东）计量检测有限公司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20%</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青岛华控赛联新能源科技有限公司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20%</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盘锦伊科思新材料有限公司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25%</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浙江叁晟信息科技有限公司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25%</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HKZQ ENERGY AND TECHNOLOGY CO., LTD.</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20%</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lastRenderedPageBreak/>
              <w:t>菏泽智控能源发展有限公司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20%</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德州智控新能源发展有限公司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20%</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抚顺伊科思橡胶贸易有限公司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20%</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軟控（香港）有限公司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rsidP="00223F19">
            <w:pPr>
              <w:spacing w:line="240" w:lineRule="exact"/>
              <w:jc w:val="right"/>
              <w:rPr>
                <w:rFonts w:ascii="宋体" w:eastAsia="宋体" w:hAnsi="宋体" w:cs="宋体"/>
                <w:sz w:val="18"/>
                <w:szCs w:val="18"/>
              </w:rPr>
            </w:pPr>
            <w:r>
              <w:rPr>
                <w:rFonts w:ascii="宋体" w:eastAsia="宋体" w:hAnsi="宋体" w:cs="宋体"/>
                <w:sz w:val="18"/>
                <w:szCs w:val="18"/>
              </w:rPr>
              <w:t>16.5%</w:t>
            </w:r>
          </w:p>
        </w:tc>
      </w:tr>
    </w:tbl>
    <w:p w:rsidR="007F3A90" w:rsidRDefault="00CC38FA">
      <w:pPr>
        <w:pStyle w:val="3"/>
        <w:spacing w:line="280" w:lineRule="exact"/>
        <w:jc w:val="left"/>
        <w:rPr>
          <w:rFonts w:ascii="宋体" w:hAnsi="宋体" w:cs="宋体"/>
          <w:b/>
          <w:bCs/>
        </w:rPr>
      </w:pPr>
      <w:bookmarkStart w:id="165" w:name="_Toc989054"/>
      <w:r>
        <w:rPr>
          <w:rFonts w:ascii="宋体" w:hAnsi="宋体" w:cs="宋体"/>
          <w:b/>
          <w:bCs/>
        </w:rPr>
        <w:t>2、税收优惠</w:t>
      </w:r>
      <w:bookmarkEnd w:id="165"/>
    </w:p>
    <w:p w:rsidR="00CC38FA" w:rsidRDefault="00CC38FA">
      <w:pPr>
        <w:pStyle w:val="a3"/>
        <w:spacing w:before="0" w:beforeAutospacing="0" w:after="0" w:afterAutospacing="0"/>
        <w:ind w:firstLine="402"/>
        <w:jc w:val="both"/>
        <w:divId w:val="1552696077"/>
      </w:pPr>
      <w:r>
        <w:rPr>
          <w:rStyle w:val="a4"/>
          <w:rFonts w:hint="eastAsia"/>
          <w:sz w:val="18"/>
          <w:szCs w:val="18"/>
        </w:rPr>
        <w:t>（1）增值税</w:t>
      </w:r>
    </w:p>
    <w:p w:rsidR="00CC38FA" w:rsidRDefault="00CC38FA">
      <w:pPr>
        <w:pStyle w:val="a3"/>
        <w:spacing w:before="0" w:beforeAutospacing="0" w:after="0" w:afterAutospacing="0"/>
        <w:ind w:firstLine="360"/>
        <w:divId w:val="1552696077"/>
      </w:pPr>
      <w:r>
        <w:rPr>
          <w:rFonts w:hint="eastAsia"/>
          <w:sz w:val="18"/>
          <w:szCs w:val="18"/>
        </w:rPr>
        <w:t>①出口货物实行“免、抵、退”税政策，退税率分别为5%、9%、13%。</w:t>
      </w:r>
    </w:p>
    <w:p w:rsidR="00CC38FA" w:rsidRDefault="00CC38FA">
      <w:pPr>
        <w:pStyle w:val="a3"/>
        <w:spacing w:before="0" w:beforeAutospacing="0" w:after="0" w:afterAutospacing="0"/>
        <w:ind w:firstLine="360"/>
        <w:divId w:val="1552696077"/>
      </w:pPr>
      <w:r>
        <w:rPr>
          <w:rFonts w:hint="eastAsia"/>
          <w:sz w:val="18"/>
          <w:szCs w:val="18"/>
        </w:rPr>
        <w:t>②根据财政部、国家税务总局和海关总署财税[2000]25号文，自2000年6月24日起至2010年底以前，公司按软件企业享受软件产品收入增值税超过3%部分实行即征即退的优惠政策。</w:t>
      </w:r>
    </w:p>
    <w:p w:rsidR="00CC38FA" w:rsidRDefault="00CC38FA">
      <w:pPr>
        <w:pStyle w:val="a3"/>
        <w:spacing w:before="0" w:beforeAutospacing="0" w:after="0" w:afterAutospacing="0"/>
        <w:ind w:firstLine="360"/>
        <w:divId w:val="1552696077"/>
      </w:pPr>
      <w:r>
        <w:rPr>
          <w:rFonts w:hint="eastAsia"/>
          <w:sz w:val="18"/>
          <w:szCs w:val="18"/>
        </w:rPr>
        <w:t>根据国务院《国务院关于印发进一步鼓励软件产业和集成电路产业发展若干政策的通知》（国发2011（4）号）文件规定，继续实施软件增值税优惠政策。</w:t>
      </w:r>
    </w:p>
    <w:p w:rsidR="00CC38FA" w:rsidRDefault="00CC38FA">
      <w:pPr>
        <w:pStyle w:val="a3"/>
        <w:spacing w:before="0" w:beforeAutospacing="0" w:after="0" w:afterAutospacing="0"/>
        <w:ind w:firstLine="402"/>
        <w:jc w:val="both"/>
        <w:divId w:val="1552696077"/>
      </w:pPr>
      <w:r>
        <w:rPr>
          <w:rStyle w:val="a4"/>
          <w:rFonts w:hint="eastAsia"/>
          <w:sz w:val="18"/>
          <w:szCs w:val="18"/>
        </w:rPr>
        <w:t>（2）所得税</w:t>
      </w:r>
    </w:p>
    <w:p w:rsidR="00CC38FA" w:rsidRDefault="00CC38FA">
      <w:pPr>
        <w:pStyle w:val="a3"/>
        <w:spacing w:before="0" w:beforeAutospacing="0" w:after="0" w:afterAutospacing="0"/>
        <w:ind w:firstLine="360"/>
        <w:divId w:val="1552696077"/>
      </w:pPr>
      <w:r>
        <w:rPr>
          <w:rFonts w:hint="eastAsia"/>
          <w:sz w:val="18"/>
          <w:szCs w:val="18"/>
        </w:rPr>
        <w:t>①软控股份于2023年11月9日取得青岛市科学技术局、青岛市财政局、国家税务总局青岛市税务局颁发的编号为GR202337100619的《高新技术企业证书》，有效期为三年。根据《中华人民共和国企业所得税法》及高新技术企业税收优惠的相关规定，公司2023年-2025年按15%的税率缴纳企业所得税。</w:t>
      </w:r>
    </w:p>
    <w:p w:rsidR="00CC38FA" w:rsidRDefault="00CC38FA">
      <w:pPr>
        <w:pStyle w:val="a3"/>
        <w:spacing w:before="0" w:beforeAutospacing="0" w:after="0" w:afterAutospacing="0"/>
        <w:ind w:firstLine="360"/>
        <w:divId w:val="1552696077"/>
      </w:pPr>
      <w:r>
        <w:rPr>
          <w:rFonts w:hint="eastAsia"/>
          <w:sz w:val="18"/>
          <w:szCs w:val="18"/>
        </w:rPr>
        <w:t>②子公司青岛软控机电工程有限公司于2022年12月14日取得青岛市科学技术局、青岛市财政局、国家税务总局青岛市税务局颁发的编号为GR202237100073的 《高新技术企业证书》，有效期为三年。根据《中华人民共和国企业所得税法》及高新技术企业税收优惠的相关规定，该公司2022年-2024年按15%的税率缴纳企业所得税。</w:t>
      </w:r>
    </w:p>
    <w:p w:rsidR="00CC38FA" w:rsidRDefault="00CC38FA">
      <w:pPr>
        <w:pStyle w:val="a3"/>
        <w:spacing w:before="0" w:beforeAutospacing="0" w:after="0" w:afterAutospacing="0"/>
        <w:ind w:firstLine="360"/>
        <w:divId w:val="1552696077"/>
      </w:pPr>
      <w:r>
        <w:rPr>
          <w:rFonts w:hint="eastAsia"/>
          <w:sz w:val="18"/>
          <w:szCs w:val="18"/>
        </w:rPr>
        <w:t>③子公司青岛华控能源科技有限公司于2022年12月14日取得青岛市科学技术局、青岛市财政局、国家税务总局青岛市税务局颁发的编号为GR202237100704的 《高新技术企业证书》，有效期为三年。根据《中华人民共和国企业所得税法》及高新技术企业税收优惠的相关规定，该公司2022年-2024按15%的税率缴纳企业所得税。</w:t>
      </w:r>
    </w:p>
    <w:p w:rsidR="00CC38FA" w:rsidRDefault="00CC38FA">
      <w:pPr>
        <w:pStyle w:val="a3"/>
        <w:spacing w:before="0" w:beforeAutospacing="0" w:after="0" w:afterAutospacing="0"/>
        <w:ind w:firstLine="360"/>
        <w:divId w:val="1552696077"/>
      </w:pPr>
      <w:r>
        <w:rPr>
          <w:rFonts w:hint="eastAsia"/>
          <w:sz w:val="18"/>
          <w:szCs w:val="18"/>
        </w:rPr>
        <w:t>④子公司北京敬业机械设备有限公司于2023年11月30日取得北京市科学技术委员会、北京市财政局、国家税务总局北京市税务局颁发的编号为GR202311005319的 《高新技术企业证书》，有效期为三年。根据《中华人民共和国企业所得税法》及高新技术企业税收优惠的相关规定，该公司2023年-2025年按15%的税率缴纳企业所得税。</w:t>
      </w:r>
    </w:p>
    <w:p w:rsidR="00CC38FA" w:rsidRDefault="00CC38FA">
      <w:pPr>
        <w:pStyle w:val="a3"/>
        <w:spacing w:before="0" w:beforeAutospacing="0" w:after="0" w:afterAutospacing="0"/>
        <w:ind w:firstLine="360"/>
        <w:divId w:val="1552696077"/>
      </w:pPr>
      <w:r>
        <w:rPr>
          <w:rFonts w:hint="eastAsia"/>
          <w:sz w:val="18"/>
          <w:szCs w:val="18"/>
        </w:rPr>
        <w:t>⑤子公司抚顺伊科思新材料有限公司于2022年11月4日通过了高新技术企业认定复审，取得辽宁省科学技术厅、辽宁省财政厅、国家税务局辽宁省税务局联合颁发的编号为GR202221000170的《高新技术企业证书》，有效期为3年。根据《中华人民共和国企业所得税法》及高新技术企业税收优惠的相关规定，该公司2022年-2024年按15%的税率缴纳企业所得税。</w:t>
      </w:r>
    </w:p>
    <w:p w:rsidR="00CC38FA" w:rsidRDefault="00CC38FA">
      <w:pPr>
        <w:pStyle w:val="a3"/>
        <w:spacing w:before="0" w:beforeAutospacing="0" w:after="0" w:afterAutospacing="0"/>
        <w:ind w:firstLine="360"/>
        <w:divId w:val="1552696077"/>
      </w:pPr>
      <w:r>
        <w:rPr>
          <w:rFonts w:hint="eastAsia"/>
          <w:sz w:val="18"/>
          <w:szCs w:val="18"/>
        </w:rPr>
        <w:t>⑥子公司软控联合科技有限公司于2023年11月29日通过了高新技术企业认定，取得山东省科学技术厅、山东省财政厅、国家税务总局山东省税务局联合颁发的编号为GR202337003593的《高新技术企业证书》，有效期为3年。根据《中华人民共和国企业所得税法》及高新技术企业税收优惠的相关规定，该公司2023年-2025年按15%的税率缴纳企业所得税。</w:t>
      </w:r>
    </w:p>
    <w:p w:rsidR="00CC38FA" w:rsidRDefault="00CC38FA">
      <w:pPr>
        <w:pStyle w:val="a3"/>
        <w:spacing w:before="0" w:beforeAutospacing="0" w:after="0" w:afterAutospacing="0"/>
        <w:ind w:firstLine="360"/>
        <w:divId w:val="1552696077"/>
      </w:pPr>
      <w:r>
        <w:rPr>
          <w:rFonts w:hint="eastAsia"/>
          <w:sz w:val="18"/>
          <w:szCs w:val="18"/>
        </w:rPr>
        <w:t>⑦子公司青岛海威物联科技有限公司于2021年11月4日取得青岛市科学技术局、青岛市财政局、国家税务总局青岛市税务局颁发的编号为GR</w:t>
      </w:r>
      <w:bookmarkStart w:id="166" w:name="_Hlk107919231"/>
      <w:bookmarkEnd w:id="166"/>
      <w:r>
        <w:rPr>
          <w:rFonts w:hint="eastAsia"/>
          <w:sz w:val="18"/>
          <w:szCs w:val="18"/>
        </w:rPr>
        <w:t>202137100929的《高新技术企业证书》，有效期为三年。根据《中华人民共和国企业所得税法》及高新技术企业税收优惠的相关规定，公司2021年-2023年按15%的税率缴纳企业所得</w:t>
      </w:r>
      <w:r>
        <w:rPr>
          <w:rFonts w:hint="eastAsia"/>
          <w:color w:val="000000"/>
          <w:sz w:val="18"/>
          <w:szCs w:val="18"/>
        </w:rPr>
        <w:t>税，最新的高新技术企业证书正在办理中。</w:t>
      </w:r>
    </w:p>
    <w:p w:rsidR="00CC38FA" w:rsidRDefault="00CC38FA">
      <w:pPr>
        <w:pStyle w:val="a3"/>
        <w:spacing w:before="0" w:beforeAutospacing="0" w:after="0" w:afterAutospacing="0"/>
        <w:ind w:firstLine="360"/>
        <w:divId w:val="1552696077"/>
      </w:pPr>
      <w:r>
        <w:rPr>
          <w:rFonts w:hint="eastAsia"/>
          <w:color w:val="000000"/>
          <w:sz w:val="18"/>
          <w:szCs w:val="18"/>
        </w:rPr>
        <w:t>⑧子公司青岛软控海科科技有限公司于2022年12月14日取得青岛市科学技</w:t>
      </w:r>
      <w:r>
        <w:rPr>
          <w:rFonts w:hint="eastAsia"/>
          <w:sz w:val="18"/>
          <w:szCs w:val="18"/>
        </w:rPr>
        <w:t>术局、青岛市财政局、国家税务总局青岛市税务局颁发的编号为GR202237101503的《高新技术企业证书》，有效期为三年。根据《中华人民共和国企业所得税法》及高新技术企业税收优惠的相关规定，公司2022年-2024年按15%的税率缴纳企业所得税。</w:t>
      </w:r>
    </w:p>
    <w:p w:rsidR="00CC38FA" w:rsidRDefault="00CC38FA">
      <w:pPr>
        <w:pStyle w:val="a3"/>
        <w:spacing w:before="0" w:beforeAutospacing="0" w:after="0" w:afterAutospacing="0"/>
        <w:ind w:firstLine="360"/>
        <w:divId w:val="1552696077"/>
      </w:pPr>
      <w:r>
        <w:rPr>
          <w:rFonts w:hint="eastAsia"/>
          <w:sz w:val="18"/>
          <w:szCs w:val="18"/>
        </w:rPr>
        <w:t>⑨子公司浙江软控智能科技股份有限公司于2023年12月8日取得浙江省科学技术厅 、浙江省财政厅、国家税务总局浙江省税务局颁发的编号为GR202333001292的《高新技术企业证书》，有效期为三年。根据《中华人民共和国企业所得税法》及高新技术企业税收优惠的相关规定，公司2023年-2025年按15%的税率缴纳企业所得税。</w:t>
      </w:r>
    </w:p>
    <w:p w:rsidR="00CC38FA" w:rsidRDefault="00CC38FA">
      <w:pPr>
        <w:pStyle w:val="a3"/>
        <w:spacing w:before="0" w:beforeAutospacing="0" w:after="0" w:afterAutospacing="0"/>
        <w:ind w:firstLine="360"/>
        <w:divId w:val="1552696077"/>
      </w:pPr>
      <w:r>
        <w:rPr>
          <w:rFonts w:hint="eastAsia"/>
          <w:sz w:val="18"/>
          <w:szCs w:val="18"/>
        </w:rPr>
        <w:lastRenderedPageBreak/>
        <w:t>⑩子公司益凯新材料有限公司于2023年11月29日取得青岛市科学技术局、青岛市财政局、国家税务总局青岛市税务局颁发的编号为GR202337101826的《高新技术企业证书》，有效期为三年。根据《中华人民共和国企业所得税法》及高新技术企业税收优惠的相关规定，公司2023年-2025年按15%的税率缴纳企业所得税。</w:t>
      </w:r>
    </w:p>
    <w:p w:rsidR="00CC38FA" w:rsidRDefault="00CC38FA">
      <w:pPr>
        <w:pStyle w:val="a3"/>
        <w:spacing w:before="0" w:beforeAutospacing="0" w:after="0" w:afterAutospacing="0"/>
        <w:ind w:firstLine="360"/>
        <w:divId w:val="1552696077"/>
      </w:pPr>
      <w:r>
        <w:rPr>
          <w:rFonts w:ascii="Cambria Math" w:hAnsi="Cambria Math"/>
          <w:sz w:val="18"/>
          <w:szCs w:val="18"/>
        </w:rPr>
        <w:t>⑪</w:t>
      </w:r>
      <w:r>
        <w:rPr>
          <w:rFonts w:hint="eastAsia"/>
          <w:sz w:val="18"/>
          <w:szCs w:val="18"/>
        </w:rPr>
        <w:t>根据财政部、税务总局《关于进一步支持小微企业和个体工商户发展有关税费政策的公告》2023年第12号中规定，本集团符合小微企业标准的下属子公司年应纳税所得额减按25%计入应纳税所得额，按20%的税率缴纳企业所得税。</w:t>
      </w:r>
    </w:p>
    <w:p w:rsidR="007F3A90" w:rsidRDefault="00CC38FA">
      <w:pPr>
        <w:pStyle w:val="2"/>
        <w:spacing w:before="300" w:after="300" w:line="320" w:lineRule="exact"/>
        <w:rPr>
          <w:rFonts w:ascii="宋体" w:eastAsia="宋体" w:hAnsi="宋体" w:cs="宋体"/>
          <w:b/>
          <w:bCs/>
          <w:sz w:val="24"/>
          <w:szCs w:val="24"/>
        </w:rPr>
      </w:pPr>
      <w:bookmarkStart w:id="167" w:name="_Toc989055"/>
      <w:r>
        <w:rPr>
          <w:rFonts w:ascii="宋体" w:eastAsia="宋体" w:hAnsi="宋体" w:cs="宋体"/>
          <w:b/>
          <w:bCs/>
          <w:sz w:val="24"/>
          <w:szCs w:val="24"/>
        </w:rPr>
        <w:t>七、合并财务报表项目注释</w:t>
      </w:r>
      <w:bookmarkEnd w:id="167"/>
    </w:p>
    <w:p w:rsidR="007F3A90" w:rsidRDefault="00CC38FA">
      <w:pPr>
        <w:pStyle w:val="3"/>
        <w:spacing w:line="280" w:lineRule="exact"/>
        <w:jc w:val="left"/>
        <w:rPr>
          <w:rFonts w:ascii="宋体" w:hAnsi="宋体" w:cs="宋体"/>
          <w:b/>
          <w:bCs/>
        </w:rPr>
      </w:pPr>
      <w:bookmarkStart w:id="168" w:name="_Toc989056"/>
      <w:r>
        <w:rPr>
          <w:rFonts w:ascii="宋体" w:hAnsi="宋体" w:cs="宋体"/>
          <w:b/>
          <w:bCs/>
        </w:rPr>
        <w:t>1、货币资金</w:t>
      </w:r>
      <w:bookmarkEnd w:id="168"/>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库存现金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832,727.79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751,635.30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银行存款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1,071,149,146.96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1,653,016,136.48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1,710,007,141.46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1,301,880,100.77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2,781,989,016.21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2,955,647,872.55</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其中：存放在境外的款项总额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18,203,338.92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19,525,515.92</w:t>
            </w:r>
          </w:p>
        </w:tc>
      </w:tr>
    </w:tbl>
    <w:p w:rsidR="00CC38FA" w:rsidRDefault="00CC38FA">
      <w:pPr>
        <w:pStyle w:val="a3"/>
        <w:spacing w:before="0" w:beforeAutospacing="0" w:after="0" w:afterAutospacing="0" w:line="400" w:lineRule="atLeast"/>
        <w:ind w:firstLine="400"/>
        <w:jc w:val="both"/>
        <w:divId w:val="53433833"/>
      </w:pPr>
      <w:r>
        <w:rPr>
          <w:rFonts w:hint="eastAsia"/>
          <w:sz w:val="18"/>
          <w:szCs w:val="18"/>
        </w:rPr>
        <w:t>其中因抵押、质押或冻结等对使用有限制，以及放在境外且资金汇回受到限制的货币资金明细如下：</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229"/>
        <w:gridCol w:w="3260"/>
        <w:gridCol w:w="3118"/>
      </w:tblGrid>
      <w:tr w:rsidR="00CC38FA" w:rsidTr="00831F13">
        <w:trPr>
          <w:divId w:val="53433833"/>
          <w:trHeight w:val="356"/>
        </w:trPr>
        <w:tc>
          <w:tcPr>
            <w:tcW w:w="1680" w:type="pct"/>
            <w:shd w:val="clear" w:color="auto" w:fill="D3D3D3"/>
            <w:noWrap/>
            <w:tcMar>
              <w:top w:w="0" w:type="dxa"/>
              <w:left w:w="108" w:type="dxa"/>
              <w:bottom w:w="0" w:type="dxa"/>
              <w:right w:w="108" w:type="dxa"/>
            </w:tcMar>
            <w:vAlign w:val="center"/>
            <w:hideMark/>
          </w:tcPr>
          <w:p w:rsidR="00CC38FA" w:rsidRPr="00223F19" w:rsidRDefault="00CC38FA" w:rsidP="00223F19">
            <w:pPr>
              <w:spacing w:before="40" w:after="40" w:line="240" w:lineRule="exact"/>
              <w:jc w:val="center"/>
              <w:rPr>
                <w:rFonts w:ascii="宋体" w:eastAsia="宋体" w:hAnsi="宋体" w:cs="宋体"/>
                <w:sz w:val="18"/>
                <w:szCs w:val="18"/>
              </w:rPr>
            </w:pPr>
            <w:r w:rsidRPr="00223F19">
              <w:rPr>
                <w:rFonts w:ascii="宋体" w:eastAsia="宋体" w:hAnsi="宋体" w:cs="宋体" w:hint="eastAsia"/>
                <w:sz w:val="18"/>
                <w:szCs w:val="18"/>
              </w:rPr>
              <w:t>项目</w:t>
            </w:r>
          </w:p>
        </w:tc>
        <w:tc>
          <w:tcPr>
            <w:tcW w:w="1696" w:type="pct"/>
            <w:shd w:val="clear" w:color="auto" w:fill="D3D3D3"/>
            <w:noWrap/>
            <w:tcMar>
              <w:top w:w="0" w:type="dxa"/>
              <w:left w:w="108" w:type="dxa"/>
              <w:bottom w:w="0" w:type="dxa"/>
              <w:right w:w="108" w:type="dxa"/>
            </w:tcMar>
            <w:vAlign w:val="center"/>
            <w:hideMark/>
          </w:tcPr>
          <w:p w:rsidR="00CC38FA" w:rsidRDefault="00CC38FA">
            <w:pPr>
              <w:pStyle w:val="a3"/>
              <w:spacing w:before="40" w:beforeAutospacing="0" w:after="40" w:afterAutospacing="0" w:line="240" w:lineRule="atLeast"/>
              <w:jc w:val="center"/>
              <w:rPr>
                <w:rFonts w:ascii="等线" w:eastAsia="等线" w:hAnsi="等线" w:cs="Times New Roman"/>
                <w:sz w:val="21"/>
                <w:szCs w:val="21"/>
              </w:rPr>
            </w:pPr>
            <w:r>
              <w:rPr>
                <w:rFonts w:cs="Times New Roman" w:hint="eastAsia"/>
                <w:sz w:val="18"/>
                <w:szCs w:val="18"/>
              </w:rPr>
              <w:t>期末余额</w:t>
            </w:r>
          </w:p>
        </w:tc>
        <w:tc>
          <w:tcPr>
            <w:tcW w:w="1623" w:type="pct"/>
            <w:shd w:val="clear" w:color="auto" w:fill="D3D3D3"/>
            <w:noWrap/>
            <w:tcMar>
              <w:top w:w="0" w:type="dxa"/>
              <w:left w:w="108" w:type="dxa"/>
              <w:bottom w:w="0" w:type="dxa"/>
              <w:right w:w="108" w:type="dxa"/>
            </w:tcMar>
            <w:vAlign w:val="center"/>
            <w:hideMark/>
          </w:tcPr>
          <w:p w:rsidR="00CC38FA" w:rsidRDefault="00CC38FA">
            <w:pPr>
              <w:pStyle w:val="a3"/>
              <w:spacing w:before="40" w:beforeAutospacing="0" w:after="40" w:afterAutospacing="0" w:line="240" w:lineRule="atLeast"/>
              <w:jc w:val="center"/>
              <w:rPr>
                <w:rFonts w:ascii="等线" w:eastAsia="等线" w:hAnsi="等线" w:cs="Times New Roman"/>
                <w:sz w:val="21"/>
                <w:szCs w:val="21"/>
              </w:rPr>
            </w:pPr>
            <w:r>
              <w:rPr>
                <w:rFonts w:cs="Times New Roman" w:hint="eastAsia"/>
                <w:sz w:val="18"/>
                <w:szCs w:val="18"/>
              </w:rPr>
              <w:t>上年年末余额</w:t>
            </w:r>
          </w:p>
        </w:tc>
      </w:tr>
      <w:tr w:rsidR="00CC38FA" w:rsidTr="00831F13">
        <w:trPr>
          <w:divId w:val="53433833"/>
          <w:trHeight w:val="360"/>
        </w:trPr>
        <w:tc>
          <w:tcPr>
            <w:tcW w:w="1680" w:type="pct"/>
            <w:shd w:val="clear" w:color="auto" w:fill="D3D3D3"/>
            <w:noWrap/>
            <w:tcMar>
              <w:top w:w="0" w:type="dxa"/>
              <w:left w:w="108" w:type="dxa"/>
              <w:bottom w:w="0" w:type="dxa"/>
              <w:right w:w="108" w:type="dxa"/>
            </w:tcMar>
            <w:vAlign w:val="center"/>
            <w:hideMark/>
          </w:tcPr>
          <w:p w:rsidR="00CC38FA" w:rsidRPr="00223F19" w:rsidRDefault="00CC38FA" w:rsidP="00223F19">
            <w:pPr>
              <w:spacing w:before="40" w:after="40" w:line="240" w:lineRule="exact"/>
              <w:rPr>
                <w:rFonts w:ascii="宋体" w:eastAsia="宋体" w:hAnsi="宋体" w:cs="宋体"/>
                <w:sz w:val="18"/>
                <w:szCs w:val="18"/>
              </w:rPr>
            </w:pPr>
            <w:r w:rsidRPr="00223F19">
              <w:rPr>
                <w:rFonts w:ascii="宋体" w:eastAsia="宋体" w:hAnsi="宋体" w:cs="宋体" w:hint="eastAsia"/>
                <w:sz w:val="18"/>
                <w:szCs w:val="18"/>
              </w:rPr>
              <w:t>银行承兑汇票保证金</w:t>
            </w:r>
          </w:p>
        </w:tc>
        <w:tc>
          <w:tcPr>
            <w:tcW w:w="1696" w:type="pct"/>
            <w:noWrap/>
            <w:tcMar>
              <w:top w:w="0" w:type="dxa"/>
              <w:left w:w="108" w:type="dxa"/>
              <w:bottom w:w="0" w:type="dxa"/>
              <w:right w:w="108" w:type="dxa"/>
            </w:tcMar>
            <w:vAlign w:val="center"/>
            <w:hideMark/>
          </w:tcPr>
          <w:p w:rsidR="00CC38FA" w:rsidRPr="00223F19" w:rsidRDefault="00CC38FA" w:rsidP="00223F19">
            <w:pPr>
              <w:spacing w:line="240" w:lineRule="exact"/>
              <w:jc w:val="right"/>
              <w:rPr>
                <w:rFonts w:ascii="宋体" w:eastAsia="宋体" w:hAnsi="宋体" w:cs="宋体"/>
                <w:sz w:val="18"/>
                <w:szCs w:val="18"/>
              </w:rPr>
            </w:pPr>
            <w:r w:rsidRPr="00223F19">
              <w:rPr>
                <w:rFonts w:ascii="宋体" w:eastAsia="宋体" w:hAnsi="宋体" w:cs="宋体"/>
                <w:sz w:val="18"/>
                <w:szCs w:val="18"/>
              </w:rPr>
              <w:t xml:space="preserve">         343,915,135.23 </w:t>
            </w:r>
          </w:p>
        </w:tc>
        <w:tc>
          <w:tcPr>
            <w:tcW w:w="1623" w:type="pct"/>
            <w:noWrap/>
            <w:tcMar>
              <w:top w:w="0" w:type="dxa"/>
              <w:left w:w="108" w:type="dxa"/>
              <w:bottom w:w="0" w:type="dxa"/>
              <w:right w:w="108" w:type="dxa"/>
            </w:tcMar>
            <w:vAlign w:val="center"/>
            <w:hideMark/>
          </w:tcPr>
          <w:p w:rsidR="00CC38FA" w:rsidRPr="00223F19" w:rsidRDefault="00CC38FA" w:rsidP="00223F19">
            <w:pPr>
              <w:spacing w:line="240" w:lineRule="exact"/>
              <w:jc w:val="right"/>
              <w:rPr>
                <w:rFonts w:ascii="宋体" w:eastAsia="宋体" w:hAnsi="宋体" w:cs="宋体"/>
                <w:sz w:val="18"/>
                <w:szCs w:val="18"/>
              </w:rPr>
            </w:pPr>
            <w:r w:rsidRPr="00223F19">
              <w:rPr>
                <w:rFonts w:ascii="宋体" w:eastAsia="宋体" w:hAnsi="宋体" w:cs="宋体"/>
                <w:sz w:val="18"/>
                <w:szCs w:val="18"/>
              </w:rPr>
              <w:t>230,930,781.72</w:t>
            </w:r>
          </w:p>
        </w:tc>
      </w:tr>
      <w:tr w:rsidR="00CC38FA" w:rsidTr="00831F13">
        <w:trPr>
          <w:divId w:val="53433833"/>
          <w:trHeight w:val="360"/>
        </w:trPr>
        <w:tc>
          <w:tcPr>
            <w:tcW w:w="1680" w:type="pct"/>
            <w:shd w:val="clear" w:color="auto" w:fill="D3D3D3"/>
            <w:noWrap/>
            <w:tcMar>
              <w:top w:w="0" w:type="dxa"/>
              <w:left w:w="108" w:type="dxa"/>
              <w:bottom w:w="0" w:type="dxa"/>
              <w:right w:w="108" w:type="dxa"/>
            </w:tcMar>
            <w:vAlign w:val="center"/>
            <w:hideMark/>
          </w:tcPr>
          <w:p w:rsidR="00CC38FA" w:rsidRPr="00223F19" w:rsidRDefault="00CC38FA" w:rsidP="00223F19">
            <w:pPr>
              <w:spacing w:before="40" w:after="40" w:line="240" w:lineRule="exact"/>
              <w:rPr>
                <w:rFonts w:ascii="宋体" w:eastAsia="宋体" w:hAnsi="宋体" w:cs="宋体"/>
                <w:sz w:val="18"/>
                <w:szCs w:val="18"/>
              </w:rPr>
            </w:pPr>
            <w:r w:rsidRPr="00223F19">
              <w:rPr>
                <w:rFonts w:ascii="宋体" w:eastAsia="宋体" w:hAnsi="宋体" w:cs="宋体" w:hint="eastAsia"/>
                <w:sz w:val="18"/>
                <w:szCs w:val="18"/>
              </w:rPr>
              <w:t>信用证保证金</w:t>
            </w:r>
          </w:p>
        </w:tc>
        <w:tc>
          <w:tcPr>
            <w:tcW w:w="1696" w:type="pct"/>
            <w:noWrap/>
            <w:tcMar>
              <w:top w:w="0" w:type="dxa"/>
              <w:left w:w="108" w:type="dxa"/>
              <w:bottom w:w="0" w:type="dxa"/>
              <w:right w:w="108" w:type="dxa"/>
            </w:tcMar>
            <w:vAlign w:val="center"/>
            <w:hideMark/>
          </w:tcPr>
          <w:p w:rsidR="00CC38FA" w:rsidRPr="00223F19" w:rsidRDefault="00CC38FA" w:rsidP="00223F19">
            <w:pPr>
              <w:spacing w:line="240" w:lineRule="exact"/>
              <w:jc w:val="right"/>
              <w:rPr>
                <w:rFonts w:ascii="宋体" w:eastAsia="宋体" w:hAnsi="宋体" w:cs="宋体"/>
                <w:sz w:val="18"/>
                <w:szCs w:val="18"/>
              </w:rPr>
            </w:pPr>
            <w:r w:rsidRPr="00223F19">
              <w:rPr>
                <w:rFonts w:ascii="宋体" w:eastAsia="宋体" w:hAnsi="宋体" w:cs="宋体"/>
                <w:sz w:val="18"/>
                <w:szCs w:val="18"/>
              </w:rPr>
              <w:t xml:space="preserve">         13,041,395.97 </w:t>
            </w:r>
          </w:p>
        </w:tc>
        <w:tc>
          <w:tcPr>
            <w:tcW w:w="1623" w:type="pct"/>
            <w:noWrap/>
            <w:tcMar>
              <w:top w:w="0" w:type="dxa"/>
              <w:left w:w="108" w:type="dxa"/>
              <w:bottom w:w="0" w:type="dxa"/>
              <w:right w:w="108" w:type="dxa"/>
            </w:tcMar>
            <w:vAlign w:val="center"/>
            <w:hideMark/>
          </w:tcPr>
          <w:p w:rsidR="00CC38FA" w:rsidRPr="00223F19" w:rsidRDefault="00CC38FA" w:rsidP="00223F19">
            <w:pPr>
              <w:spacing w:line="240" w:lineRule="exact"/>
              <w:jc w:val="right"/>
              <w:rPr>
                <w:rFonts w:ascii="宋体" w:eastAsia="宋体" w:hAnsi="宋体" w:cs="宋体"/>
                <w:sz w:val="18"/>
                <w:szCs w:val="18"/>
              </w:rPr>
            </w:pPr>
            <w:r w:rsidRPr="00223F19">
              <w:rPr>
                <w:rFonts w:ascii="宋体" w:eastAsia="宋体" w:hAnsi="宋体" w:cs="宋体"/>
                <w:sz w:val="18"/>
                <w:szCs w:val="18"/>
              </w:rPr>
              <w:t>24,314,875.49</w:t>
            </w:r>
          </w:p>
        </w:tc>
      </w:tr>
      <w:tr w:rsidR="00CC38FA" w:rsidTr="00831F13">
        <w:trPr>
          <w:divId w:val="53433833"/>
          <w:trHeight w:val="360"/>
        </w:trPr>
        <w:tc>
          <w:tcPr>
            <w:tcW w:w="1680" w:type="pct"/>
            <w:shd w:val="clear" w:color="auto" w:fill="D3D3D3"/>
            <w:noWrap/>
            <w:tcMar>
              <w:top w:w="0" w:type="dxa"/>
              <w:left w:w="108" w:type="dxa"/>
              <w:bottom w:w="0" w:type="dxa"/>
              <w:right w:w="108" w:type="dxa"/>
            </w:tcMar>
            <w:vAlign w:val="center"/>
            <w:hideMark/>
          </w:tcPr>
          <w:p w:rsidR="00CC38FA" w:rsidRPr="00223F19" w:rsidRDefault="00CC38FA" w:rsidP="00223F19">
            <w:pPr>
              <w:spacing w:before="40" w:after="40" w:line="240" w:lineRule="exact"/>
              <w:rPr>
                <w:rFonts w:ascii="宋体" w:eastAsia="宋体" w:hAnsi="宋体" w:cs="宋体"/>
                <w:sz w:val="18"/>
                <w:szCs w:val="18"/>
              </w:rPr>
            </w:pPr>
            <w:r w:rsidRPr="00223F19">
              <w:rPr>
                <w:rFonts w:ascii="宋体" w:eastAsia="宋体" w:hAnsi="宋体" w:cs="宋体" w:hint="eastAsia"/>
                <w:sz w:val="18"/>
                <w:szCs w:val="18"/>
              </w:rPr>
              <w:t>其他保证金</w:t>
            </w:r>
          </w:p>
        </w:tc>
        <w:tc>
          <w:tcPr>
            <w:tcW w:w="1696" w:type="pct"/>
            <w:noWrap/>
            <w:tcMar>
              <w:top w:w="0" w:type="dxa"/>
              <w:left w:w="108" w:type="dxa"/>
              <w:bottom w:w="0" w:type="dxa"/>
              <w:right w:w="108" w:type="dxa"/>
            </w:tcMar>
            <w:vAlign w:val="center"/>
            <w:hideMark/>
          </w:tcPr>
          <w:p w:rsidR="00CC38FA" w:rsidRPr="00223F19" w:rsidRDefault="00223F19" w:rsidP="00223F19">
            <w:pPr>
              <w:spacing w:line="240" w:lineRule="exact"/>
              <w:jc w:val="right"/>
              <w:rPr>
                <w:rFonts w:ascii="宋体" w:eastAsia="宋体" w:hAnsi="宋体" w:cs="宋体"/>
                <w:sz w:val="18"/>
                <w:szCs w:val="18"/>
              </w:rPr>
            </w:pPr>
            <w:r>
              <w:rPr>
                <w:rFonts w:ascii="宋体" w:eastAsia="宋体" w:hAnsi="宋体" w:cs="宋体"/>
                <w:sz w:val="18"/>
                <w:szCs w:val="18"/>
              </w:rPr>
              <w:t xml:space="preserve">   </w:t>
            </w:r>
            <w:r w:rsidR="00CC38FA" w:rsidRPr="00223F19">
              <w:rPr>
                <w:rFonts w:ascii="宋体" w:eastAsia="宋体" w:hAnsi="宋体" w:cs="宋体"/>
                <w:sz w:val="18"/>
                <w:szCs w:val="18"/>
              </w:rPr>
              <w:t>1,347,773,443.36</w:t>
            </w:r>
          </w:p>
        </w:tc>
        <w:tc>
          <w:tcPr>
            <w:tcW w:w="1623" w:type="pct"/>
            <w:noWrap/>
            <w:tcMar>
              <w:top w:w="0" w:type="dxa"/>
              <w:left w:w="108" w:type="dxa"/>
              <w:bottom w:w="0" w:type="dxa"/>
              <w:right w:w="108" w:type="dxa"/>
            </w:tcMar>
            <w:vAlign w:val="center"/>
            <w:hideMark/>
          </w:tcPr>
          <w:p w:rsidR="00CC38FA" w:rsidRPr="00223F19" w:rsidRDefault="00CC38FA" w:rsidP="00223F19">
            <w:pPr>
              <w:spacing w:line="240" w:lineRule="exact"/>
              <w:jc w:val="right"/>
              <w:rPr>
                <w:rFonts w:ascii="宋体" w:eastAsia="宋体" w:hAnsi="宋体" w:cs="宋体"/>
                <w:sz w:val="18"/>
                <w:szCs w:val="18"/>
              </w:rPr>
            </w:pPr>
            <w:r w:rsidRPr="00223F19">
              <w:rPr>
                <w:rFonts w:ascii="宋体" w:eastAsia="宋体" w:hAnsi="宋体" w:cs="宋体"/>
                <w:sz w:val="18"/>
                <w:szCs w:val="18"/>
              </w:rPr>
              <w:t>1,046,105,679.78</w:t>
            </w:r>
          </w:p>
        </w:tc>
      </w:tr>
      <w:tr w:rsidR="00CC38FA" w:rsidTr="00831F13">
        <w:trPr>
          <w:divId w:val="53433833"/>
          <w:trHeight w:val="360"/>
        </w:trPr>
        <w:tc>
          <w:tcPr>
            <w:tcW w:w="1680" w:type="pct"/>
            <w:shd w:val="clear" w:color="auto" w:fill="D3D3D3"/>
            <w:noWrap/>
            <w:tcMar>
              <w:top w:w="0" w:type="dxa"/>
              <w:left w:w="108" w:type="dxa"/>
              <w:bottom w:w="0" w:type="dxa"/>
              <w:right w:w="108" w:type="dxa"/>
            </w:tcMar>
            <w:vAlign w:val="center"/>
            <w:hideMark/>
          </w:tcPr>
          <w:p w:rsidR="00CC38FA" w:rsidRPr="00223F19" w:rsidRDefault="00CC38FA" w:rsidP="00223F19">
            <w:pPr>
              <w:spacing w:before="40" w:after="40" w:line="240" w:lineRule="exact"/>
              <w:rPr>
                <w:rFonts w:ascii="宋体" w:eastAsia="宋体" w:hAnsi="宋体" w:cs="宋体"/>
                <w:sz w:val="18"/>
                <w:szCs w:val="18"/>
              </w:rPr>
            </w:pPr>
            <w:r w:rsidRPr="00223F19">
              <w:rPr>
                <w:rFonts w:ascii="宋体" w:eastAsia="宋体" w:hAnsi="宋体" w:cs="宋体" w:hint="eastAsia"/>
                <w:sz w:val="18"/>
                <w:szCs w:val="18"/>
              </w:rPr>
              <w:t>合计</w:t>
            </w:r>
          </w:p>
        </w:tc>
        <w:tc>
          <w:tcPr>
            <w:tcW w:w="1696" w:type="pct"/>
            <w:noWrap/>
            <w:tcMar>
              <w:top w:w="0" w:type="dxa"/>
              <w:left w:w="108" w:type="dxa"/>
              <w:bottom w:w="0" w:type="dxa"/>
              <w:right w:w="108" w:type="dxa"/>
            </w:tcMar>
            <w:vAlign w:val="center"/>
            <w:hideMark/>
          </w:tcPr>
          <w:p w:rsidR="00CC38FA" w:rsidRPr="00223F19" w:rsidRDefault="00CC38FA" w:rsidP="00223F19">
            <w:pPr>
              <w:spacing w:line="240" w:lineRule="exact"/>
              <w:jc w:val="right"/>
              <w:rPr>
                <w:rFonts w:ascii="宋体" w:eastAsia="宋体" w:hAnsi="宋体" w:cs="宋体"/>
                <w:sz w:val="18"/>
                <w:szCs w:val="18"/>
              </w:rPr>
            </w:pPr>
            <w:r w:rsidRPr="00223F19">
              <w:rPr>
                <w:rFonts w:ascii="宋体" w:eastAsia="宋体" w:hAnsi="宋体" w:cs="宋体"/>
                <w:sz w:val="18"/>
                <w:szCs w:val="18"/>
              </w:rPr>
              <w:t xml:space="preserve">1,704,729,974.56 </w:t>
            </w:r>
          </w:p>
        </w:tc>
        <w:tc>
          <w:tcPr>
            <w:tcW w:w="1623" w:type="pct"/>
            <w:noWrap/>
            <w:tcMar>
              <w:top w:w="0" w:type="dxa"/>
              <w:left w:w="108" w:type="dxa"/>
              <w:bottom w:w="0" w:type="dxa"/>
              <w:right w:w="108" w:type="dxa"/>
            </w:tcMar>
            <w:vAlign w:val="center"/>
            <w:hideMark/>
          </w:tcPr>
          <w:p w:rsidR="00CC38FA" w:rsidRPr="00223F19" w:rsidRDefault="00CC38FA" w:rsidP="00223F19">
            <w:pPr>
              <w:spacing w:line="240" w:lineRule="exact"/>
              <w:jc w:val="right"/>
              <w:rPr>
                <w:rFonts w:ascii="宋体" w:eastAsia="宋体" w:hAnsi="宋体" w:cs="宋体"/>
                <w:sz w:val="18"/>
                <w:szCs w:val="18"/>
              </w:rPr>
            </w:pPr>
            <w:r w:rsidRPr="00223F19">
              <w:rPr>
                <w:rFonts w:ascii="宋体" w:eastAsia="宋体" w:hAnsi="宋体" w:cs="宋体"/>
                <w:sz w:val="18"/>
                <w:szCs w:val="18"/>
              </w:rPr>
              <w:t>1,301,351,336.99</w:t>
            </w:r>
          </w:p>
        </w:tc>
      </w:tr>
    </w:tbl>
    <w:p w:rsidR="007F3A90" w:rsidRDefault="00CC38FA">
      <w:pPr>
        <w:pStyle w:val="3"/>
        <w:spacing w:line="280" w:lineRule="exact"/>
        <w:jc w:val="left"/>
        <w:rPr>
          <w:rFonts w:ascii="宋体" w:hAnsi="宋体" w:cs="宋体"/>
          <w:b/>
          <w:bCs/>
        </w:rPr>
      </w:pPr>
      <w:bookmarkStart w:id="169" w:name="_Toc989057"/>
      <w:r>
        <w:rPr>
          <w:rFonts w:ascii="宋体" w:hAnsi="宋体" w:cs="宋体"/>
          <w:b/>
          <w:bCs/>
        </w:rPr>
        <w:t>2、交易性金融资产</w:t>
      </w:r>
      <w:bookmarkEnd w:id="169"/>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1,396,034,804.90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650,001,001.00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银行理财产品</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1,396,034,804.90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650,001,001.00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1,396,034,804.90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650,001,001.00</w:t>
            </w:r>
          </w:p>
        </w:tc>
      </w:tr>
    </w:tbl>
    <w:p w:rsidR="007F3A90" w:rsidRDefault="00CC38FA">
      <w:pPr>
        <w:pStyle w:val="3"/>
        <w:spacing w:line="280" w:lineRule="exact"/>
        <w:jc w:val="left"/>
        <w:rPr>
          <w:rFonts w:ascii="宋体" w:hAnsi="宋体" w:cs="宋体"/>
          <w:b/>
          <w:bCs/>
        </w:rPr>
      </w:pPr>
      <w:bookmarkStart w:id="170" w:name="_Toc989058"/>
      <w:r>
        <w:rPr>
          <w:rFonts w:ascii="宋体" w:hAnsi="宋体" w:cs="宋体"/>
          <w:b/>
          <w:bCs/>
        </w:rPr>
        <w:t>3、应收票据</w:t>
      </w:r>
      <w:bookmarkEnd w:id="170"/>
    </w:p>
    <w:p w:rsidR="007F3A90" w:rsidRDefault="00CC38FA">
      <w:pPr>
        <w:keepNext/>
        <w:keepLines/>
        <w:spacing w:before="300" w:after="300" w:line="280" w:lineRule="exact"/>
        <w:outlineLvl w:val="3"/>
        <w:rPr>
          <w:rFonts w:ascii="宋体" w:eastAsia="宋体" w:hAnsi="宋体" w:cs="宋体"/>
          <w:b/>
          <w:bCs/>
          <w:szCs w:val="21"/>
        </w:rPr>
      </w:pPr>
      <w:bookmarkStart w:id="171" w:name="_Toc989059"/>
      <w:r>
        <w:rPr>
          <w:rFonts w:ascii="宋体" w:eastAsia="宋体" w:hAnsi="宋体" w:cs="宋体"/>
          <w:b/>
          <w:bCs/>
          <w:szCs w:val="21"/>
        </w:rPr>
        <w:t>（1） 应收票据分类列示</w:t>
      </w:r>
      <w:bookmarkEnd w:id="171"/>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844,694,181.22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865,932,946.75</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商业承兑票据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1,022,362.00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3,454,300.00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lastRenderedPageBreak/>
              <w:t>减：坏账准备</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-12,024,396.34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-11,696,450.16</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833,692,146.88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857,690,796.59</w:t>
            </w:r>
          </w:p>
        </w:tc>
      </w:tr>
    </w:tbl>
    <w:p w:rsidR="007F3A90" w:rsidRDefault="00CC38FA">
      <w:pPr>
        <w:keepNext/>
        <w:keepLines/>
        <w:spacing w:before="300" w:after="300" w:line="280" w:lineRule="exact"/>
        <w:outlineLvl w:val="3"/>
        <w:rPr>
          <w:rFonts w:ascii="宋体" w:eastAsia="宋体" w:hAnsi="宋体" w:cs="宋体"/>
          <w:b/>
          <w:bCs/>
          <w:szCs w:val="21"/>
        </w:rPr>
      </w:pPr>
      <w:bookmarkStart w:id="172" w:name="_Toc989060"/>
      <w:r>
        <w:rPr>
          <w:rFonts w:ascii="宋体" w:eastAsia="宋体" w:hAnsi="宋体" w:cs="宋体"/>
          <w:b/>
          <w:bCs/>
          <w:szCs w:val="21"/>
        </w:rPr>
        <w:t>（2） 按坏账计提方法分类披露</w:t>
      </w:r>
      <w:bookmarkEnd w:id="172"/>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如是按照预期信用损失一般模型计提应收票据坏账准备：</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keepNext/>
        <w:keepLines/>
        <w:spacing w:before="300" w:after="300" w:line="280" w:lineRule="exact"/>
        <w:outlineLvl w:val="3"/>
        <w:rPr>
          <w:rFonts w:ascii="宋体" w:eastAsia="宋体" w:hAnsi="宋体" w:cs="宋体"/>
          <w:b/>
          <w:bCs/>
          <w:szCs w:val="21"/>
        </w:rPr>
      </w:pPr>
      <w:bookmarkStart w:id="173" w:name="_Toc989061"/>
      <w:r>
        <w:rPr>
          <w:rFonts w:ascii="宋体" w:eastAsia="宋体" w:hAnsi="宋体" w:cs="宋体"/>
          <w:b/>
          <w:bCs/>
          <w:szCs w:val="21"/>
        </w:rPr>
        <w:t>（3） 本期计提、收回或转回的坏账准备情况</w:t>
      </w:r>
      <w:bookmarkEnd w:id="173"/>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本期计提坏账准备情况：</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68"/>
        <w:gridCol w:w="1559"/>
        <w:gridCol w:w="1276"/>
        <w:gridCol w:w="1275"/>
        <w:gridCol w:w="1276"/>
        <w:gridCol w:w="1134"/>
        <w:gridCol w:w="1451"/>
      </w:tblGrid>
      <w:tr w:rsidR="007F3A90" w:rsidTr="00223F19">
        <w:trPr>
          <w:trHeight w:val="240"/>
        </w:trPr>
        <w:tc>
          <w:tcPr>
            <w:tcW w:w="166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4961"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45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7F3A90" w:rsidTr="00223F19">
        <w:trPr>
          <w:trHeight w:val="240"/>
        </w:trPr>
        <w:tc>
          <w:tcPr>
            <w:tcW w:w="166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45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rsidTr="00223F19">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应收票据坏账准备</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11,696,450.16</w:t>
            </w:r>
          </w:p>
        </w:tc>
        <w:tc>
          <w:tcPr>
            <w:tcW w:w="12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327,946.18</w:t>
            </w:r>
          </w:p>
        </w:tc>
        <w:tc>
          <w:tcPr>
            <w:tcW w:w="127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12,024,396.34</w:t>
            </w:r>
          </w:p>
        </w:tc>
      </w:tr>
      <w:tr w:rsidR="007F3A90" w:rsidTr="00223F19">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11,696,450.16</w:t>
            </w:r>
          </w:p>
        </w:tc>
        <w:tc>
          <w:tcPr>
            <w:tcW w:w="12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327,946.18</w:t>
            </w:r>
          </w:p>
        </w:tc>
        <w:tc>
          <w:tcPr>
            <w:tcW w:w="127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12,024,396.34</w:t>
            </w:r>
          </w:p>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其中本期坏账准备收回或转回金额重要的：</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keepNext/>
        <w:keepLines/>
        <w:spacing w:before="300" w:after="300" w:line="280" w:lineRule="exact"/>
        <w:outlineLvl w:val="3"/>
        <w:rPr>
          <w:rFonts w:ascii="宋体" w:eastAsia="宋体" w:hAnsi="宋体" w:cs="宋体"/>
          <w:b/>
          <w:bCs/>
          <w:szCs w:val="21"/>
        </w:rPr>
      </w:pPr>
      <w:bookmarkStart w:id="174" w:name="_Toc989062"/>
      <w:r>
        <w:rPr>
          <w:rFonts w:ascii="宋体" w:eastAsia="宋体" w:hAnsi="宋体" w:cs="宋体"/>
          <w:b/>
          <w:bCs/>
          <w:szCs w:val="21"/>
        </w:rPr>
        <w:t>（4） 期末公司已质押的应收票据</w:t>
      </w:r>
      <w:bookmarkEnd w:id="174"/>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7F3A9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期末已质押金额</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银行承兑票据</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544,989,342.85</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544,989,342.85</w:t>
            </w:r>
          </w:p>
        </w:tc>
      </w:tr>
    </w:tbl>
    <w:p w:rsidR="007F3A90" w:rsidRDefault="00CC38FA">
      <w:pPr>
        <w:keepNext/>
        <w:keepLines/>
        <w:spacing w:before="300" w:after="300" w:line="280" w:lineRule="exact"/>
        <w:outlineLvl w:val="3"/>
        <w:rPr>
          <w:rFonts w:ascii="宋体" w:eastAsia="宋体" w:hAnsi="宋体" w:cs="宋体"/>
          <w:b/>
          <w:bCs/>
          <w:szCs w:val="21"/>
        </w:rPr>
      </w:pPr>
      <w:bookmarkStart w:id="175" w:name="_Toc989063"/>
      <w:r>
        <w:rPr>
          <w:rFonts w:ascii="宋体" w:eastAsia="宋体" w:hAnsi="宋体" w:cs="宋体"/>
          <w:b/>
          <w:bCs/>
          <w:szCs w:val="21"/>
        </w:rPr>
        <w:t>（5） 期末公司已背书或贴现且在资产负债表日尚未到期的应收票据</w:t>
      </w:r>
      <w:bookmarkEnd w:id="175"/>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期末终止确认金额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期末未终止确认金额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196,840,241.17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196,840,241.17</w:t>
            </w:r>
          </w:p>
        </w:tc>
      </w:tr>
    </w:tbl>
    <w:p w:rsidR="007F3A90" w:rsidRDefault="00CC38FA">
      <w:pPr>
        <w:pStyle w:val="3"/>
        <w:spacing w:line="280" w:lineRule="exact"/>
        <w:jc w:val="left"/>
        <w:rPr>
          <w:rFonts w:ascii="宋体" w:hAnsi="宋体" w:cs="宋体"/>
          <w:b/>
          <w:bCs/>
        </w:rPr>
      </w:pPr>
      <w:bookmarkStart w:id="176" w:name="_Toc989065"/>
      <w:r>
        <w:rPr>
          <w:rFonts w:ascii="宋体" w:hAnsi="宋体" w:cs="宋体"/>
          <w:b/>
          <w:bCs/>
        </w:rPr>
        <w:t>4、应收账款</w:t>
      </w:r>
      <w:bookmarkEnd w:id="176"/>
    </w:p>
    <w:p w:rsidR="007F3A90" w:rsidRDefault="00CC38FA">
      <w:pPr>
        <w:keepNext/>
        <w:keepLines/>
        <w:spacing w:before="300" w:after="300" w:line="280" w:lineRule="exact"/>
        <w:outlineLvl w:val="3"/>
        <w:rPr>
          <w:rFonts w:ascii="宋体" w:eastAsia="宋体" w:hAnsi="宋体" w:cs="宋体"/>
          <w:b/>
          <w:bCs/>
          <w:szCs w:val="21"/>
        </w:rPr>
      </w:pPr>
      <w:bookmarkStart w:id="177" w:name="_Toc989066"/>
      <w:r>
        <w:rPr>
          <w:rFonts w:ascii="宋体" w:eastAsia="宋体" w:hAnsi="宋体" w:cs="宋体"/>
          <w:b/>
          <w:bCs/>
          <w:szCs w:val="21"/>
        </w:rPr>
        <w:t>（1） 按账龄披露</w:t>
      </w:r>
      <w:bookmarkEnd w:id="177"/>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899,075,209.27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955,570,100.36</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86,344,240.35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125,592,313.22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49,304,538.99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84,080,673.54</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312,611,057.87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342,721,324.10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19,071,027.12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60,838,741.38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39,576,576.05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40,457,307.28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253,963,454.70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241,425,275.44</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1,347,335,046.48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1,507,964,411.22</w:t>
            </w:r>
          </w:p>
        </w:tc>
      </w:tr>
    </w:tbl>
    <w:p w:rsidR="007F3A90" w:rsidRDefault="00CC38FA">
      <w:pPr>
        <w:keepNext/>
        <w:keepLines/>
        <w:spacing w:before="300" w:after="300" w:line="280" w:lineRule="exact"/>
        <w:outlineLvl w:val="3"/>
        <w:rPr>
          <w:rFonts w:ascii="宋体" w:eastAsia="宋体" w:hAnsi="宋体" w:cs="宋体"/>
          <w:b/>
          <w:bCs/>
          <w:szCs w:val="21"/>
        </w:rPr>
      </w:pPr>
      <w:bookmarkStart w:id="178" w:name="_Toc989067"/>
      <w:r>
        <w:rPr>
          <w:rFonts w:ascii="宋体" w:eastAsia="宋体" w:hAnsi="宋体" w:cs="宋体"/>
          <w:b/>
          <w:bCs/>
          <w:szCs w:val="21"/>
        </w:rPr>
        <w:t>（2） 按坏账计提方法分类披露</w:t>
      </w:r>
      <w:bookmarkEnd w:id="178"/>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7F3A90">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7F3A90">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按单项计提坏账准备的应收账款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201,944,326.17</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14.99%</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150,044,236.20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74.30%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51,900,089.97</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258,214,548.38</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17.12%</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150,655,341.07</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58.35%</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107,559,207.31</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1,145,390,720.31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85.01%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174,598,897.46</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15.24%</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970,791,822.85</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1,249,749,862.84</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82.88%</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191,744,600.62</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15.34%</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1,058,005,262.22</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账龄组合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1,145,390,720.31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85.01%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174,598,897.46</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15.24%</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970,791,822.85</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1,249,749,862.84</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82.88%</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191,744,600.62</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15.34%</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1,058,005,262.22</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1,347,335,046.48</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324,643,133.66</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1,022,691,912.82</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1,507,964,411.22</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342,399,941.69</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1,165,564,469.53</w:t>
            </w:r>
          </w:p>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按单项计提坏账准备类别名称：</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959"/>
        <w:gridCol w:w="1559"/>
        <w:gridCol w:w="1559"/>
        <w:gridCol w:w="1560"/>
        <w:gridCol w:w="1559"/>
        <w:gridCol w:w="1066"/>
        <w:gridCol w:w="1377"/>
      </w:tblGrid>
      <w:tr w:rsidR="007F3A90" w:rsidTr="00223F19">
        <w:trPr>
          <w:trHeight w:val="240"/>
        </w:trPr>
        <w:tc>
          <w:tcPr>
            <w:tcW w:w="9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311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62"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7F3A90" w:rsidTr="00223F19">
        <w:trPr>
          <w:trHeight w:val="240"/>
        </w:trPr>
        <w:tc>
          <w:tcPr>
            <w:tcW w:w="95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06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计提理由</w:t>
            </w:r>
          </w:p>
        </w:tc>
      </w:tr>
      <w:tr w:rsidR="007F3A90" w:rsidTr="00223F19">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A公司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64,116,000.00</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64,116,000.00</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64,116,000.00</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64,116,000.00</w:t>
            </w:r>
          </w:p>
        </w:tc>
        <w:tc>
          <w:tcPr>
            <w:tcW w:w="106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无法收回</w:t>
            </w:r>
          </w:p>
        </w:tc>
      </w:tr>
      <w:tr w:rsidR="007F3A90" w:rsidTr="00223F19">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B公司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27,611,393.52</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27,611,393.52</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27,611,393.52</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27,611,393.52</w:t>
            </w:r>
          </w:p>
        </w:tc>
        <w:tc>
          <w:tcPr>
            <w:tcW w:w="106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无法收回</w:t>
            </w:r>
          </w:p>
        </w:tc>
      </w:tr>
      <w:tr w:rsidR="007F3A90" w:rsidTr="00223F19">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C公司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18,506,410.03</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18,506,410.03</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18,506,410.03</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18,506,410.03</w:t>
            </w:r>
          </w:p>
        </w:tc>
        <w:tc>
          <w:tcPr>
            <w:tcW w:w="106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无法收回</w:t>
            </w:r>
          </w:p>
        </w:tc>
      </w:tr>
      <w:tr w:rsidR="007F3A90" w:rsidTr="00223F19">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D公司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10,499,708.37</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10,499,708.37</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10,499,708.37</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10,499,708.37</w:t>
            </w:r>
          </w:p>
        </w:tc>
        <w:tc>
          <w:tcPr>
            <w:tcW w:w="106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无法收回</w:t>
            </w:r>
          </w:p>
        </w:tc>
      </w:tr>
      <w:tr w:rsidR="007F3A90" w:rsidTr="00223F19">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E公司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9,005,148.41</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9,005,148.41</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9,005,148.41</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9,005,148.41</w:t>
            </w:r>
          </w:p>
        </w:tc>
        <w:tc>
          <w:tcPr>
            <w:tcW w:w="106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无法收回</w:t>
            </w:r>
          </w:p>
        </w:tc>
      </w:tr>
      <w:tr w:rsidR="007F3A90" w:rsidTr="00223F19">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F公司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4,318,323.01</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4,318,323.01</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4,318,323.01</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4,318,323.01</w:t>
            </w:r>
          </w:p>
        </w:tc>
        <w:tc>
          <w:tcPr>
            <w:tcW w:w="106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无法收回</w:t>
            </w:r>
          </w:p>
        </w:tc>
      </w:tr>
      <w:tr w:rsidR="007F3A90" w:rsidTr="00223F19">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G公司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3,818,198.30</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3,818,198.30</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3,818,198.30</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3,818,198.30</w:t>
            </w:r>
          </w:p>
        </w:tc>
        <w:tc>
          <w:tcPr>
            <w:tcW w:w="106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无法收回</w:t>
            </w:r>
          </w:p>
        </w:tc>
      </w:tr>
      <w:tr w:rsidR="007F3A90" w:rsidTr="00223F19">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H公司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2,497,965.54</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2,497,965.54</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2,265,399.24</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2,265,399.24</w:t>
            </w:r>
          </w:p>
        </w:tc>
        <w:tc>
          <w:tcPr>
            <w:tcW w:w="106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无法收回</w:t>
            </w:r>
          </w:p>
        </w:tc>
      </w:tr>
      <w:tr w:rsidR="007F3A90" w:rsidTr="00223F19">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I公司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1,533,000.00</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1,533,000.00</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1,533,000.00</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1,533,000.00</w:t>
            </w:r>
          </w:p>
        </w:tc>
        <w:tc>
          <w:tcPr>
            <w:tcW w:w="106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无法收回</w:t>
            </w:r>
          </w:p>
        </w:tc>
      </w:tr>
      <w:tr w:rsidR="007F3A90" w:rsidTr="00223F19">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J公司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1,272,200.00</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1,272,200.00</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1,272,200.00</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1,272,200.00</w:t>
            </w:r>
          </w:p>
        </w:tc>
        <w:tc>
          <w:tcPr>
            <w:tcW w:w="106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无法收回</w:t>
            </w:r>
          </w:p>
        </w:tc>
      </w:tr>
      <w:tr w:rsidR="007F3A90" w:rsidTr="00223F19">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K公司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1,235,000.00</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1,235,000.00</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1,235,000.00</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1,235,000.00</w:t>
            </w:r>
          </w:p>
        </w:tc>
        <w:tc>
          <w:tcPr>
            <w:tcW w:w="106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无法收回</w:t>
            </w:r>
          </w:p>
        </w:tc>
      </w:tr>
      <w:tr w:rsidR="007F3A90" w:rsidTr="00223F19">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L公司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1,145,086.00</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1,145,086.00</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1,145,086.00</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1,145,086.00</w:t>
            </w:r>
          </w:p>
        </w:tc>
        <w:tc>
          <w:tcPr>
            <w:tcW w:w="106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无法收回</w:t>
            </w:r>
          </w:p>
        </w:tc>
      </w:tr>
      <w:tr w:rsidR="007F3A90" w:rsidTr="00223F19">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M公司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1,133,000.00</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1,133,000.00</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1,133,000.00</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1,133,000.00</w:t>
            </w:r>
          </w:p>
        </w:tc>
        <w:tc>
          <w:tcPr>
            <w:tcW w:w="106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无法收回</w:t>
            </w:r>
          </w:p>
        </w:tc>
      </w:tr>
      <w:tr w:rsidR="007F3A90" w:rsidTr="00223F19">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N公司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1,084,233.35</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1,084,233.35</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868,687.40</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868,687.40</w:t>
            </w:r>
          </w:p>
        </w:tc>
        <w:tc>
          <w:tcPr>
            <w:tcW w:w="106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无法收回</w:t>
            </w:r>
          </w:p>
        </w:tc>
      </w:tr>
      <w:tr w:rsidR="007F3A90" w:rsidTr="00223F19">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147,775,666.53</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147,775,666.53</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147,327,554.28</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147,327,554.28</w:t>
            </w:r>
          </w:p>
        </w:tc>
        <w:tc>
          <w:tcPr>
            <w:tcW w:w="106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按组合计提坏账准备类别名称：</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lastRenderedPageBreak/>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7F3A90">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7F3A90">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7F3A9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1年以内</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847,175,119.30</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16,943,502.39</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2.00%</w:t>
            </w:r>
          </w:p>
        </w:tc>
      </w:tr>
      <w:tr w:rsidR="007F3A9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1至2年</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86,344,240.35</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4,317,212.03</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5.00%</w:t>
            </w:r>
          </w:p>
        </w:tc>
      </w:tr>
      <w:tr w:rsidR="007F3A9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2至3年</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49,274,418.69</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4,927,441.87</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w:t>
            </w:r>
          </w:p>
        </w:tc>
      </w:tr>
      <w:tr w:rsidR="007F3A9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3至4年</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17,636,027.12</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8,818,013.59</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50.00%</w:t>
            </w:r>
          </w:p>
        </w:tc>
      </w:tr>
      <w:tr w:rsidR="007F3A9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4至5年</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26,840,936.30</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21,472,749.03</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80.00%</w:t>
            </w:r>
          </w:p>
        </w:tc>
      </w:tr>
      <w:tr w:rsidR="007F3A9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5年以上</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118,119,978.55</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118,119,978.55</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r>
      <w:tr w:rsidR="007F3A9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1,145,390,720.31</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174,598,897.46</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如是按照预期信用损失一般模型计提应收账款坏账准备：</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keepNext/>
        <w:keepLines/>
        <w:spacing w:before="300" w:after="300" w:line="280" w:lineRule="exact"/>
        <w:outlineLvl w:val="3"/>
        <w:rPr>
          <w:rFonts w:ascii="宋体" w:eastAsia="宋体" w:hAnsi="宋体" w:cs="宋体"/>
          <w:b/>
          <w:bCs/>
          <w:szCs w:val="21"/>
        </w:rPr>
      </w:pPr>
      <w:bookmarkStart w:id="179" w:name="_Toc989068"/>
      <w:r>
        <w:rPr>
          <w:rFonts w:ascii="宋体" w:eastAsia="宋体" w:hAnsi="宋体" w:cs="宋体"/>
          <w:b/>
          <w:bCs/>
          <w:szCs w:val="21"/>
        </w:rPr>
        <w:t>（3） 本期计提、收回或转回的坏账准备情况</w:t>
      </w:r>
      <w:bookmarkEnd w:id="179"/>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本期计提坏账准备情况：</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68"/>
        <w:gridCol w:w="1559"/>
        <w:gridCol w:w="1559"/>
        <w:gridCol w:w="1134"/>
        <w:gridCol w:w="1134"/>
        <w:gridCol w:w="992"/>
        <w:gridCol w:w="1593"/>
      </w:tblGrid>
      <w:tr w:rsidR="007F3A90" w:rsidTr="005F11D2">
        <w:trPr>
          <w:trHeight w:val="240"/>
        </w:trPr>
        <w:tc>
          <w:tcPr>
            <w:tcW w:w="166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481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5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7F3A90" w:rsidTr="005F11D2">
        <w:trPr>
          <w:trHeight w:val="240"/>
        </w:trPr>
        <w:tc>
          <w:tcPr>
            <w:tcW w:w="166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5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rsidTr="005F11D2">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应收账款坏账准备</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342,399,941.69</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-17,608,996.99</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147,811.04</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324,643,133.66</w:t>
            </w:r>
          </w:p>
        </w:tc>
      </w:tr>
      <w:tr w:rsidR="007F3A90" w:rsidTr="005F11D2">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342,399,941.69</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-17,608,996.99</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147,811.04</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324,643,133.66</w:t>
            </w:r>
          </w:p>
        </w:tc>
      </w:tr>
    </w:tbl>
    <w:p w:rsidR="007F3A90" w:rsidRDefault="00CC38FA">
      <w:pPr>
        <w:keepNext/>
        <w:keepLines/>
        <w:spacing w:before="300" w:after="300" w:line="280" w:lineRule="exact"/>
        <w:outlineLvl w:val="3"/>
        <w:rPr>
          <w:rFonts w:ascii="宋体" w:eastAsia="宋体" w:hAnsi="宋体" w:cs="宋体"/>
          <w:b/>
          <w:bCs/>
          <w:szCs w:val="21"/>
        </w:rPr>
      </w:pPr>
      <w:bookmarkStart w:id="180" w:name="_Toc989069"/>
      <w:r>
        <w:rPr>
          <w:rFonts w:ascii="宋体" w:eastAsia="宋体" w:hAnsi="宋体" w:cs="宋体"/>
          <w:b/>
          <w:bCs/>
          <w:szCs w:val="21"/>
        </w:rPr>
        <w:t>（4） 本期实际核销的应收账款情况</w:t>
      </w:r>
      <w:bookmarkEnd w:id="180"/>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7F3A9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核销金额</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实际核销的应收账款</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147,811.04</w:t>
            </w:r>
          </w:p>
        </w:tc>
      </w:tr>
    </w:tbl>
    <w:p w:rsidR="007F3A90" w:rsidRDefault="007F3A90"/>
    <w:p w:rsidR="007F3A90" w:rsidRDefault="00CC38FA">
      <w:pPr>
        <w:keepNext/>
        <w:keepLines/>
        <w:spacing w:before="300" w:after="300" w:line="280" w:lineRule="exact"/>
        <w:outlineLvl w:val="3"/>
        <w:rPr>
          <w:rFonts w:ascii="宋体" w:eastAsia="宋体" w:hAnsi="宋体" w:cs="宋体"/>
          <w:b/>
          <w:bCs/>
          <w:szCs w:val="21"/>
        </w:rPr>
      </w:pPr>
      <w:bookmarkStart w:id="181" w:name="_Toc989070"/>
      <w:r>
        <w:rPr>
          <w:rFonts w:ascii="宋体" w:eastAsia="宋体" w:hAnsi="宋体" w:cs="宋体"/>
          <w:b/>
          <w:bCs/>
          <w:szCs w:val="21"/>
        </w:rPr>
        <w:t>（5） 按欠款方归集的期末余额前五名的应收账款和合同资产情况</w:t>
      </w:r>
      <w:bookmarkEnd w:id="181"/>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959"/>
        <w:gridCol w:w="1559"/>
        <w:gridCol w:w="992"/>
        <w:gridCol w:w="1560"/>
        <w:gridCol w:w="2126"/>
        <w:gridCol w:w="2443"/>
      </w:tblGrid>
      <w:tr w:rsidR="007F3A90" w:rsidTr="005F11D2">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5F11D2"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应收账款期末</w:t>
            </w:r>
          </w:p>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余额</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合同资产期末余额</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应收账款和合同资产期末余额</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占应收账款和合同资产期末余额合计数的比例</w:t>
            </w: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应收账款坏账准备和合同资产减值准备期末余额</w:t>
            </w:r>
          </w:p>
        </w:tc>
      </w:tr>
      <w:tr w:rsidR="007F3A90" w:rsidTr="005F11D2">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A公司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394,088,990.82</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394,088,990.82</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29.25%</w:t>
            </w:r>
          </w:p>
        </w:tc>
        <w:tc>
          <w:tcPr>
            <w:tcW w:w="244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8,061,761.54</w:t>
            </w:r>
          </w:p>
        </w:tc>
      </w:tr>
      <w:tr w:rsidR="007F3A90" w:rsidTr="005F11D2">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B公司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141,224,689.52</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141,224,689.52</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10.48%</w:t>
            </w:r>
          </w:p>
        </w:tc>
        <w:tc>
          <w:tcPr>
            <w:tcW w:w="244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2,824,493.78</w:t>
            </w:r>
          </w:p>
        </w:tc>
      </w:tr>
      <w:tr w:rsidR="007F3A90" w:rsidTr="005F11D2">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C公司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64,110,833.18</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64,110,833.18</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4.76%</w:t>
            </w:r>
          </w:p>
        </w:tc>
        <w:tc>
          <w:tcPr>
            <w:tcW w:w="244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1,706,277.34</w:t>
            </w:r>
          </w:p>
        </w:tc>
      </w:tr>
      <w:tr w:rsidR="007F3A90" w:rsidTr="005F11D2">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D公司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64,116,000.00</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64,116,000.00</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4.76%</w:t>
            </w:r>
          </w:p>
        </w:tc>
        <w:tc>
          <w:tcPr>
            <w:tcW w:w="244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64,116,000.00</w:t>
            </w:r>
          </w:p>
        </w:tc>
      </w:tr>
      <w:tr w:rsidR="007F3A90" w:rsidTr="005F11D2">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E公司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29,414,448.10</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29,414,448.10</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2.18%</w:t>
            </w:r>
          </w:p>
        </w:tc>
        <w:tc>
          <w:tcPr>
            <w:tcW w:w="244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7,392,293.16</w:t>
            </w:r>
          </w:p>
        </w:tc>
      </w:tr>
      <w:tr w:rsidR="007F3A90" w:rsidTr="005F11D2">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692,954,961.62</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692,954,961.62</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51.43%</w:t>
            </w:r>
          </w:p>
        </w:tc>
        <w:tc>
          <w:tcPr>
            <w:tcW w:w="244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84,100,825.82</w:t>
            </w:r>
          </w:p>
        </w:tc>
      </w:tr>
    </w:tbl>
    <w:p w:rsidR="007F3A90" w:rsidRDefault="00CC38FA">
      <w:pPr>
        <w:pStyle w:val="3"/>
        <w:spacing w:line="280" w:lineRule="exact"/>
        <w:jc w:val="left"/>
        <w:rPr>
          <w:rFonts w:ascii="宋体" w:hAnsi="宋体" w:cs="宋体"/>
          <w:b/>
          <w:bCs/>
        </w:rPr>
      </w:pPr>
      <w:bookmarkStart w:id="182" w:name="_Toc989071"/>
      <w:r>
        <w:rPr>
          <w:rFonts w:ascii="宋体" w:hAnsi="宋体" w:cs="宋体"/>
          <w:b/>
          <w:bCs/>
        </w:rPr>
        <w:t>5、应收款项融资</w:t>
      </w:r>
      <w:bookmarkEnd w:id="182"/>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156,150,232.08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176,770,743.91</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156,150,232.08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176,770,743.91</w:t>
            </w:r>
          </w:p>
        </w:tc>
      </w:tr>
    </w:tbl>
    <w:p w:rsidR="007F3A90" w:rsidRDefault="00CC38FA">
      <w:pPr>
        <w:pStyle w:val="3"/>
        <w:spacing w:line="280" w:lineRule="exact"/>
        <w:jc w:val="left"/>
        <w:rPr>
          <w:rFonts w:ascii="宋体" w:hAnsi="宋体" w:cs="宋体"/>
          <w:b/>
          <w:bCs/>
        </w:rPr>
      </w:pPr>
      <w:bookmarkStart w:id="183" w:name="_Toc989073"/>
      <w:r>
        <w:rPr>
          <w:rFonts w:ascii="宋体" w:hAnsi="宋体" w:cs="宋体"/>
          <w:b/>
          <w:bCs/>
        </w:rPr>
        <w:lastRenderedPageBreak/>
        <w:t>6、其他应收款</w:t>
      </w:r>
      <w:bookmarkEnd w:id="183"/>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67,007,367.71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45,788,981.72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67,007,367.71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45,788,981.72</w:t>
            </w:r>
          </w:p>
        </w:tc>
      </w:tr>
    </w:tbl>
    <w:p w:rsidR="007F3A90" w:rsidRDefault="00CC38FA">
      <w:pPr>
        <w:keepNext/>
        <w:keepLines/>
        <w:spacing w:before="300" w:after="300" w:line="280" w:lineRule="exact"/>
        <w:outlineLvl w:val="3"/>
        <w:rPr>
          <w:rFonts w:ascii="宋体" w:eastAsia="宋体" w:hAnsi="宋体" w:cs="宋体"/>
          <w:b/>
          <w:bCs/>
          <w:szCs w:val="21"/>
        </w:rPr>
      </w:pPr>
      <w:bookmarkStart w:id="184" w:name="_Toc989074"/>
      <w:r>
        <w:rPr>
          <w:rFonts w:ascii="宋体" w:eastAsia="宋体" w:hAnsi="宋体" w:cs="宋体"/>
          <w:b/>
          <w:bCs/>
          <w:szCs w:val="21"/>
        </w:rPr>
        <w:t>（1） 其他应收款</w:t>
      </w:r>
      <w:bookmarkEnd w:id="184"/>
    </w:p>
    <w:p w:rsidR="007F3A90" w:rsidRDefault="00CC38FA">
      <w:pPr>
        <w:keepNext/>
        <w:keepLines/>
        <w:spacing w:before="300" w:after="300" w:line="280" w:lineRule="exact"/>
        <w:outlineLvl w:val="4"/>
        <w:rPr>
          <w:rFonts w:ascii="宋体" w:eastAsia="宋体" w:hAnsi="宋体" w:cs="宋体"/>
          <w:b/>
          <w:bCs/>
          <w:sz w:val="18"/>
          <w:szCs w:val="18"/>
        </w:rPr>
      </w:pPr>
      <w:bookmarkStart w:id="185" w:name="_Toc989075"/>
      <w:r>
        <w:rPr>
          <w:rFonts w:ascii="宋体" w:eastAsia="宋体" w:hAnsi="宋体" w:cs="宋体"/>
          <w:b/>
          <w:bCs/>
          <w:sz w:val="18"/>
          <w:szCs w:val="18"/>
        </w:rPr>
        <w:t>1） 其他应收款按款项性质分类情况</w:t>
      </w:r>
      <w:bookmarkEnd w:id="185"/>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单位往来</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321,339,284.38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324,134,332.27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保证金、押金及备用金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63,592,807.48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47,496,644.23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19,831,656.49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17,519,248.64</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404,763,748.35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389,150,225.14</w:t>
            </w:r>
          </w:p>
        </w:tc>
      </w:tr>
    </w:tbl>
    <w:p w:rsidR="007F3A90" w:rsidRDefault="00CC38FA">
      <w:pPr>
        <w:keepNext/>
        <w:keepLines/>
        <w:spacing w:before="300" w:after="300" w:line="280" w:lineRule="exact"/>
        <w:outlineLvl w:val="4"/>
        <w:rPr>
          <w:rFonts w:ascii="宋体" w:eastAsia="宋体" w:hAnsi="宋体" w:cs="宋体"/>
          <w:b/>
          <w:bCs/>
          <w:sz w:val="18"/>
          <w:szCs w:val="18"/>
        </w:rPr>
      </w:pPr>
      <w:bookmarkStart w:id="186" w:name="_Toc989076"/>
      <w:r>
        <w:rPr>
          <w:rFonts w:ascii="宋体" w:eastAsia="宋体" w:hAnsi="宋体" w:cs="宋体"/>
          <w:b/>
          <w:bCs/>
          <w:sz w:val="18"/>
          <w:szCs w:val="18"/>
        </w:rPr>
        <w:t>2） 按账龄披露</w:t>
      </w:r>
      <w:bookmarkEnd w:id="186"/>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61,924,562.64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48,392,557.52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34,789,329.95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43,914,938.95</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4,647,515.71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3,045,270.95</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303,402,340.05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293,797,457.72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2,845,064.86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3,600,204.72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44,850,734.91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46,175,788.57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255,706,540.28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244,021,464.43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404,763,748.35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389,150,225.14</w:t>
            </w:r>
          </w:p>
        </w:tc>
      </w:tr>
    </w:tbl>
    <w:p w:rsidR="007F3A90" w:rsidRDefault="00CC38FA">
      <w:pPr>
        <w:keepNext/>
        <w:keepLines/>
        <w:spacing w:before="300" w:after="300" w:line="280" w:lineRule="exact"/>
        <w:outlineLvl w:val="4"/>
        <w:rPr>
          <w:rFonts w:ascii="宋体" w:eastAsia="宋体" w:hAnsi="宋体" w:cs="宋体"/>
          <w:b/>
          <w:bCs/>
          <w:sz w:val="18"/>
          <w:szCs w:val="18"/>
        </w:rPr>
      </w:pPr>
      <w:bookmarkStart w:id="187" w:name="_Toc989077"/>
      <w:r>
        <w:rPr>
          <w:rFonts w:ascii="宋体" w:eastAsia="宋体" w:hAnsi="宋体" w:cs="宋体"/>
          <w:b/>
          <w:bCs/>
          <w:sz w:val="18"/>
          <w:szCs w:val="18"/>
        </w:rPr>
        <w:t>3） 按坏账计提方法分类披露</w:t>
      </w:r>
      <w:bookmarkEnd w:id="187"/>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keepNext/>
        <w:keepLines/>
        <w:spacing w:before="300" w:after="300" w:line="280" w:lineRule="exact"/>
        <w:outlineLvl w:val="4"/>
        <w:rPr>
          <w:rFonts w:ascii="宋体" w:eastAsia="宋体" w:hAnsi="宋体" w:cs="宋体"/>
          <w:b/>
          <w:bCs/>
          <w:sz w:val="18"/>
          <w:szCs w:val="18"/>
        </w:rPr>
      </w:pPr>
      <w:bookmarkStart w:id="188" w:name="_Toc989078"/>
      <w:r>
        <w:rPr>
          <w:rFonts w:ascii="宋体" w:eastAsia="宋体" w:hAnsi="宋体" w:cs="宋体"/>
          <w:b/>
          <w:bCs/>
          <w:sz w:val="18"/>
          <w:szCs w:val="18"/>
        </w:rPr>
        <w:t>4） 本期计提、收回或转回的坏账准备情况</w:t>
      </w:r>
      <w:bookmarkEnd w:id="188"/>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本期计提坏账准备情况：</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653"/>
        <w:gridCol w:w="1607"/>
        <w:gridCol w:w="1147"/>
        <w:gridCol w:w="1121"/>
        <w:gridCol w:w="1417"/>
        <w:gridCol w:w="1593"/>
      </w:tblGrid>
      <w:tr w:rsidR="007F3A90" w:rsidTr="005F11D2">
        <w:trPr>
          <w:trHeight w:val="240"/>
        </w:trPr>
        <w:tc>
          <w:tcPr>
            <w:tcW w:w="1101" w:type="dxa"/>
            <w:vMerge w:val="restart"/>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653" w:type="dxa"/>
            <w:vMerge w:val="restart"/>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292" w:type="dxa"/>
            <w:gridSpan w:val="4"/>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593" w:type="dxa"/>
            <w:vMerge w:val="restart"/>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7F3A90" w:rsidTr="005F11D2">
        <w:trPr>
          <w:trHeight w:val="240"/>
        </w:trPr>
        <w:tc>
          <w:tcPr>
            <w:tcW w:w="1101" w:type="dxa"/>
            <w:vMerge/>
            <w:shd w:val="clear" w:color="auto" w:fill="D3D3D3"/>
            <w:vAlign w:val="center"/>
          </w:tcPr>
          <w:p w:rsidR="007F3A90" w:rsidRDefault="007F3A90"/>
        </w:tc>
        <w:tc>
          <w:tcPr>
            <w:tcW w:w="1653" w:type="dxa"/>
            <w:vMerge/>
            <w:shd w:val="clear" w:color="auto" w:fill="D3D3D3"/>
            <w:vAlign w:val="center"/>
          </w:tcPr>
          <w:p w:rsidR="007F3A90" w:rsidRDefault="007F3A90"/>
        </w:tc>
        <w:tc>
          <w:tcPr>
            <w:tcW w:w="1607" w:type="dxa"/>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147" w:type="dxa"/>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121" w:type="dxa"/>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转销或核销</w:t>
            </w:r>
          </w:p>
        </w:tc>
        <w:tc>
          <w:tcPr>
            <w:tcW w:w="1417" w:type="dxa"/>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593" w:type="dxa"/>
            <w:vMerge/>
            <w:shd w:val="clear" w:color="auto" w:fill="D3D3D3"/>
            <w:vAlign w:val="center"/>
          </w:tcPr>
          <w:p w:rsidR="007F3A90" w:rsidRDefault="007F3A90"/>
        </w:tc>
      </w:tr>
      <w:tr w:rsidR="007F3A90" w:rsidTr="005F11D2">
        <w:trPr>
          <w:trHeight w:val="240"/>
        </w:trPr>
        <w:tc>
          <w:tcPr>
            <w:tcW w:w="1101" w:type="dxa"/>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653" w:type="dxa"/>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343,361,243.42</w:t>
            </w:r>
          </w:p>
        </w:tc>
        <w:tc>
          <w:tcPr>
            <w:tcW w:w="1607" w:type="dxa"/>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-5,604,862.78</w:t>
            </w:r>
          </w:p>
        </w:tc>
        <w:tc>
          <w:tcPr>
            <w:tcW w:w="1147" w:type="dxa"/>
            <w:vAlign w:val="center"/>
          </w:tcPr>
          <w:p w:rsidR="007F3A90" w:rsidRDefault="007F3A90">
            <w:pPr>
              <w:spacing w:line="240" w:lineRule="exact"/>
              <w:jc w:val="right"/>
              <w:rPr>
                <w:rFonts w:ascii="宋体" w:eastAsia="宋体" w:hAnsi="宋体" w:cs="宋体"/>
                <w:sz w:val="18"/>
                <w:szCs w:val="18"/>
              </w:rPr>
            </w:pPr>
          </w:p>
        </w:tc>
        <w:tc>
          <w:tcPr>
            <w:tcW w:w="1121" w:type="dxa"/>
            <w:vAlign w:val="center"/>
          </w:tcPr>
          <w:p w:rsidR="007F3A90" w:rsidRDefault="007F3A90">
            <w:pPr>
              <w:spacing w:line="240" w:lineRule="exact"/>
              <w:jc w:val="right"/>
              <w:rPr>
                <w:rFonts w:ascii="宋体" w:eastAsia="宋体" w:hAnsi="宋体" w:cs="宋体"/>
                <w:sz w:val="18"/>
                <w:szCs w:val="18"/>
              </w:rPr>
            </w:pPr>
          </w:p>
        </w:tc>
        <w:tc>
          <w:tcPr>
            <w:tcW w:w="1417" w:type="dxa"/>
            <w:vAlign w:val="center"/>
          </w:tcPr>
          <w:p w:rsidR="007F3A90" w:rsidRDefault="007F3A90">
            <w:pPr>
              <w:spacing w:line="240" w:lineRule="exact"/>
              <w:jc w:val="right"/>
              <w:rPr>
                <w:rFonts w:ascii="宋体" w:eastAsia="宋体" w:hAnsi="宋体" w:cs="宋体"/>
                <w:sz w:val="18"/>
                <w:szCs w:val="18"/>
              </w:rPr>
            </w:pPr>
          </w:p>
        </w:tc>
        <w:tc>
          <w:tcPr>
            <w:tcW w:w="1593" w:type="dxa"/>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337,756,380.64</w:t>
            </w:r>
          </w:p>
        </w:tc>
      </w:tr>
      <w:tr w:rsidR="007F3A90" w:rsidTr="005F11D2">
        <w:trPr>
          <w:trHeight w:val="240"/>
        </w:trPr>
        <w:tc>
          <w:tcPr>
            <w:tcW w:w="1101" w:type="dxa"/>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53" w:type="dxa"/>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343,361,243.42</w:t>
            </w:r>
          </w:p>
        </w:tc>
        <w:tc>
          <w:tcPr>
            <w:tcW w:w="1607" w:type="dxa"/>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-5,604,862.78</w:t>
            </w:r>
          </w:p>
        </w:tc>
        <w:tc>
          <w:tcPr>
            <w:tcW w:w="1147" w:type="dxa"/>
            <w:vAlign w:val="center"/>
          </w:tcPr>
          <w:p w:rsidR="007F3A90" w:rsidRDefault="007F3A90">
            <w:pPr>
              <w:spacing w:line="240" w:lineRule="exact"/>
              <w:jc w:val="right"/>
              <w:rPr>
                <w:rFonts w:ascii="宋体" w:eastAsia="宋体" w:hAnsi="宋体" w:cs="宋体"/>
                <w:sz w:val="18"/>
                <w:szCs w:val="18"/>
              </w:rPr>
            </w:pPr>
          </w:p>
        </w:tc>
        <w:tc>
          <w:tcPr>
            <w:tcW w:w="1121" w:type="dxa"/>
            <w:vAlign w:val="center"/>
          </w:tcPr>
          <w:p w:rsidR="007F3A90" w:rsidRDefault="007F3A90">
            <w:pPr>
              <w:spacing w:line="240" w:lineRule="exact"/>
              <w:jc w:val="right"/>
              <w:rPr>
                <w:rFonts w:ascii="宋体" w:eastAsia="宋体" w:hAnsi="宋体" w:cs="宋体"/>
                <w:sz w:val="18"/>
                <w:szCs w:val="18"/>
              </w:rPr>
            </w:pPr>
          </w:p>
        </w:tc>
        <w:tc>
          <w:tcPr>
            <w:tcW w:w="1417" w:type="dxa"/>
            <w:vAlign w:val="center"/>
          </w:tcPr>
          <w:p w:rsidR="007F3A90" w:rsidRDefault="007F3A90">
            <w:pPr>
              <w:spacing w:line="240" w:lineRule="exact"/>
              <w:jc w:val="right"/>
              <w:rPr>
                <w:rFonts w:ascii="宋体" w:eastAsia="宋体" w:hAnsi="宋体" w:cs="宋体"/>
                <w:sz w:val="18"/>
                <w:szCs w:val="18"/>
              </w:rPr>
            </w:pPr>
          </w:p>
        </w:tc>
        <w:tc>
          <w:tcPr>
            <w:tcW w:w="1593" w:type="dxa"/>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337,756,380.64</w:t>
            </w:r>
          </w:p>
        </w:tc>
      </w:tr>
    </w:tbl>
    <w:p w:rsidR="007F3A90" w:rsidRDefault="00CC38FA">
      <w:pPr>
        <w:keepNext/>
        <w:keepLines/>
        <w:spacing w:before="300" w:after="300" w:line="280" w:lineRule="exact"/>
        <w:outlineLvl w:val="4"/>
        <w:rPr>
          <w:rFonts w:ascii="宋体" w:eastAsia="宋体" w:hAnsi="宋体" w:cs="宋体"/>
          <w:b/>
          <w:bCs/>
          <w:sz w:val="18"/>
          <w:szCs w:val="18"/>
        </w:rPr>
      </w:pPr>
      <w:bookmarkStart w:id="189" w:name="_Toc989079"/>
      <w:r>
        <w:rPr>
          <w:rFonts w:ascii="宋体" w:eastAsia="宋体" w:hAnsi="宋体" w:cs="宋体"/>
          <w:b/>
          <w:bCs/>
          <w:sz w:val="18"/>
          <w:szCs w:val="18"/>
        </w:rPr>
        <w:lastRenderedPageBreak/>
        <w:t>5） 按欠款方归集的期末余额前五名的其他应收款情况</w:t>
      </w:r>
      <w:bookmarkEnd w:id="189"/>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A公司</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单位往来</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229,790,604.64</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56.77%</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229,790,604.64</w:t>
            </w: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B公司</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单位往来</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38,246,580.00</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4-5年</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9.45%</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38,246,580.00</w:t>
            </w: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C公司</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单位往来</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23,175,000.00</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1-2年</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5.73%</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23,175,000.00</w:t>
            </w: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D公司</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单位往来</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6,845,900.00</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1年以内、1-2年、3年以上</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1.69%</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162,564.00</w:t>
            </w: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E公司</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单位往来</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4,559,600.00</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1.13%</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4,559,600.00</w:t>
            </w: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302,617,684.64</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74.77%</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295,934,348.64</w:t>
            </w:r>
          </w:p>
        </w:tc>
      </w:tr>
    </w:tbl>
    <w:p w:rsidR="007F3A90" w:rsidRDefault="00CC38FA">
      <w:pPr>
        <w:pStyle w:val="3"/>
        <w:spacing w:line="280" w:lineRule="exact"/>
        <w:jc w:val="left"/>
        <w:rPr>
          <w:rFonts w:ascii="宋体" w:hAnsi="宋体" w:cs="宋体"/>
          <w:b/>
          <w:bCs/>
        </w:rPr>
      </w:pPr>
      <w:bookmarkStart w:id="190" w:name="_Toc989080"/>
      <w:r>
        <w:rPr>
          <w:rFonts w:ascii="宋体" w:hAnsi="宋体" w:cs="宋体"/>
          <w:b/>
          <w:bCs/>
        </w:rPr>
        <w:t>7、预付款项</w:t>
      </w:r>
      <w:bookmarkEnd w:id="190"/>
    </w:p>
    <w:p w:rsidR="007F3A90" w:rsidRDefault="00CC38FA">
      <w:pPr>
        <w:keepNext/>
        <w:keepLines/>
        <w:spacing w:before="300" w:after="300" w:line="280" w:lineRule="exact"/>
        <w:outlineLvl w:val="3"/>
        <w:rPr>
          <w:rFonts w:ascii="宋体" w:eastAsia="宋体" w:hAnsi="宋体" w:cs="宋体"/>
          <w:b/>
          <w:bCs/>
          <w:szCs w:val="21"/>
        </w:rPr>
      </w:pPr>
      <w:bookmarkStart w:id="191" w:name="_Toc989081"/>
      <w:r>
        <w:rPr>
          <w:rFonts w:ascii="宋体" w:eastAsia="宋体" w:hAnsi="宋体" w:cs="宋体"/>
          <w:b/>
          <w:bCs/>
          <w:szCs w:val="21"/>
        </w:rPr>
        <w:t>（1） 预付款项按账龄列示</w:t>
      </w:r>
      <w:bookmarkEnd w:id="191"/>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F3A90">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1年以内</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297,354,094.62</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86.35%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150,508,237.32</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85.38%</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34,853,475.39</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10.12%</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17,148,751.03</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9.73%</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5,520,146.78</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1,398,186.26</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0.79%</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6,680,415.87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1.93%</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7,229,023.90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4.10%</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344,408,132.66</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176,284,198.51</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bl>
    <w:p w:rsidR="007F3A90" w:rsidRDefault="00CC38FA">
      <w:pPr>
        <w:keepNext/>
        <w:keepLines/>
        <w:spacing w:before="300" w:after="300" w:line="280" w:lineRule="exact"/>
        <w:outlineLvl w:val="3"/>
        <w:rPr>
          <w:rFonts w:ascii="宋体" w:eastAsia="宋体" w:hAnsi="宋体" w:cs="宋体"/>
          <w:b/>
          <w:bCs/>
          <w:szCs w:val="21"/>
        </w:rPr>
      </w:pPr>
      <w:bookmarkStart w:id="192" w:name="_Toc989082"/>
      <w:r>
        <w:rPr>
          <w:rFonts w:ascii="宋体" w:eastAsia="宋体" w:hAnsi="宋体" w:cs="宋体"/>
          <w:b/>
          <w:bCs/>
          <w:szCs w:val="21"/>
        </w:rPr>
        <w:t>（2） 按预付对象归集的期末余额前五名的预付款情况</w:t>
      </w:r>
      <w:bookmarkEnd w:id="19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55"/>
        <w:gridCol w:w="2265"/>
        <w:gridCol w:w="3686"/>
      </w:tblGrid>
      <w:tr w:rsidR="00CC38FA" w:rsidTr="00831F13">
        <w:trPr>
          <w:divId w:val="1031800859"/>
          <w:trHeight w:val="493"/>
        </w:trPr>
        <w:tc>
          <w:tcPr>
            <w:tcW w:w="3655" w:type="dxa"/>
            <w:shd w:val="clear" w:color="auto" w:fill="D3D3D3"/>
            <w:noWrap/>
            <w:tcMar>
              <w:top w:w="0" w:type="dxa"/>
              <w:left w:w="108" w:type="dxa"/>
              <w:bottom w:w="0" w:type="dxa"/>
              <w:right w:w="108" w:type="dxa"/>
            </w:tcMar>
            <w:vAlign w:val="center"/>
            <w:hideMark/>
          </w:tcPr>
          <w:p w:rsidR="00CC38FA" w:rsidRDefault="00CC38FA">
            <w:pPr>
              <w:pStyle w:val="a3"/>
              <w:spacing w:before="40" w:beforeAutospacing="0" w:after="40" w:afterAutospacing="0" w:line="240" w:lineRule="atLeast"/>
              <w:jc w:val="center"/>
              <w:rPr>
                <w:rFonts w:ascii="Times New Roman" w:hAnsi="Times New Roman" w:cs="Times New Roman"/>
              </w:rPr>
            </w:pPr>
            <w:r>
              <w:rPr>
                <w:rFonts w:cs="Times New Roman" w:hint="eastAsia"/>
                <w:sz w:val="18"/>
                <w:szCs w:val="18"/>
              </w:rPr>
              <w:t>单位名称</w:t>
            </w:r>
          </w:p>
        </w:tc>
        <w:tc>
          <w:tcPr>
            <w:tcW w:w="2265" w:type="dxa"/>
            <w:shd w:val="clear" w:color="auto" w:fill="D3D3D3"/>
            <w:noWrap/>
            <w:tcMar>
              <w:top w:w="0" w:type="dxa"/>
              <w:left w:w="108" w:type="dxa"/>
              <w:bottom w:w="0" w:type="dxa"/>
              <w:right w:w="108" w:type="dxa"/>
            </w:tcMar>
            <w:vAlign w:val="center"/>
            <w:hideMark/>
          </w:tcPr>
          <w:p w:rsidR="00CC38FA" w:rsidRDefault="00CC38FA">
            <w:pPr>
              <w:pStyle w:val="a3"/>
              <w:spacing w:before="40" w:beforeAutospacing="0" w:after="40" w:afterAutospacing="0" w:line="240" w:lineRule="atLeast"/>
              <w:jc w:val="center"/>
              <w:rPr>
                <w:rFonts w:ascii="Times New Roman" w:hAnsi="Times New Roman" w:cs="Times New Roman"/>
              </w:rPr>
            </w:pPr>
            <w:r>
              <w:rPr>
                <w:rFonts w:cs="Times New Roman" w:hint="eastAsia"/>
                <w:sz w:val="18"/>
                <w:szCs w:val="18"/>
              </w:rPr>
              <w:t>期末余额</w:t>
            </w:r>
          </w:p>
        </w:tc>
        <w:tc>
          <w:tcPr>
            <w:tcW w:w="3686" w:type="dxa"/>
            <w:shd w:val="clear" w:color="auto" w:fill="D3D3D3"/>
            <w:tcMar>
              <w:top w:w="0" w:type="dxa"/>
              <w:left w:w="108" w:type="dxa"/>
              <w:bottom w:w="0" w:type="dxa"/>
              <w:right w:w="108" w:type="dxa"/>
            </w:tcMar>
            <w:vAlign w:val="center"/>
            <w:hideMark/>
          </w:tcPr>
          <w:p w:rsidR="00CC38FA" w:rsidRDefault="00CC38FA">
            <w:pPr>
              <w:pStyle w:val="a3"/>
              <w:spacing w:before="40" w:beforeAutospacing="0" w:after="40" w:afterAutospacing="0" w:line="240" w:lineRule="atLeast"/>
              <w:jc w:val="center"/>
              <w:rPr>
                <w:rFonts w:ascii="Times New Roman" w:hAnsi="Times New Roman" w:cs="Times New Roman"/>
              </w:rPr>
            </w:pPr>
            <w:r>
              <w:rPr>
                <w:rFonts w:cs="Times New Roman" w:hint="eastAsia"/>
                <w:sz w:val="18"/>
                <w:szCs w:val="18"/>
              </w:rPr>
              <w:t>占预付账款期末余额合计数的比例（%）</w:t>
            </w:r>
          </w:p>
        </w:tc>
      </w:tr>
      <w:tr w:rsidR="00CC38FA" w:rsidTr="00831F13">
        <w:trPr>
          <w:divId w:val="1031800859"/>
          <w:trHeight w:val="343"/>
        </w:trPr>
        <w:tc>
          <w:tcPr>
            <w:tcW w:w="3655" w:type="dxa"/>
            <w:shd w:val="clear" w:color="auto" w:fill="D3D3D3"/>
            <w:noWrap/>
            <w:tcMar>
              <w:top w:w="0" w:type="dxa"/>
              <w:left w:w="108" w:type="dxa"/>
              <w:bottom w:w="0" w:type="dxa"/>
              <w:right w:w="108" w:type="dxa"/>
            </w:tcMar>
            <w:vAlign w:val="center"/>
            <w:hideMark/>
          </w:tcPr>
          <w:p w:rsidR="00CC38FA" w:rsidRDefault="00CC38FA">
            <w:pPr>
              <w:pStyle w:val="a3"/>
              <w:spacing w:before="40" w:beforeAutospacing="0" w:after="40" w:afterAutospacing="0" w:line="240" w:lineRule="atLeast"/>
              <w:rPr>
                <w:rFonts w:ascii="Times New Roman" w:hAnsi="Times New Roman" w:cs="Times New Roman"/>
              </w:rPr>
            </w:pPr>
            <w:r>
              <w:rPr>
                <w:rFonts w:cs="Times New Roman" w:hint="eastAsia"/>
                <w:sz w:val="18"/>
                <w:szCs w:val="18"/>
              </w:rPr>
              <w:t>A公司</w:t>
            </w:r>
          </w:p>
        </w:tc>
        <w:tc>
          <w:tcPr>
            <w:tcW w:w="2265" w:type="dxa"/>
            <w:noWrap/>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jc w:val="right"/>
              <w:rPr>
                <w:rFonts w:ascii="Times New Roman" w:hAnsi="Times New Roman" w:cs="Times New Roman"/>
              </w:rPr>
            </w:pPr>
            <w:r>
              <w:rPr>
                <w:rFonts w:cs="Times New Roman" w:hint="eastAsia"/>
                <w:sz w:val="18"/>
                <w:szCs w:val="18"/>
              </w:rPr>
              <w:t>    41,377,581.64</w:t>
            </w:r>
          </w:p>
        </w:tc>
        <w:tc>
          <w:tcPr>
            <w:tcW w:w="3686" w:type="dxa"/>
            <w:noWrap/>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jc w:val="right"/>
              <w:rPr>
                <w:rFonts w:ascii="Times New Roman" w:hAnsi="Times New Roman" w:cs="Times New Roman"/>
              </w:rPr>
            </w:pPr>
            <w:r>
              <w:rPr>
                <w:rFonts w:cs="Times New Roman" w:hint="eastAsia"/>
                <w:sz w:val="18"/>
                <w:szCs w:val="18"/>
              </w:rPr>
              <w:t xml:space="preserve"> 12.01 </w:t>
            </w:r>
          </w:p>
        </w:tc>
      </w:tr>
      <w:tr w:rsidR="00CC38FA" w:rsidTr="00831F13">
        <w:trPr>
          <w:divId w:val="1031800859"/>
          <w:trHeight w:val="343"/>
        </w:trPr>
        <w:tc>
          <w:tcPr>
            <w:tcW w:w="3655" w:type="dxa"/>
            <w:shd w:val="clear" w:color="auto" w:fill="D3D3D3"/>
            <w:noWrap/>
            <w:tcMar>
              <w:top w:w="0" w:type="dxa"/>
              <w:left w:w="108" w:type="dxa"/>
              <w:bottom w:w="0" w:type="dxa"/>
              <w:right w:w="108" w:type="dxa"/>
            </w:tcMar>
            <w:vAlign w:val="center"/>
            <w:hideMark/>
          </w:tcPr>
          <w:p w:rsidR="00CC38FA" w:rsidRDefault="00CC38FA">
            <w:pPr>
              <w:pStyle w:val="a3"/>
              <w:spacing w:before="40" w:beforeAutospacing="0" w:after="40" w:afterAutospacing="0" w:line="240" w:lineRule="atLeast"/>
              <w:rPr>
                <w:rFonts w:ascii="Times New Roman" w:hAnsi="Times New Roman" w:cs="Times New Roman"/>
              </w:rPr>
            </w:pPr>
            <w:r>
              <w:rPr>
                <w:rFonts w:cs="Times New Roman" w:hint="eastAsia"/>
                <w:sz w:val="18"/>
                <w:szCs w:val="18"/>
              </w:rPr>
              <w:t>B公司</w:t>
            </w:r>
          </w:p>
        </w:tc>
        <w:tc>
          <w:tcPr>
            <w:tcW w:w="2265" w:type="dxa"/>
            <w:noWrap/>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jc w:val="right"/>
              <w:rPr>
                <w:rFonts w:ascii="Times New Roman" w:hAnsi="Times New Roman" w:cs="Times New Roman"/>
              </w:rPr>
            </w:pPr>
            <w:r>
              <w:rPr>
                <w:rFonts w:cs="Times New Roman" w:hint="eastAsia"/>
                <w:sz w:val="18"/>
                <w:szCs w:val="18"/>
              </w:rPr>
              <w:t xml:space="preserve"> 24,663,565.71 </w:t>
            </w:r>
          </w:p>
        </w:tc>
        <w:tc>
          <w:tcPr>
            <w:tcW w:w="3686" w:type="dxa"/>
            <w:noWrap/>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jc w:val="right"/>
              <w:rPr>
                <w:rFonts w:ascii="Times New Roman" w:hAnsi="Times New Roman" w:cs="Times New Roman"/>
              </w:rPr>
            </w:pPr>
            <w:r>
              <w:rPr>
                <w:rFonts w:cs="Times New Roman" w:hint="eastAsia"/>
                <w:sz w:val="18"/>
                <w:szCs w:val="18"/>
              </w:rPr>
              <w:t xml:space="preserve"> 7.16 </w:t>
            </w:r>
          </w:p>
        </w:tc>
      </w:tr>
      <w:tr w:rsidR="00CC38FA" w:rsidTr="00831F13">
        <w:trPr>
          <w:divId w:val="1031800859"/>
          <w:trHeight w:val="343"/>
        </w:trPr>
        <w:tc>
          <w:tcPr>
            <w:tcW w:w="3655" w:type="dxa"/>
            <w:shd w:val="clear" w:color="auto" w:fill="D3D3D3"/>
            <w:noWrap/>
            <w:tcMar>
              <w:top w:w="0" w:type="dxa"/>
              <w:left w:w="108" w:type="dxa"/>
              <w:bottom w:w="0" w:type="dxa"/>
              <w:right w:w="108" w:type="dxa"/>
            </w:tcMar>
            <w:vAlign w:val="center"/>
            <w:hideMark/>
          </w:tcPr>
          <w:p w:rsidR="00CC38FA" w:rsidRDefault="00CC38FA">
            <w:pPr>
              <w:pStyle w:val="a3"/>
              <w:spacing w:before="40" w:beforeAutospacing="0" w:after="40" w:afterAutospacing="0" w:line="240" w:lineRule="atLeast"/>
              <w:rPr>
                <w:rFonts w:ascii="Times New Roman" w:hAnsi="Times New Roman" w:cs="Times New Roman"/>
              </w:rPr>
            </w:pPr>
            <w:r>
              <w:rPr>
                <w:rFonts w:cs="Times New Roman" w:hint="eastAsia"/>
                <w:sz w:val="18"/>
                <w:szCs w:val="18"/>
              </w:rPr>
              <w:t>C公司</w:t>
            </w:r>
          </w:p>
        </w:tc>
        <w:tc>
          <w:tcPr>
            <w:tcW w:w="2265" w:type="dxa"/>
            <w:noWrap/>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jc w:val="right"/>
              <w:rPr>
                <w:rFonts w:ascii="Times New Roman" w:hAnsi="Times New Roman" w:cs="Times New Roman"/>
              </w:rPr>
            </w:pPr>
            <w:r>
              <w:rPr>
                <w:rFonts w:cs="Times New Roman" w:hint="eastAsia"/>
                <w:sz w:val="18"/>
                <w:szCs w:val="18"/>
              </w:rPr>
              <w:t xml:space="preserve"> 23,084,440.32 </w:t>
            </w:r>
          </w:p>
        </w:tc>
        <w:tc>
          <w:tcPr>
            <w:tcW w:w="3686" w:type="dxa"/>
            <w:noWrap/>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jc w:val="right"/>
              <w:rPr>
                <w:rFonts w:ascii="Times New Roman" w:hAnsi="Times New Roman" w:cs="Times New Roman"/>
              </w:rPr>
            </w:pPr>
            <w:r>
              <w:rPr>
                <w:rFonts w:cs="Times New Roman" w:hint="eastAsia"/>
                <w:sz w:val="18"/>
                <w:szCs w:val="18"/>
              </w:rPr>
              <w:t xml:space="preserve"> 6.70 </w:t>
            </w:r>
          </w:p>
        </w:tc>
      </w:tr>
      <w:tr w:rsidR="00CC38FA" w:rsidTr="00831F13">
        <w:trPr>
          <w:divId w:val="1031800859"/>
          <w:trHeight w:val="343"/>
        </w:trPr>
        <w:tc>
          <w:tcPr>
            <w:tcW w:w="3655" w:type="dxa"/>
            <w:shd w:val="clear" w:color="auto" w:fill="D3D3D3"/>
            <w:noWrap/>
            <w:tcMar>
              <w:top w:w="0" w:type="dxa"/>
              <w:left w:w="108" w:type="dxa"/>
              <w:bottom w:w="0" w:type="dxa"/>
              <w:right w:w="108" w:type="dxa"/>
            </w:tcMar>
            <w:vAlign w:val="center"/>
            <w:hideMark/>
          </w:tcPr>
          <w:p w:rsidR="00CC38FA" w:rsidRDefault="00CC38FA">
            <w:pPr>
              <w:pStyle w:val="a3"/>
              <w:spacing w:before="40" w:beforeAutospacing="0" w:after="40" w:afterAutospacing="0" w:line="240" w:lineRule="atLeast"/>
              <w:rPr>
                <w:rFonts w:ascii="Times New Roman" w:hAnsi="Times New Roman" w:cs="Times New Roman"/>
              </w:rPr>
            </w:pPr>
            <w:r>
              <w:rPr>
                <w:rFonts w:cs="Times New Roman" w:hint="eastAsia"/>
                <w:sz w:val="18"/>
                <w:szCs w:val="18"/>
              </w:rPr>
              <w:t>D公司</w:t>
            </w:r>
          </w:p>
        </w:tc>
        <w:tc>
          <w:tcPr>
            <w:tcW w:w="2265" w:type="dxa"/>
            <w:noWrap/>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jc w:val="right"/>
              <w:rPr>
                <w:rFonts w:ascii="Times New Roman" w:hAnsi="Times New Roman" w:cs="Times New Roman"/>
              </w:rPr>
            </w:pPr>
            <w:r>
              <w:rPr>
                <w:rFonts w:cs="Times New Roman" w:hint="eastAsia"/>
                <w:sz w:val="18"/>
                <w:szCs w:val="18"/>
              </w:rPr>
              <w:t xml:space="preserve"> 20,360,602.85 </w:t>
            </w:r>
          </w:p>
        </w:tc>
        <w:tc>
          <w:tcPr>
            <w:tcW w:w="3686" w:type="dxa"/>
            <w:noWrap/>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jc w:val="right"/>
              <w:rPr>
                <w:rFonts w:ascii="Times New Roman" w:hAnsi="Times New Roman" w:cs="Times New Roman"/>
              </w:rPr>
            </w:pPr>
            <w:r>
              <w:rPr>
                <w:rFonts w:cs="Times New Roman" w:hint="eastAsia"/>
                <w:sz w:val="18"/>
                <w:szCs w:val="18"/>
              </w:rPr>
              <w:t xml:space="preserve"> 5.91 </w:t>
            </w:r>
          </w:p>
        </w:tc>
      </w:tr>
      <w:tr w:rsidR="00CC38FA" w:rsidTr="00831F13">
        <w:trPr>
          <w:divId w:val="1031800859"/>
          <w:trHeight w:val="54"/>
        </w:trPr>
        <w:tc>
          <w:tcPr>
            <w:tcW w:w="3655" w:type="dxa"/>
            <w:shd w:val="clear" w:color="auto" w:fill="D3D3D3"/>
            <w:noWrap/>
            <w:tcMar>
              <w:top w:w="0" w:type="dxa"/>
              <w:left w:w="108" w:type="dxa"/>
              <w:bottom w:w="0" w:type="dxa"/>
              <w:right w:w="108" w:type="dxa"/>
            </w:tcMar>
            <w:vAlign w:val="center"/>
            <w:hideMark/>
          </w:tcPr>
          <w:p w:rsidR="00CC38FA" w:rsidRDefault="00CC38FA">
            <w:pPr>
              <w:pStyle w:val="a3"/>
              <w:spacing w:before="40" w:beforeAutospacing="0" w:after="40" w:afterAutospacing="0" w:line="240" w:lineRule="atLeast"/>
              <w:rPr>
                <w:rFonts w:ascii="Times New Roman" w:hAnsi="Times New Roman" w:cs="Times New Roman"/>
              </w:rPr>
            </w:pPr>
            <w:r>
              <w:rPr>
                <w:rFonts w:cs="Times New Roman" w:hint="eastAsia"/>
                <w:sz w:val="18"/>
                <w:szCs w:val="18"/>
              </w:rPr>
              <w:t>E公司</w:t>
            </w:r>
          </w:p>
        </w:tc>
        <w:tc>
          <w:tcPr>
            <w:tcW w:w="2265" w:type="dxa"/>
            <w:noWrap/>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jc w:val="right"/>
              <w:rPr>
                <w:rFonts w:ascii="Times New Roman" w:hAnsi="Times New Roman" w:cs="Times New Roman"/>
              </w:rPr>
            </w:pPr>
            <w:r>
              <w:rPr>
                <w:rFonts w:cs="Times New Roman" w:hint="eastAsia"/>
                <w:sz w:val="18"/>
                <w:szCs w:val="18"/>
              </w:rPr>
              <w:t xml:space="preserve"> 15,905,951.00 </w:t>
            </w:r>
          </w:p>
        </w:tc>
        <w:tc>
          <w:tcPr>
            <w:tcW w:w="3686" w:type="dxa"/>
            <w:noWrap/>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jc w:val="right"/>
              <w:rPr>
                <w:rFonts w:ascii="Times New Roman" w:hAnsi="Times New Roman" w:cs="Times New Roman"/>
              </w:rPr>
            </w:pPr>
            <w:r>
              <w:rPr>
                <w:rFonts w:cs="Times New Roman" w:hint="eastAsia"/>
                <w:sz w:val="18"/>
                <w:szCs w:val="18"/>
              </w:rPr>
              <w:t xml:space="preserve"> 4.62 </w:t>
            </w:r>
          </w:p>
        </w:tc>
      </w:tr>
      <w:tr w:rsidR="00CC38FA" w:rsidTr="00831F13">
        <w:trPr>
          <w:divId w:val="1031800859"/>
          <w:trHeight w:val="343"/>
        </w:trPr>
        <w:tc>
          <w:tcPr>
            <w:tcW w:w="3655" w:type="dxa"/>
            <w:shd w:val="clear" w:color="auto" w:fill="D3D3D3"/>
            <w:noWrap/>
            <w:tcMar>
              <w:top w:w="0" w:type="dxa"/>
              <w:left w:w="108" w:type="dxa"/>
              <w:bottom w:w="0" w:type="dxa"/>
              <w:right w:w="108" w:type="dxa"/>
            </w:tcMar>
            <w:vAlign w:val="bottom"/>
            <w:hideMark/>
          </w:tcPr>
          <w:p w:rsidR="00CC38FA" w:rsidRDefault="00CC38FA">
            <w:pPr>
              <w:pStyle w:val="a3"/>
              <w:spacing w:before="40" w:beforeAutospacing="0" w:after="40" w:afterAutospacing="0" w:line="240" w:lineRule="atLeast"/>
              <w:rPr>
                <w:rFonts w:ascii="Times New Roman" w:hAnsi="Times New Roman" w:cs="Times New Roman"/>
              </w:rPr>
            </w:pPr>
            <w:r>
              <w:rPr>
                <w:rFonts w:cs="Times New Roman" w:hint="eastAsia"/>
                <w:sz w:val="18"/>
                <w:szCs w:val="18"/>
              </w:rPr>
              <w:t>合计</w:t>
            </w:r>
          </w:p>
        </w:tc>
        <w:tc>
          <w:tcPr>
            <w:tcW w:w="2265" w:type="dxa"/>
            <w:noWrap/>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jc w:val="right"/>
              <w:rPr>
                <w:rFonts w:ascii="Times New Roman" w:hAnsi="Times New Roman" w:cs="Times New Roman"/>
              </w:rPr>
            </w:pPr>
            <w:r>
              <w:rPr>
                <w:rFonts w:cs="Times New Roman" w:hint="eastAsia"/>
                <w:sz w:val="18"/>
                <w:szCs w:val="18"/>
              </w:rPr>
              <w:t xml:space="preserve"> 125,392,141.52 </w:t>
            </w:r>
          </w:p>
        </w:tc>
        <w:tc>
          <w:tcPr>
            <w:tcW w:w="3686" w:type="dxa"/>
            <w:noWrap/>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jc w:val="right"/>
              <w:rPr>
                <w:rFonts w:ascii="Times New Roman" w:hAnsi="Times New Roman" w:cs="Times New Roman"/>
              </w:rPr>
            </w:pPr>
            <w:r>
              <w:rPr>
                <w:rFonts w:cs="Times New Roman" w:hint="eastAsia"/>
                <w:sz w:val="18"/>
                <w:szCs w:val="18"/>
              </w:rPr>
              <w:t xml:space="preserve"> 36.40 </w:t>
            </w:r>
          </w:p>
        </w:tc>
      </w:tr>
    </w:tbl>
    <w:p w:rsidR="007F3A90" w:rsidRDefault="00CC38FA">
      <w:pPr>
        <w:pStyle w:val="3"/>
        <w:spacing w:line="280" w:lineRule="exact"/>
        <w:jc w:val="left"/>
        <w:rPr>
          <w:rFonts w:ascii="宋体" w:hAnsi="宋体" w:cs="宋体"/>
          <w:b/>
          <w:bCs/>
        </w:rPr>
      </w:pPr>
      <w:bookmarkStart w:id="193" w:name="_Toc989083"/>
      <w:r>
        <w:rPr>
          <w:rFonts w:ascii="宋体" w:hAnsi="宋体" w:cs="宋体"/>
          <w:b/>
          <w:bCs/>
        </w:rPr>
        <w:t>8、存货</w:t>
      </w:r>
      <w:bookmarkEnd w:id="193"/>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公司是否需要遵守房地产行业的披露要求</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否</w:t>
      </w:r>
    </w:p>
    <w:p w:rsidR="007F3A90" w:rsidRDefault="00CC38FA">
      <w:pPr>
        <w:keepNext/>
        <w:keepLines/>
        <w:spacing w:before="300" w:after="300" w:line="280" w:lineRule="exact"/>
        <w:outlineLvl w:val="3"/>
        <w:rPr>
          <w:rFonts w:ascii="宋体" w:eastAsia="宋体" w:hAnsi="宋体" w:cs="宋体"/>
          <w:b/>
          <w:bCs/>
          <w:szCs w:val="21"/>
        </w:rPr>
      </w:pPr>
      <w:bookmarkStart w:id="194" w:name="_Toc989084"/>
      <w:r>
        <w:rPr>
          <w:rFonts w:ascii="宋体" w:eastAsia="宋体" w:hAnsi="宋体" w:cs="宋体"/>
          <w:b/>
          <w:bCs/>
          <w:szCs w:val="21"/>
        </w:rPr>
        <w:t>（1） 存货分类</w:t>
      </w:r>
      <w:bookmarkEnd w:id="194"/>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959"/>
        <w:gridCol w:w="1559"/>
        <w:gridCol w:w="1613"/>
        <w:gridCol w:w="1377"/>
        <w:gridCol w:w="1377"/>
        <w:gridCol w:w="1377"/>
        <w:gridCol w:w="1377"/>
      </w:tblGrid>
      <w:tr w:rsidR="007F3A90" w:rsidTr="005F11D2">
        <w:trPr>
          <w:trHeight w:val="240"/>
        </w:trPr>
        <w:tc>
          <w:tcPr>
            <w:tcW w:w="9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54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rsidTr="005F11D2">
        <w:trPr>
          <w:trHeight w:val="240"/>
        </w:trPr>
        <w:tc>
          <w:tcPr>
            <w:tcW w:w="95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6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7F3A90" w:rsidTr="005F11D2">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原材料</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657,877,783.05</w:t>
            </w:r>
          </w:p>
        </w:tc>
        <w:tc>
          <w:tcPr>
            <w:tcW w:w="16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82,984,801.90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574,892,981.15</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545,139,626.27</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69,307,560.32</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475,832,065.95</w:t>
            </w:r>
          </w:p>
        </w:tc>
      </w:tr>
      <w:tr w:rsidR="007F3A90" w:rsidTr="005F11D2">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在产品</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5,201,175,803.75</w:t>
            </w:r>
          </w:p>
        </w:tc>
        <w:tc>
          <w:tcPr>
            <w:tcW w:w="16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161,152,564.96</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5,040,023,238.79</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5,176,394,976.56</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157,773,658.53</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5,018,621,318.03</w:t>
            </w:r>
          </w:p>
        </w:tc>
      </w:tr>
      <w:tr w:rsidR="007F3A90" w:rsidTr="005F11D2">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库存商品</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382,515,287.07</w:t>
            </w:r>
          </w:p>
        </w:tc>
        <w:tc>
          <w:tcPr>
            <w:tcW w:w="16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7,020,898.66</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375,494,388.41</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179,504,804.57</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2,638,051.45</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176,866,753.12</w:t>
            </w:r>
          </w:p>
        </w:tc>
      </w:tr>
      <w:tr w:rsidR="007F3A90" w:rsidTr="005F11D2">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周转材料</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1,372,044.45</w:t>
            </w:r>
          </w:p>
        </w:tc>
        <w:tc>
          <w:tcPr>
            <w:tcW w:w="16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1,372,044.45</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1,954,737.02</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1,954,737.02</w:t>
            </w:r>
          </w:p>
        </w:tc>
      </w:tr>
      <w:tr w:rsidR="007F3A90" w:rsidTr="005F11D2">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6,242,940,918.32</w:t>
            </w:r>
          </w:p>
        </w:tc>
        <w:tc>
          <w:tcPr>
            <w:tcW w:w="16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251,158,265.52</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5,991,782,652.80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5,902,994,144.42</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229,719,270.30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5,673,274,874.12</w:t>
            </w:r>
          </w:p>
        </w:tc>
      </w:tr>
    </w:tbl>
    <w:p w:rsidR="007F3A90" w:rsidRDefault="00CC38FA">
      <w:pPr>
        <w:keepNext/>
        <w:keepLines/>
        <w:spacing w:before="300" w:after="300" w:line="280" w:lineRule="exact"/>
        <w:outlineLvl w:val="3"/>
        <w:rPr>
          <w:rFonts w:ascii="宋体" w:eastAsia="宋体" w:hAnsi="宋体" w:cs="宋体"/>
          <w:b/>
          <w:bCs/>
          <w:szCs w:val="21"/>
        </w:rPr>
      </w:pPr>
      <w:bookmarkStart w:id="195" w:name="_Toc989085"/>
      <w:r>
        <w:rPr>
          <w:rFonts w:ascii="宋体" w:eastAsia="宋体" w:hAnsi="宋体" w:cs="宋体"/>
          <w:b/>
          <w:bCs/>
          <w:szCs w:val="21"/>
        </w:rPr>
        <w:t>（2） 存货跌价准备和合同履约成本减值准备</w:t>
      </w:r>
      <w:bookmarkEnd w:id="195"/>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959"/>
        <w:gridCol w:w="1559"/>
        <w:gridCol w:w="1613"/>
        <w:gridCol w:w="1222"/>
        <w:gridCol w:w="1559"/>
        <w:gridCol w:w="1276"/>
        <w:gridCol w:w="1451"/>
      </w:tblGrid>
      <w:tr w:rsidR="007F3A90" w:rsidTr="005F11D2">
        <w:trPr>
          <w:trHeight w:val="240"/>
        </w:trPr>
        <w:tc>
          <w:tcPr>
            <w:tcW w:w="9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83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283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本期减少金额</w:t>
            </w:r>
          </w:p>
        </w:tc>
        <w:tc>
          <w:tcPr>
            <w:tcW w:w="145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7F3A90" w:rsidTr="005F11D2">
        <w:trPr>
          <w:trHeight w:val="240"/>
        </w:trPr>
        <w:tc>
          <w:tcPr>
            <w:tcW w:w="95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6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22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转回或转销</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45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rsidTr="005F11D2">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原材料</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69,307,560.32</w:t>
            </w:r>
          </w:p>
        </w:tc>
        <w:tc>
          <w:tcPr>
            <w:tcW w:w="16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13,677,241.58</w:t>
            </w:r>
          </w:p>
        </w:tc>
        <w:tc>
          <w:tcPr>
            <w:tcW w:w="122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82,984,801.90</w:t>
            </w:r>
          </w:p>
        </w:tc>
      </w:tr>
      <w:tr w:rsidR="007F3A90" w:rsidTr="005F11D2">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在产品</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157,773,658.53</w:t>
            </w:r>
          </w:p>
        </w:tc>
        <w:tc>
          <w:tcPr>
            <w:tcW w:w="16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15,720,065.03</w:t>
            </w:r>
          </w:p>
        </w:tc>
        <w:tc>
          <w:tcPr>
            <w:tcW w:w="122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12,341,158.60</w:t>
            </w:r>
          </w:p>
        </w:tc>
        <w:tc>
          <w:tcPr>
            <w:tcW w:w="12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161,152,564.96</w:t>
            </w:r>
          </w:p>
        </w:tc>
      </w:tr>
      <w:tr w:rsidR="007F3A90" w:rsidTr="005F11D2">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库存商品</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2,638,051.45</w:t>
            </w:r>
          </w:p>
        </w:tc>
        <w:tc>
          <w:tcPr>
            <w:tcW w:w="16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4,784,366.07</w:t>
            </w:r>
          </w:p>
        </w:tc>
        <w:tc>
          <w:tcPr>
            <w:tcW w:w="122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401,518.86</w:t>
            </w:r>
          </w:p>
        </w:tc>
        <w:tc>
          <w:tcPr>
            <w:tcW w:w="12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7,020,898.66</w:t>
            </w:r>
          </w:p>
        </w:tc>
      </w:tr>
      <w:tr w:rsidR="007F3A90" w:rsidTr="005F11D2">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229,719,270.30</w:t>
            </w:r>
          </w:p>
        </w:tc>
        <w:tc>
          <w:tcPr>
            <w:tcW w:w="16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34,181,672.68</w:t>
            </w:r>
          </w:p>
        </w:tc>
        <w:tc>
          <w:tcPr>
            <w:tcW w:w="122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12,742,677.46</w:t>
            </w:r>
          </w:p>
        </w:tc>
        <w:tc>
          <w:tcPr>
            <w:tcW w:w="12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251,158,265.52</w:t>
            </w:r>
          </w:p>
        </w:tc>
      </w:tr>
    </w:tbl>
    <w:p w:rsidR="007F3A90" w:rsidRDefault="007F3A90"/>
    <w:p w:rsidR="007F3A90" w:rsidRDefault="00CC38FA">
      <w:pPr>
        <w:pStyle w:val="3"/>
        <w:spacing w:line="280" w:lineRule="exact"/>
        <w:jc w:val="left"/>
        <w:rPr>
          <w:rFonts w:ascii="宋体" w:hAnsi="宋体" w:cs="宋体"/>
          <w:b/>
          <w:bCs/>
        </w:rPr>
      </w:pPr>
      <w:bookmarkStart w:id="196" w:name="_Toc989086"/>
      <w:r>
        <w:rPr>
          <w:rFonts w:ascii="宋体" w:hAnsi="宋体" w:cs="宋体"/>
          <w:b/>
          <w:bCs/>
        </w:rPr>
        <w:t>9、其他流动资产</w:t>
      </w:r>
      <w:bookmarkEnd w:id="196"/>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待抵扣进项税</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151,931,463.87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109,894,278.58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其他税费重分类</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1,958,975.11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7,381,980.09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银行理财产品</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50,165,616.44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50,165,616.44</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204,056,055.42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167,441,875.11</w:t>
            </w:r>
          </w:p>
        </w:tc>
      </w:tr>
    </w:tbl>
    <w:p w:rsidR="007F3A90" w:rsidRDefault="00CC38FA">
      <w:pPr>
        <w:pStyle w:val="3"/>
        <w:spacing w:line="280" w:lineRule="exact"/>
        <w:jc w:val="left"/>
        <w:rPr>
          <w:rFonts w:ascii="宋体" w:hAnsi="宋体" w:cs="宋体"/>
          <w:b/>
          <w:bCs/>
        </w:rPr>
      </w:pPr>
      <w:bookmarkStart w:id="197" w:name="_Toc989087"/>
      <w:r>
        <w:rPr>
          <w:rFonts w:ascii="宋体" w:hAnsi="宋体" w:cs="宋体"/>
          <w:b/>
          <w:bCs/>
        </w:rPr>
        <w:t>10、其他权益工具投资</w:t>
      </w:r>
      <w:bookmarkEnd w:id="197"/>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0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510"/>
        <w:gridCol w:w="2977"/>
        <w:gridCol w:w="3119"/>
      </w:tblGrid>
      <w:tr w:rsidR="000457AA" w:rsidTr="000457AA">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0457AA" w:rsidRDefault="000457AA">
            <w:pPr>
              <w:spacing w:before="40" w:after="40" w:line="240" w:lineRule="exact"/>
              <w:jc w:val="center"/>
              <w:rPr>
                <w:rFonts w:ascii="宋体" w:eastAsia="宋体" w:hAnsi="宋体" w:cs="宋体"/>
                <w:sz w:val="18"/>
                <w:szCs w:val="18"/>
              </w:rPr>
            </w:pPr>
            <w:r>
              <w:rPr>
                <w:rFonts w:ascii="宋体" w:eastAsia="宋体" w:hAnsi="宋体" w:cs="宋体"/>
                <w:sz w:val="18"/>
                <w:szCs w:val="18"/>
              </w:rPr>
              <w:t>项目名称</w:t>
            </w:r>
          </w:p>
        </w:tc>
        <w:tc>
          <w:tcPr>
            <w:tcW w:w="2977" w:type="dxa"/>
            <w:tcBorders>
              <w:top w:val="single" w:sz="2" w:space="0" w:color="auto"/>
              <w:left w:val="single" w:sz="2" w:space="0" w:color="auto"/>
              <w:bottom w:val="single" w:sz="2" w:space="0" w:color="auto"/>
              <w:right w:val="single" w:sz="2" w:space="0" w:color="auto"/>
            </w:tcBorders>
            <w:shd w:val="clear" w:color="auto" w:fill="D3D3D3"/>
            <w:vAlign w:val="center"/>
          </w:tcPr>
          <w:p w:rsidR="000457AA" w:rsidRDefault="000457A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rsidR="000457AA" w:rsidRDefault="000457A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0457AA" w:rsidTr="000457AA">
        <w:trPr>
          <w:trHeight w:val="240"/>
        </w:trPr>
        <w:tc>
          <w:tcPr>
            <w:tcW w:w="3510" w:type="dxa"/>
            <w:tcBorders>
              <w:top w:val="single" w:sz="2" w:space="0" w:color="auto"/>
              <w:left w:val="single" w:sz="2" w:space="0" w:color="auto"/>
              <w:bottom w:val="single" w:sz="2" w:space="0" w:color="auto"/>
              <w:right w:val="single" w:sz="2" w:space="0" w:color="auto"/>
            </w:tcBorders>
            <w:vAlign w:val="center"/>
          </w:tcPr>
          <w:p w:rsidR="000457AA" w:rsidRDefault="000457AA">
            <w:pPr>
              <w:spacing w:line="240" w:lineRule="exact"/>
              <w:rPr>
                <w:rFonts w:ascii="宋体" w:eastAsia="宋体" w:hAnsi="宋体" w:cs="宋体"/>
                <w:sz w:val="18"/>
                <w:szCs w:val="18"/>
              </w:rPr>
            </w:pPr>
            <w:r>
              <w:rPr>
                <w:rFonts w:ascii="宋体" w:eastAsia="宋体" w:hAnsi="宋体" w:cs="宋体"/>
                <w:sz w:val="18"/>
                <w:szCs w:val="18"/>
              </w:rPr>
              <w:t>青软创新科技集团股份有限公司</w:t>
            </w:r>
          </w:p>
        </w:tc>
        <w:tc>
          <w:tcPr>
            <w:tcW w:w="2977" w:type="dxa"/>
            <w:tcBorders>
              <w:top w:val="single" w:sz="2" w:space="0" w:color="auto"/>
              <w:left w:val="single" w:sz="2" w:space="0" w:color="auto"/>
              <w:bottom w:val="single" w:sz="2" w:space="0" w:color="auto"/>
              <w:right w:val="single" w:sz="2" w:space="0" w:color="auto"/>
            </w:tcBorders>
            <w:vAlign w:val="center"/>
          </w:tcPr>
          <w:p w:rsidR="000457AA" w:rsidRDefault="000457AA">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3119" w:type="dxa"/>
            <w:tcBorders>
              <w:top w:val="single" w:sz="2" w:space="0" w:color="auto"/>
              <w:left w:val="single" w:sz="2" w:space="0" w:color="auto"/>
              <w:bottom w:val="single" w:sz="2" w:space="0" w:color="auto"/>
              <w:right w:val="single" w:sz="2" w:space="0" w:color="auto"/>
            </w:tcBorders>
            <w:vAlign w:val="center"/>
          </w:tcPr>
          <w:p w:rsidR="000457AA" w:rsidRDefault="000457AA">
            <w:pPr>
              <w:spacing w:line="240" w:lineRule="exact"/>
              <w:jc w:val="right"/>
              <w:rPr>
                <w:rFonts w:ascii="宋体" w:eastAsia="宋体" w:hAnsi="宋体" w:cs="宋体"/>
                <w:sz w:val="18"/>
                <w:szCs w:val="18"/>
              </w:rPr>
            </w:pPr>
            <w:r>
              <w:rPr>
                <w:rFonts w:ascii="宋体" w:eastAsia="宋体" w:hAnsi="宋体" w:cs="宋体"/>
                <w:sz w:val="18"/>
                <w:szCs w:val="18"/>
              </w:rPr>
              <w:t>30,000,000.00</w:t>
            </w:r>
          </w:p>
        </w:tc>
      </w:tr>
      <w:tr w:rsidR="000457AA" w:rsidTr="000457AA">
        <w:trPr>
          <w:trHeight w:val="240"/>
        </w:trPr>
        <w:tc>
          <w:tcPr>
            <w:tcW w:w="3510" w:type="dxa"/>
            <w:tcBorders>
              <w:top w:val="single" w:sz="2" w:space="0" w:color="auto"/>
              <w:left w:val="single" w:sz="2" w:space="0" w:color="auto"/>
              <w:bottom w:val="single" w:sz="2" w:space="0" w:color="auto"/>
              <w:right w:val="single" w:sz="2" w:space="0" w:color="auto"/>
            </w:tcBorders>
            <w:vAlign w:val="center"/>
          </w:tcPr>
          <w:p w:rsidR="000457AA" w:rsidRDefault="000457AA">
            <w:pPr>
              <w:spacing w:line="240" w:lineRule="exact"/>
              <w:rPr>
                <w:rFonts w:ascii="宋体" w:eastAsia="宋体" w:hAnsi="宋体" w:cs="宋体"/>
                <w:sz w:val="18"/>
                <w:szCs w:val="18"/>
              </w:rPr>
            </w:pPr>
            <w:r>
              <w:rPr>
                <w:rFonts w:ascii="宋体" w:eastAsia="宋体" w:hAnsi="宋体" w:cs="宋体"/>
                <w:sz w:val="18"/>
                <w:szCs w:val="18"/>
              </w:rPr>
              <w:t>青岛万方循环科技有限公司</w:t>
            </w:r>
          </w:p>
        </w:tc>
        <w:tc>
          <w:tcPr>
            <w:tcW w:w="2977" w:type="dxa"/>
            <w:tcBorders>
              <w:top w:val="single" w:sz="2" w:space="0" w:color="auto"/>
              <w:left w:val="single" w:sz="2" w:space="0" w:color="auto"/>
              <w:bottom w:val="single" w:sz="2" w:space="0" w:color="auto"/>
              <w:right w:val="single" w:sz="2" w:space="0" w:color="auto"/>
            </w:tcBorders>
            <w:vAlign w:val="center"/>
          </w:tcPr>
          <w:p w:rsidR="000457AA" w:rsidRDefault="000457AA">
            <w:pPr>
              <w:spacing w:line="240" w:lineRule="exact"/>
              <w:jc w:val="right"/>
              <w:rPr>
                <w:rFonts w:ascii="宋体" w:eastAsia="宋体" w:hAnsi="宋体" w:cs="宋体"/>
                <w:sz w:val="18"/>
                <w:szCs w:val="18"/>
              </w:rPr>
            </w:pPr>
            <w:r>
              <w:rPr>
                <w:rFonts w:ascii="宋体" w:eastAsia="宋体" w:hAnsi="宋体" w:cs="宋体"/>
                <w:sz w:val="18"/>
                <w:szCs w:val="18"/>
              </w:rPr>
              <w:t>22,312,030.87</w:t>
            </w:r>
          </w:p>
        </w:tc>
        <w:tc>
          <w:tcPr>
            <w:tcW w:w="3119" w:type="dxa"/>
            <w:tcBorders>
              <w:top w:val="single" w:sz="2" w:space="0" w:color="auto"/>
              <w:left w:val="single" w:sz="2" w:space="0" w:color="auto"/>
              <w:bottom w:val="single" w:sz="2" w:space="0" w:color="auto"/>
              <w:right w:val="single" w:sz="2" w:space="0" w:color="auto"/>
            </w:tcBorders>
            <w:vAlign w:val="center"/>
          </w:tcPr>
          <w:p w:rsidR="000457AA" w:rsidRDefault="000457AA">
            <w:pPr>
              <w:spacing w:line="240" w:lineRule="exact"/>
              <w:jc w:val="right"/>
              <w:rPr>
                <w:rFonts w:ascii="宋体" w:eastAsia="宋体" w:hAnsi="宋体" w:cs="宋体"/>
                <w:sz w:val="18"/>
                <w:szCs w:val="18"/>
              </w:rPr>
            </w:pPr>
            <w:r>
              <w:rPr>
                <w:rFonts w:ascii="宋体" w:eastAsia="宋体" w:hAnsi="宋体" w:cs="宋体"/>
                <w:sz w:val="18"/>
                <w:szCs w:val="18"/>
              </w:rPr>
              <w:t>22,312,030.87</w:t>
            </w:r>
          </w:p>
        </w:tc>
      </w:tr>
      <w:tr w:rsidR="000457AA" w:rsidTr="000457AA">
        <w:trPr>
          <w:trHeight w:val="240"/>
        </w:trPr>
        <w:tc>
          <w:tcPr>
            <w:tcW w:w="3510" w:type="dxa"/>
            <w:tcBorders>
              <w:top w:val="single" w:sz="2" w:space="0" w:color="auto"/>
              <w:left w:val="single" w:sz="2" w:space="0" w:color="auto"/>
              <w:bottom w:val="single" w:sz="2" w:space="0" w:color="auto"/>
              <w:right w:val="single" w:sz="2" w:space="0" w:color="auto"/>
            </w:tcBorders>
            <w:vAlign w:val="center"/>
          </w:tcPr>
          <w:p w:rsidR="000457AA" w:rsidRDefault="000457AA">
            <w:pPr>
              <w:spacing w:line="240" w:lineRule="exact"/>
              <w:rPr>
                <w:rFonts w:ascii="宋体" w:eastAsia="宋体" w:hAnsi="宋体" w:cs="宋体"/>
                <w:sz w:val="18"/>
                <w:szCs w:val="18"/>
              </w:rPr>
            </w:pPr>
            <w:r>
              <w:rPr>
                <w:rFonts w:ascii="宋体" w:eastAsia="宋体" w:hAnsi="宋体" w:cs="宋体"/>
                <w:sz w:val="18"/>
                <w:szCs w:val="18"/>
              </w:rPr>
              <w:t>青岛科捷机器人有限公司</w:t>
            </w:r>
          </w:p>
        </w:tc>
        <w:tc>
          <w:tcPr>
            <w:tcW w:w="2977" w:type="dxa"/>
            <w:tcBorders>
              <w:top w:val="single" w:sz="2" w:space="0" w:color="auto"/>
              <w:left w:val="single" w:sz="2" w:space="0" w:color="auto"/>
              <w:bottom w:val="single" w:sz="2" w:space="0" w:color="auto"/>
              <w:right w:val="single" w:sz="2" w:space="0" w:color="auto"/>
            </w:tcBorders>
            <w:vAlign w:val="center"/>
          </w:tcPr>
          <w:p w:rsidR="000457AA" w:rsidRDefault="000457AA">
            <w:pPr>
              <w:spacing w:line="240" w:lineRule="exact"/>
              <w:jc w:val="right"/>
              <w:rPr>
                <w:rFonts w:ascii="宋体" w:eastAsia="宋体" w:hAnsi="宋体" w:cs="宋体"/>
                <w:sz w:val="18"/>
                <w:szCs w:val="18"/>
              </w:rPr>
            </w:pPr>
            <w:r>
              <w:rPr>
                <w:rFonts w:ascii="宋体" w:eastAsia="宋体" w:hAnsi="宋体" w:cs="宋体"/>
                <w:sz w:val="18"/>
                <w:szCs w:val="18"/>
              </w:rPr>
              <w:t>11,730,000.00</w:t>
            </w:r>
          </w:p>
        </w:tc>
        <w:tc>
          <w:tcPr>
            <w:tcW w:w="3119" w:type="dxa"/>
            <w:tcBorders>
              <w:top w:val="single" w:sz="2" w:space="0" w:color="auto"/>
              <w:left w:val="single" w:sz="2" w:space="0" w:color="auto"/>
              <w:bottom w:val="single" w:sz="2" w:space="0" w:color="auto"/>
              <w:right w:val="single" w:sz="2" w:space="0" w:color="auto"/>
            </w:tcBorders>
            <w:vAlign w:val="center"/>
          </w:tcPr>
          <w:p w:rsidR="000457AA" w:rsidRDefault="000457AA">
            <w:pPr>
              <w:spacing w:line="240" w:lineRule="exact"/>
              <w:jc w:val="right"/>
              <w:rPr>
                <w:rFonts w:ascii="宋体" w:eastAsia="宋体" w:hAnsi="宋体" w:cs="宋体"/>
                <w:sz w:val="18"/>
                <w:szCs w:val="18"/>
              </w:rPr>
            </w:pPr>
            <w:r>
              <w:rPr>
                <w:rFonts w:ascii="宋体" w:eastAsia="宋体" w:hAnsi="宋体" w:cs="宋体"/>
                <w:sz w:val="18"/>
                <w:szCs w:val="18"/>
              </w:rPr>
              <w:t>11,730,000.00</w:t>
            </w:r>
          </w:p>
        </w:tc>
      </w:tr>
      <w:tr w:rsidR="000457AA" w:rsidTr="000457AA">
        <w:trPr>
          <w:trHeight w:val="240"/>
        </w:trPr>
        <w:tc>
          <w:tcPr>
            <w:tcW w:w="3510" w:type="dxa"/>
            <w:tcBorders>
              <w:top w:val="single" w:sz="2" w:space="0" w:color="auto"/>
              <w:left w:val="single" w:sz="2" w:space="0" w:color="auto"/>
              <w:bottom w:val="single" w:sz="2" w:space="0" w:color="auto"/>
              <w:right w:val="single" w:sz="2" w:space="0" w:color="auto"/>
            </w:tcBorders>
            <w:vAlign w:val="center"/>
          </w:tcPr>
          <w:p w:rsidR="000457AA" w:rsidRDefault="000457AA">
            <w:pPr>
              <w:spacing w:line="240" w:lineRule="exact"/>
              <w:rPr>
                <w:rFonts w:ascii="宋体" w:eastAsia="宋体" w:hAnsi="宋体" w:cs="宋体"/>
                <w:sz w:val="18"/>
                <w:szCs w:val="18"/>
              </w:rPr>
            </w:pPr>
            <w:r>
              <w:rPr>
                <w:rFonts w:ascii="宋体" w:eastAsia="宋体" w:hAnsi="宋体" w:cs="宋体"/>
                <w:sz w:val="18"/>
                <w:szCs w:val="18"/>
              </w:rPr>
              <w:t>华商汇通融资租赁有限公司</w:t>
            </w:r>
          </w:p>
        </w:tc>
        <w:tc>
          <w:tcPr>
            <w:tcW w:w="2977" w:type="dxa"/>
            <w:tcBorders>
              <w:top w:val="single" w:sz="2" w:space="0" w:color="auto"/>
              <w:left w:val="single" w:sz="2" w:space="0" w:color="auto"/>
              <w:bottom w:val="single" w:sz="2" w:space="0" w:color="auto"/>
              <w:right w:val="single" w:sz="2" w:space="0" w:color="auto"/>
            </w:tcBorders>
            <w:vAlign w:val="center"/>
          </w:tcPr>
          <w:p w:rsidR="000457AA" w:rsidRDefault="000457AA">
            <w:pPr>
              <w:spacing w:line="240" w:lineRule="exact"/>
              <w:jc w:val="right"/>
              <w:rPr>
                <w:rFonts w:ascii="宋体" w:eastAsia="宋体" w:hAnsi="宋体" w:cs="宋体"/>
                <w:sz w:val="18"/>
                <w:szCs w:val="18"/>
              </w:rPr>
            </w:pPr>
            <w:r>
              <w:rPr>
                <w:rFonts w:ascii="宋体" w:eastAsia="宋体" w:hAnsi="宋体" w:cs="宋体"/>
                <w:sz w:val="18"/>
                <w:szCs w:val="18"/>
              </w:rPr>
              <w:t>10,836,000.00</w:t>
            </w:r>
          </w:p>
        </w:tc>
        <w:tc>
          <w:tcPr>
            <w:tcW w:w="3119" w:type="dxa"/>
            <w:tcBorders>
              <w:top w:val="single" w:sz="2" w:space="0" w:color="auto"/>
              <w:left w:val="single" w:sz="2" w:space="0" w:color="auto"/>
              <w:bottom w:val="single" w:sz="2" w:space="0" w:color="auto"/>
              <w:right w:val="single" w:sz="2" w:space="0" w:color="auto"/>
            </w:tcBorders>
            <w:vAlign w:val="center"/>
          </w:tcPr>
          <w:p w:rsidR="000457AA" w:rsidRDefault="000457AA">
            <w:pPr>
              <w:spacing w:line="240" w:lineRule="exact"/>
              <w:jc w:val="right"/>
              <w:rPr>
                <w:rFonts w:ascii="宋体" w:eastAsia="宋体" w:hAnsi="宋体" w:cs="宋体"/>
                <w:sz w:val="18"/>
                <w:szCs w:val="18"/>
              </w:rPr>
            </w:pPr>
            <w:r>
              <w:rPr>
                <w:rFonts w:ascii="宋体" w:eastAsia="宋体" w:hAnsi="宋体" w:cs="宋体"/>
                <w:sz w:val="18"/>
                <w:szCs w:val="18"/>
              </w:rPr>
              <w:t>10,836,000.00</w:t>
            </w:r>
          </w:p>
        </w:tc>
      </w:tr>
      <w:tr w:rsidR="000457AA" w:rsidTr="000457AA">
        <w:trPr>
          <w:trHeight w:val="240"/>
        </w:trPr>
        <w:tc>
          <w:tcPr>
            <w:tcW w:w="3510" w:type="dxa"/>
            <w:tcBorders>
              <w:top w:val="single" w:sz="2" w:space="0" w:color="auto"/>
              <w:left w:val="single" w:sz="2" w:space="0" w:color="auto"/>
              <w:bottom w:val="single" w:sz="2" w:space="0" w:color="auto"/>
              <w:right w:val="single" w:sz="2" w:space="0" w:color="auto"/>
            </w:tcBorders>
            <w:vAlign w:val="center"/>
          </w:tcPr>
          <w:p w:rsidR="000457AA" w:rsidRDefault="000457AA">
            <w:pPr>
              <w:spacing w:line="240" w:lineRule="exact"/>
              <w:rPr>
                <w:rFonts w:ascii="宋体" w:eastAsia="宋体" w:hAnsi="宋体" w:cs="宋体"/>
                <w:sz w:val="18"/>
                <w:szCs w:val="18"/>
              </w:rPr>
            </w:pPr>
            <w:r>
              <w:rPr>
                <w:rFonts w:ascii="宋体" w:eastAsia="宋体" w:hAnsi="宋体" w:cs="宋体"/>
                <w:sz w:val="18"/>
                <w:szCs w:val="18"/>
              </w:rPr>
              <w:t>科捷智能科技股份有限公司</w:t>
            </w:r>
          </w:p>
        </w:tc>
        <w:tc>
          <w:tcPr>
            <w:tcW w:w="2977" w:type="dxa"/>
            <w:tcBorders>
              <w:top w:val="single" w:sz="2" w:space="0" w:color="auto"/>
              <w:left w:val="single" w:sz="2" w:space="0" w:color="auto"/>
              <w:bottom w:val="single" w:sz="2" w:space="0" w:color="auto"/>
              <w:right w:val="single" w:sz="2" w:space="0" w:color="auto"/>
            </w:tcBorders>
            <w:vAlign w:val="center"/>
          </w:tcPr>
          <w:p w:rsidR="000457AA" w:rsidRDefault="000457AA">
            <w:pPr>
              <w:spacing w:line="240" w:lineRule="exact"/>
              <w:jc w:val="right"/>
              <w:rPr>
                <w:rFonts w:ascii="宋体" w:eastAsia="宋体" w:hAnsi="宋体" w:cs="宋体"/>
                <w:sz w:val="18"/>
                <w:szCs w:val="18"/>
              </w:rPr>
            </w:pPr>
            <w:r>
              <w:rPr>
                <w:rFonts w:ascii="宋体" w:eastAsia="宋体" w:hAnsi="宋体" w:cs="宋体"/>
                <w:sz w:val="18"/>
                <w:szCs w:val="18"/>
              </w:rPr>
              <w:t>59,641,039.50</w:t>
            </w:r>
          </w:p>
        </w:tc>
        <w:tc>
          <w:tcPr>
            <w:tcW w:w="3119" w:type="dxa"/>
            <w:tcBorders>
              <w:top w:val="single" w:sz="2" w:space="0" w:color="auto"/>
              <w:left w:val="single" w:sz="2" w:space="0" w:color="auto"/>
              <w:bottom w:val="single" w:sz="2" w:space="0" w:color="auto"/>
              <w:right w:val="single" w:sz="2" w:space="0" w:color="auto"/>
            </w:tcBorders>
            <w:vAlign w:val="center"/>
          </w:tcPr>
          <w:p w:rsidR="000457AA" w:rsidRDefault="000457AA">
            <w:pPr>
              <w:spacing w:line="240" w:lineRule="exact"/>
              <w:jc w:val="right"/>
              <w:rPr>
                <w:rFonts w:ascii="宋体" w:eastAsia="宋体" w:hAnsi="宋体" w:cs="宋体"/>
                <w:sz w:val="18"/>
                <w:szCs w:val="18"/>
              </w:rPr>
            </w:pPr>
            <w:r>
              <w:rPr>
                <w:rFonts w:ascii="宋体" w:eastAsia="宋体" w:hAnsi="宋体" w:cs="宋体"/>
                <w:sz w:val="18"/>
                <w:szCs w:val="18"/>
              </w:rPr>
              <w:t>20,419,205.95</w:t>
            </w:r>
          </w:p>
        </w:tc>
      </w:tr>
      <w:tr w:rsidR="000457AA" w:rsidTr="000457AA">
        <w:trPr>
          <w:trHeight w:val="240"/>
        </w:trPr>
        <w:tc>
          <w:tcPr>
            <w:tcW w:w="3510" w:type="dxa"/>
            <w:tcBorders>
              <w:top w:val="single" w:sz="2" w:space="0" w:color="auto"/>
              <w:left w:val="single" w:sz="2" w:space="0" w:color="auto"/>
              <w:bottom w:val="single" w:sz="2" w:space="0" w:color="auto"/>
              <w:right w:val="single" w:sz="2" w:space="0" w:color="auto"/>
            </w:tcBorders>
            <w:vAlign w:val="center"/>
          </w:tcPr>
          <w:p w:rsidR="000457AA" w:rsidRDefault="000457AA">
            <w:pPr>
              <w:spacing w:line="240" w:lineRule="exact"/>
              <w:rPr>
                <w:rFonts w:ascii="宋体" w:eastAsia="宋体" w:hAnsi="宋体" w:cs="宋体"/>
                <w:sz w:val="18"/>
                <w:szCs w:val="18"/>
              </w:rPr>
            </w:pPr>
            <w:r>
              <w:rPr>
                <w:rFonts w:ascii="宋体" w:eastAsia="宋体" w:hAnsi="宋体" w:cs="宋体"/>
                <w:sz w:val="18"/>
                <w:szCs w:val="18"/>
              </w:rPr>
              <w:t>七台河市飞嘉废旧轮胎综合利用有限公司</w:t>
            </w:r>
          </w:p>
        </w:tc>
        <w:tc>
          <w:tcPr>
            <w:tcW w:w="2977" w:type="dxa"/>
            <w:tcBorders>
              <w:top w:val="single" w:sz="2" w:space="0" w:color="auto"/>
              <w:left w:val="single" w:sz="2" w:space="0" w:color="auto"/>
              <w:bottom w:val="single" w:sz="2" w:space="0" w:color="auto"/>
              <w:right w:val="single" w:sz="2" w:space="0" w:color="auto"/>
            </w:tcBorders>
            <w:vAlign w:val="center"/>
          </w:tcPr>
          <w:p w:rsidR="000457AA" w:rsidRDefault="000457AA">
            <w:pPr>
              <w:spacing w:line="240" w:lineRule="exact"/>
              <w:jc w:val="right"/>
              <w:rPr>
                <w:rFonts w:ascii="宋体" w:eastAsia="宋体" w:hAnsi="宋体" w:cs="宋体"/>
                <w:sz w:val="18"/>
                <w:szCs w:val="18"/>
              </w:rPr>
            </w:pPr>
            <w:r>
              <w:rPr>
                <w:rFonts w:ascii="宋体" w:eastAsia="宋体" w:hAnsi="宋体" w:cs="宋体"/>
                <w:sz w:val="18"/>
                <w:szCs w:val="18"/>
              </w:rPr>
              <w:t>654,823.08</w:t>
            </w:r>
          </w:p>
        </w:tc>
        <w:tc>
          <w:tcPr>
            <w:tcW w:w="3119" w:type="dxa"/>
            <w:tcBorders>
              <w:top w:val="single" w:sz="2" w:space="0" w:color="auto"/>
              <w:left w:val="single" w:sz="2" w:space="0" w:color="auto"/>
              <w:bottom w:val="single" w:sz="2" w:space="0" w:color="auto"/>
              <w:right w:val="single" w:sz="2" w:space="0" w:color="auto"/>
            </w:tcBorders>
            <w:vAlign w:val="center"/>
          </w:tcPr>
          <w:p w:rsidR="000457AA" w:rsidRDefault="000457AA">
            <w:pPr>
              <w:spacing w:line="240" w:lineRule="exact"/>
              <w:jc w:val="right"/>
              <w:rPr>
                <w:rFonts w:ascii="宋体" w:eastAsia="宋体" w:hAnsi="宋体" w:cs="宋体"/>
                <w:sz w:val="18"/>
                <w:szCs w:val="18"/>
              </w:rPr>
            </w:pPr>
            <w:r>
              <w:rPr>
                <w:rFonts w:ascii="宋体" w:eastAsia="宋体" w:hAnsi="宋体" w:cs="宋体"/>
                <w:sz w:val="18"/>
                <w:szCs w:val="18"/>
              </w:rPr>
              <w:t>654,823.08</w:t>
            </w:r>
          </w:p>
        </w:tc>
      </w:tr>
      <w:tr w:rsidR="000457AA" w:rsidTr="000457AA">
        <w:trPr>
          <w:trHeight w:val="240"/>
        </w:trPr>
        <w:tc>
          <w:tcPr>
            <w:tcW w:w="3510" w:type="dxa"/>
            <w:tcBorders>
              <w:top w:val="single" w:sz="2" w:space="0" w:color="auto"/>
              <w:left w:val="single" w:sz="2" w:space="0" w:color="auto"/>
              <w:bottom w:val="single" w:sz="2" w:space="0" w:color="auto"/>
              <w:right w:val="single" w:sz="2" w:space="0" w:color="auto"/>
            </w:tcBorders>
            <w:vAlign w:val="center"/>
          </w:tcPr>
          <w:p w:rsidR="000457AA" w:rsidRDefault="000457AA">
            <w:pPr>
              <w:spacing w:line="240" w:lineRule="exact"/>
              <w:rPr>
                <w:rFonts w:ascii="宋体" w:eastAsia="宋体" w:hAnsi="宋体" w:cs="宋体"/>
                <w:sz w:val="18"/>
                <w:szCs w:val="18"/>
              </w:rPr>
            </w:pPr>
            <w:r>
              <w:rPr>
                <w:rFonts w:ascii="宋体" w:eastAsia="宋体" w:hAnsi="宋体" w:cs="宋体"/>
                <w:sz w:val="18"/>
                <w:szCs w:val="18"/>
              </w:rPr>
              <w:t>天津农村商业银行股份有限公司</w:t>
            </w:r>
          </w:p>
        </w:tc>
        <w:tc>
          <w:tcPr>
            <w:tcW w:w="2977" w:type="dxa"/>
            <w:tcBorders>
              <w:top w:val="single" w:sz="2" w:space="0" w:color="auto"/>
              <w:left w:val="single" w:sz="2" w:space="0" w:color="auto"/>
              <w:bottom w:val="single" w:sz="2" w:space="0" w:color="auto"/>
              <w:right w:val="single" w:sz="2" w:space="0" w:color="auto"/>
            </w:tcBorders>
            <w:vAlign w:val="center"/>
          </w:tcPr>
          <w:p w:rsidR="000457AA" w:rsidRDefault="000457AA">
            <w:pPr>
              <w:spacing w:line="240" w:lineRule="exact"/>
              <w:jc w:val="right"/>
              <w:rPr>
                <w:rFonts w:ascii="宋体" w:eastAsia="宋体" w:hAnsi="宋体" w:cs="宋体"/>
                <w:sz w:val="18"/>
                <w:szCs w:val="18"/>
              </w:rPr>
            </w:pPr>
            <w:r>
              <w:rPr>
                <w:rFonts w:ascii="宋体" w:eastAsia="宋体" w:hAnsi="宋体" w:cs="宋体"/>
                <w:sz w:val="18"/>
                <w:szCs w:val="18"/>
              </w:rPr>
              <w:t>347,150,000.00</w:t>
            </w:r>
          </w:p>
        </w:tc>
        <w:tc>
          <w:tcPr>
            <w:tcW w:w="3119" w:type="dxa"/>
            <w:tcBorders>
              <w:top w:val="single" w:sz="2" w:space="0" w:color="auto"/>
              <w:left w:val="single" w:sz="2" w:space="0" w:color="auto"/>
              <w:bottom w:val="single" w:sz="2" w:space="0" w:color="auto"/>
              <w:right w:val="single" w:sz="2" w:space="0" w:color="auto"/>
            </w:tcBorders>
            <w:vAlign w:val="center"/>
          </w:tcPr>
          <w:p w:rsidR="000457AA" w:rsidRDefault="000457AA">
            <w:pPr>
              <w:spacing w:line="240" w:lineRule="exact"/>
              <w:jc w:val="right"/>
              <w:rPr>
                <w:rFonts w:ascii="宋体" w:eastAsia="宋体" w:hAnsi="宋体" w:cs="宋体"/>
                <w:sz w:val="18"/>
                <w:szCs w:val="18"/>
              </w:rPr>
            </w:pPr>
            <w:r>
              <w:rPr>
                <w:rFonts w:ascii="宋体" w:eastAsia="宋体" w:hAnsi="宋体" w:cs="宋体"/>
                <w:sz w:val="18"/>
                <w:szCs w:val="18"/>
              </w:rPr>
              <w:t>347,150,000.00</w:t>
            </w:r>
          </w:p>
        </w:tc>
      </w:tr>
      <w:tr w:rsidR="000457AA" w:rsidTr="000457AA">
        <w:trPr>
          <w:trHeight w:val="240"/>
        </w:trPr>
        <w:tc>
          <w:tcPr>
            <w:tcW w:w="3510" w:type="dxa"/>
            <w:tcBorders>
              <w:top w:val="single" w:sz="2" w:space="0" w:color="auto"/>
              <w:left w:val="single" w:sz="2" w:space="0" w:color="auto"/>
              <w:bottom w:val="single" w:sz="2" w:space="0" w:color="auto"/>
              <w:right w:val="single" w:sz="2" w:space="0" w:color="auto"/>
            </w:tcBorders>
            <w:vAlign w:val="center"/>
          </w:tcPr>
          <w:p w:rsidR="000457AA" w:rsidRDefault="000457AA">
            <w:pPr>
              <w:spacing w:line="240" w:lineRule="exact"/>
              <w:rPr>
                <w:rFonts w:ascii="宋体" w:eastAsia="宋体" w:hAnsi="宋体" w:cs="宋体"/>
                <w:sz w:val="18"/>
                <w:szCs w:val="18"/>
              </w:rPr>
            </w:pPr>
            <w:r>
              <w:rPr>
                <w:rFonts w:ascii="宋体" w:eastAsia="宋体" w:hAnsi="宋体" w:cs="宋体"/>
                <w:sz w:val="18"/>
                <w:szCs w:val="18"/>
              </w:rPr>
              <w:t>怡维怡橡胶研究院有限公司</w:t>
            </w:r>
          </w:p>
        </w:tc>
        <w:tc>
          <w:tcPr>
            <w:tcW w:w="2977" w:type="dxa"/>
            <w:tcBorders>
              <w:top w:val="single" w:sz="2" w:space="0" w:color="auto"/>
              <w:left w:val="single" w:sz="2" w:space="0" w:color="auto"/>
              <w:bottom w:val="single" w:sz="2" w:space="0" w:color="auto"/>
              <w:right w:val="single" w:sz="2" w:space="0" w:color="auto"/>
            </w:tcBorders>
            <w:vAlign w:val="center"/>
          </w:tcPr>
          <w:p w:rsidR="000457AA" w:rsidRDefault="000457AA">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119" w:type="dxa"/>
            <w:tcBorders>
              <w:top w:val="single" w:sz="2" w:space="0" w:color="auto"/>
              <w:left w:val="single" w:sz="2" w:space="0" w:color="auto"/>
              <w:bottom w:val="single" w:sz="2" w:space="0" w:color="auto"/>
              <w:right w:val="single" w:sz="2" w:space="0" w:color="auto"/>
            </w:tcBorders>
            <w:vAlign w:val="center"/>
          </w:tcPr>
          <w:p w:rsidR="000457AA" w:rsidRDefault="000457AA">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0457AA" w:rsidTr="000457AA">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0457AA" w:rsidRDefault="000457A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977" w:type="dxa"/>
            <w:tcBorders>
              <w:top w:val="single" w:sz="2" w:space="0" w:color="auto"/>
              <w:left w:val="single" w:sz="2" w:space="0" w:color="auto"/>
              <w:bottom w:val="single" w:sz="2" w:space="0" w:color="auto"/>
              <w:right w:val="single" w:sz="2" w:space="0" w:color="auto"/>
            </w:tcBorders>
            <w:vAlign w:val="center"/>
          </w:tcPr>
          <w:p w:rsidR="000457AA" w:rsidRDefault="000457AA">
            <w:pPr>
              <w:spacing w:line="240" w:lineRule="exact"/>
              <w:jc w:val="right"/>
              <w:rPr>
                <w:rFonts w:ascii="宋体" w:eastAsia="宋体" w:hAnsi="宋体" w:cs="宋体"/>
                <w:sz w:val="18"/>
                <w:szCs w:val="18"/>
              </w:rPr>
            </w:pPr>
            <w:r>
              <w:rPr>
                <w:rFonts w:ascii="宋体" w:eastAsia="宋体" w:hAnsi="宋体" w:cs="宋体"/>
                <w:sz w:val="18"/>
                <w:szCs w:val="18"/>
              </w:rPr>
              <w:t>482,323,893.45</w:t>
            </w:r>
          </w:p>
        </w:tc>
        <w:tc>
          <w:tcPr>
            <w:tcW w:w="3119" w:type="dxa"/>
            <w:tcBorders>
              <w:top w:val="single" w:sz="2" w:space="0" w:color="auto"/>
              <w:left w:val="single" w:sz="2" w:space="0" w:color="auto"/>
              <w:bottom w:val="single" w:sz="2" w:space="0" w:color="auto"/>
              <w:right w:val="single" w:sz="2" w:space="0" w:color="auto"/>
            </w:tcBorders>
            <w:vAlign w:val="center"/>
          </w:tcPr>
          <w:p w:rsidR="000457AA" w:rsidRDefault="000457AA">
            <w:pPr>
              <w:spacing w:line="240" w:lineRule="exact"/>
              <w:jc w:val="right"/>
              <w:rPr>
                <w:rFonts w:ascii="宋体" w:eastAsia="宋体" w:hAnsi="宋体" w:cs="宋体"/>
                <w:sz w:val="18"/>
                <w:szCs w:val="18"/>
              </w:rPr>
            </w:pPr>
            <w:r>
              <w:rPr>
                <w:rFonts w:ascii="宋体" w:eastAsia="宋体" w:hAnsi="宋体" w:cs="宋体"/>
                <w:sz w:val="18"/>
                <w:szCs w:val="18"/>
              </w:rPr>
              <w:t>443,102,059.90</w:t>
            </w:r>
          </w:p>
        </w:tc>
      </w:tr>
    </w:tbl>
    <w:p w:rsidR="007F3A90" w:rsidRDefault="00CC38FA">
      <w:pPr>
        <w:pStyle w:val="3"/>
        <w:spacing w:line="280" w:lineRule="exact"/>
        <w:jc w:val="left"/>
        <w:rPr>
          <w:rFonts w:ascii="宋体" w:hAnsi="宋体" w:cs="宋体"/>
          <w:b/>
          <w:bCs/>
        </w:rPr>
      </w:pPr>
      <w:bookmarkStart w:id="198" w:name="_Toc989088"/>
      <w:r>
        <w:rPr>
          <w:rFonts w:ascii="宋体" w:hAnsi="宋体" w:cs="宋体"/>
          <w:b/>
          <w:bCs/>
        </w:rPr>
        <w:lastRenderedPageBreak/>
        <w:t>11、长期股权投资</w:t>
      </w:r>
      <w:bookmarkEnd w:id="198"/>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42"/>
        <w:gridCol w:w="709"/>
        <w:gridCol w:w="709"/>
        <w:gridCol w:w="567"/>
        <w:gridCol w:w="567"/>
        <w:gridCol w:w="850"/>
        <w:gridCol w:w="709"/>
        <w:gridCol w:w="709"/>
        <w:gridCol w:w="850"/>
        <w:gridCol w:w="709"/>
        <w:gridCol w:w="534"/>
        <w:gridCol w:w="884"/>
        <w:gridCol w:w="600"/>
      </w:tblGrid>
      <w:tr w:rsidR="007F3A90" w:rsidTr="005F11D2">
        <w:trPr>
          <w:trHeight w:val="240"/>
        </w:trPr>
        <w:tc>
          <w:tcPr>
            <w:tcW w:w="124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w:t>
            </w:r>
          </w:p>
        </w:tc>
        <w:tc>
          <w:tcPr>
            <w:tcW w:w="70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70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减值准备期初余额</w:t>
            </w:r>
          </w:p>
        </w:tc>
        <w:tc>
          <w:tcPr>
            <w:tcW w:w="5495"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88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6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7F3A90" w:rsidTr="005F11D2">
        <w:trPr>
          <w:trHeight w:val="240"/>
        </w:trPr>
        <w:tc>
          <w:tcPr>
            <w:tcW w:w="124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0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0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权益法下确认的投资损益</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其他综合收益调整</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其他权益变动</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宣告发放现金股利或利润</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53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88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6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一、合营企业</w:t>
            </w:r>
          </w:p>
        </w:tc>
      </w:tr>
      <w:tr w:rsidR="007F3A90">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二、联营企业</w:t>
            </w:r>
          </w:p>
        </w:tc>
      </w:tr>
      <w:tr w:rsidR="007F3A90" w:rsidTr="005F11D2">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青岛青维科技发展有限公司</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9,903,147.70</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-382.86</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34"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9,902,764.84</w:t>
            </w:r>
          </w:p>
        </w:tc>
        <w:tc>
          <w:tcPr>
            <w:tcW w:w="60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5F11D2">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青岛华商汇通控股有限公司</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64,746,581.59</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-14,172.53</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34"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64,732,409.06</w:t>
            </w:r>
          </w:p>
        </w:tc>
        <w:tc>
          <w:tcPr>
            <w:tcW w:w="60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5F11D2">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四川凯力威科技股份有限公司</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52,166,364.42</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1,772,949.74</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34"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53,939,314.16</w:t>
            </w:r>
          </w:p>
        </w:tc>
        <w:tc>
          <w:tcPr>
            <w:tcW w:w="60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5F11D2">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青岛纵联工业技术有限公司</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1,348,729.87</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3,792.04</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34"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1,352,521.91</w:t>
            </w:r>
          </w:p>
        </w:tc>
        <w:tc>
          <w:tcPr>
            <w:tcW w:w="60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5F11D2">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小计</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128,164,823.58</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1,762,186.39</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34"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129,927,009.97</w:t>
            </w:r>
          </w:p>
        </w:tc>
        <w:tc>
          <w:tcPr>
            <w:tcW w:w="60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5F11D2">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128,164,823.58</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1,762,186.39</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34"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129,927,009.97</w:t>
            </w:r>
          </w:p>
        </w:tc>
        <w:tc>
          <w:tcPr>
            <w:tcW w:w="60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可收回金额按公允价值减去处置费用后的净额确定</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可收回金额按预计未来现金流量的现值确定</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前述信息与以前年度减值测试采用的信息或外部信息明显不一致的差异原因</w:t>
      </w:r>
    </w:p>
    <w:p w:rsidR="00CC38FA" w:rsidRDefault="00CC38FA">
      <w:pPr>
        <w:pStyle w:val="a3"/>
        <w:divId w:val="700937968"/>
        <w:rPr>
          <w:sz w:val="18"/>
          <w:szCs w:val="18"/>
        </w:rPr>
      </w:pPr>
      <w:r>
        <w:rPr>
          <w:rFonts w:hint="eastAsia"/>
          <w:sz w:val="18"/>
          <w:szCs w:val="18"/>
        </w:rPr>
        <w:t>无。</w:t>
      </w:r>
    </w:p>
    <w:p w:rsidR="007F3A90" w:rsidRDefault="00CC38FA">
      <w:pPr>
        <w:pStyle w:val="3"/>
        <w:spacing w:line="280" w:lineRule="exact"/>
        <w:jc w:val="left"/>
        <w:rPr>
          <w:rFonts w:ascii="宋体" w:hAnsi="宋体" w:cs="宋体"/>
          <w:b/>
          <w:bCs/>
        </w:rPr>
      </w:pPr>
      <w:bookmarkStart w:id="199" w:name="_Toc989089"/>
      <w:r>
        <w:rPr>
          <w:rFonts w:ascii="宋体" w:hAnsi="宋体" w:cs="宋体"/>
          <w:b/>
          <w:bCs/>
        </w:rPr>
        <w:t>12、固定资产</w:t>
      </w:r>
      <w:bookmarkEnd w:id="199"/>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2,165,483,565.51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2,221,406,601.56</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固定资产清理</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24,379,115.90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268,840.00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2,189,862,681.41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2,221,675,441.56</w:t>
            </w:r>
          </w:p>
        </w:tc>
      </w:tr>
    </w:tbl>
    <w:p w:rsidR="007F3A90" w:rsidRDefault="00CC38FA">
      <w:pPr>
        <w:keepNext/>
        <w:keepLines/>
        <w:spacing w:before="300" w:after="300" w:line="280" w:lineRule="exact"/>
        <w:outlineLvl w:val="3"/>
        <w:rPr>
          <w:rFonts w:ascii="宋体" w:eastAsia="宋体" w:hAnsi="宋体" w:cs="宋体"/>
          <w:b/>
          <w:bCs/>
          <w:szCs w:val="21"/>
        </w:rPr>
      </w:pPr>
      <w:bookmarkStart w:id="200" w:name="_Toc989090"/>
      <w:r>
        <w:rPr>
          <w:rFonts w:ascii="宋体" w:eastAsia="宋体" w:hAnsi="宋体" w:cs="宋体"/>
          <w:b/>
          <w:bCs/>
          <w:szCs w:val="21"/>
        </w:rPr>
        <w:t>（1） 固定资产情况</w:t>
      </w:r>
      <w:bookmarkEnd w:id="200"/>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7F3A90" w:rsidTr="005F11D2">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jc w:val="center"/>
              <w:rPr>
                <w:rFonts w:ascii="宋体" w:eastAsia="宋体" w:hAnsi="宋体" w:cs="宋体"/>
                <w:sz w:val="18"/>
                <w:szCs w:val="18"/>
              </w:rPr>
            </w:pPr>
            <w:r>
              <w:rPr>
                <w:rFonts w:ascii="宋体" w:eastAsia="宋体" w:hAnsi="宋体" w:cs="宋体"/>
                <w:sz w:val="18"/>
                <w:szCs w:val="18"/>
              </w:rPr>
              <w:t>房屋及建筑物</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jc w:val="center"/>
              <w:rPr>
                <w:rFonts w:ascii="宋体" w:eastAsia="宋体" w:hAnsi="宋体" w:cs="宋体"/>
                <w:sz w:val="18"/>
                <w:szCs w:val="18"/>
              </w:rPr>
            </w:pPr>
            <w:r>
              <w:rPr>
                <w:rFonts w:ascii="宋体" w:eastAsia="宋体" w:hAnsi="宋体" w:cs="宋体"/>
                <w:sz w:val="18"/>
                <w:szCs w:val="18"/>
              </w:rPr>
              <w:t>机器设备</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jc w:val="center"/>
              <w:rPr>
                <w:rFonts w:ascii="宋体" w:eastAsia="宋体" w:hAnsi="宋体" w:cs="宋体"/>
                <w:sz w:val="18"/>
                <w:szCs w:val="18"/>
              </w:rPr>
            </w:pPr>
            <w:r>
              <w:rPr>
                <w:rFonts w:ascii="宋体" w:eastAsia="宋体" w:hAnsi="宋体" w:cs="宋体"/>
                <w:sz w:val="18"/>
                <w:szCs w:val="18"/>
              </w:rPr>
              <w:t>电子设备</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jc w:val="center"/>
              <w:rPr>
                <w:rFonts w:ascii="宋体" w:eastAsia="宋体" w:hAnsi="宋体" w:cs="宋体"/>
                <w:sz w:val="18"/>
                <w:szCs w:val="18"/>
              </w:rPr>
            </w:pPr>
            <w:r>
              <w:rPr>
                <w:rFonts w:ascii="宋体" w:eastAsia="宋体" w:hAnsi="宋体" w:cs="宋体"/>
                <w:sz w:val="18"/>
                <w:szCs w:val="18"/>
              </w:rPr>
              <w:t>办公设备</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jc w:val="center"/>
              <w:rPr>
                <w:rFonts w:ascii="宋体" w:eastAsia="宋体" w:hAnsi="宋体" w:cs="宋体"/>
                <w:sz w:val="18"/>
                <w:szCs w:val="18"/>
              </w:rPr>
            </w:pPr>
            <w:r>
              <w:rPr>
                <w:rFonts w:ascii="宋体" w:eastAsia="宋体" w:hAnsi="宋体" w:cs="宋体"/>
                <w:sz w:val="18"/>
                <w:szCs w:val="18"/>
              </w:rPr>
              <w:t>运输设备</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jc w:val="center"/>
              <w:rPr>
                <w:rFonts w:ascii="宋体" w:eastAsia="宋体" w:hAnsi="宋体" w:cs="宋体"/>
                <w:sz w:val="18"/>
                <w:szCs w:val="18"/>
              </w:rPr>
            </w:pPr>
            <w:r>
              <w:rPr>
                <w:rFonts w:ascii="宋体" w:eastAsia="宋体" w:hAnsi="宋体" w:cs="宋体"/>
                <w:sz w:val="18"/>
                <w:szCs w:val="18"/>
              </w:rPr>
              <w:t>其他</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一、账面原</w:t>
            </w:r>
            <w:r>
              <w:rPr>
                <w:rFonts w:ascii="宋体" w:eastAsia="宋体" w:hAnsi="宋体" w:cs="宋体"/>
                <w:sz w:val="18"/>
                <w:szCs w:val="18"/>
              </w:rPr>
              <w:lastRenderedPageBreak/>
              <w:t>值：</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lastRenderedPageBreak/>
              <w:t>1.期初余额</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1,411,584,356.69</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1,859,041,908.64</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68,386,665.01</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67,571,655.73</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47,515,559.63</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3,206,582.68</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3,457,306,728.38</w:t>
            </w: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2,590,965.22</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127,088,882.52</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3,923,253.51</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5,540,368.28</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352,040.04</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125,261.17</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139,620,770.74</w:t>
            </w: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（1）购置</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115,248.89</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58,534,175.30</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3,923,253.51</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5,369,291.72</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352,040.04</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125,261.17</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68,419,270.63</w:t>
            </w: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（2）在建工程转入</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2,475,716.33</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68,554,707.22</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171,076.56</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71,201,500.11</w:t>
            </w: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（3）企业合并增加</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72,856,989.88</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1,881,414.24</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765,717.68</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847,582.61</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76,351,704.41</w:t>
            </w: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72,856,989.88</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1,881,414.24</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765,717.68</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847,582.61</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76,351,704.41</w:t>
            </w: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1,414,175,321.91</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1,913,273,801.28</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70,428,504.28</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72,346,306.33</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47,020,017.06</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3,331,843.85</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3,520,575,794.71</w:t>
            </w: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二、累计折旧</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347,691,969.59</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776,683,033.35</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47,852,795.90</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30,214,344.91</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27,627,647.89</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2,874,761.35</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1,232,944,552.99</w:t>
            </w: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33,621,321.99</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86,473,465.63</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5,595,324.14</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6,003,984.92</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2,906,434.65</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9,019.08</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134,609,550.41</w:t>
            </w: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33,621,321.99</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86,473,465.63</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5,595,324.14</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6,003,984.92</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2,906,434.65</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9,019.08</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134,609,550.41</w:t>
            </w: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12,538,367.52</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1,784,966.62</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650,236.17</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443,877.72</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15,417,448.03</w:t>
            </w: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12,538,367.52</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1,784,966.62</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650,236.17</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443,877.72</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15,417,448.03</w:t>
            </w: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381,313,291.58</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850,618,131.46</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51,663,153.42</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35,568,093.66</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30,090,204.82</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2,883,780.43</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1,352,136,655.37</w:t>
            </w: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2,955,573.83</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2,955,573.83</w:t>
            </w: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lastRenderedPageBreak/>
              <w:t>（1）处置或报废</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2,955,573.83</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2,955,573.83</w:t>
            </w: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1,032,862,030.33</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1,059,700,095.99</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18,765,350.86</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36,778,212.67</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16,929,812.24</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448,063.42</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2,165,483,565.51</w:t>
            </w:r>
          </w:p>
        </w:tc>
      </w:tr>
      <w:tr w:rsidR="007F3A9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1,063,892,387.10</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1,079,403,301.46</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20,533,869.11</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37,357,310.82</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19,887,911.74</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331,821.33</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2,221,406,601.56</w:t>
            </w:r>
          </w:p>
        </w:tc>
      </w:tr>
    </w:tbl>
    <w:p w:rsidR="007F3A90" w:rsidRDefault="00CC38FA">
      <w:pPr>
        <w:keepNext/>
        <w:keepLines/>
        <w:spacing w:before="300" w:after="300" w:line="280" w:lineRule="exact"/>
        <w:outlineLvl w:val="3"/>
        <w:rPr>
          <w:rFonts w:ascii="宋体" w:eastAsia="宋体" w:hAnsi="宋体" w:cs="宋体"/>
          <w:b/>
          <w:bCs/>
          <w:szCs w:val="21"/>
        </w:rPr>
      </w:pPr>
      <w:bookmarkStart w:id="201" w:name="_Toc989091"/>
      <w:r>
        <w:rPr>
          <w:rFonts w:ascii="宋体" w:eastAsia="宋体" w:hAnsi="宋体" w:cs="宋体"/>
          <w:b/>
          <w:bCs/>
          <w:szCs w:val="21"/>
        </w:rPr>
        <w:t>（2） 未办妥产权证书的固定资产情况</w:t>
      </w:r>
      <w:bookmarkEnd w:id="201"/>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未办妥产权证书的原因</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益凯EVE厂房</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96,836,003.37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正在办理中</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抚顺伊科思厂房及办公楼</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42,089,130.79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正在办理中</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敬业机电办公楼</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26,612,833.94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正在办理中</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敬业机械厂房</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4,730,280.30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正在办理中</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荣成房产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5,183,466.37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正在办理中</w:t>
            </w:r>
          </w:p>
        </w:tc>
      </w:tr>
    </w:tbl>
    <w:p w:rsidR="007F3A90" w:rsidRDefault="00CC38FA">
      <w:pPr>
        <w:keepNext/>
        <w:keepLines/>
        <w:spacing w:before="300" w:after="300" w:line="280" w:lineRule="exact"/>
        <w:outlineLvl w:val="3"/>
        <w:rPr>
          <w:rFonts w:ascii="宋体" w:eastAsia="宋体" w:hAnsi="宋体" w:cs="宋体"/>
          <w:b/>
          <w:bCs/>
          <w:szCs w:val="21"/>
        </w:rPr>
      </w:pPr>
      <w:bookmarkStart w:id="202" w:name="_Toc989092"/>
      <w:r>
        <w:rPr>
          <w:rFonts w:ascii="宋体" w:eastAsia="宋体" w:hAnsi="宋体" w:cs="宋体"/>
          <w:b/>
          <w:bCs/>
          <w:szCs w:val="21"/>
        </w:rPr>
        <w:t>（3） 固定资产的减值测试情况</w:t>
      </w:r>
      <w:bookmarkEnd w:id="202"/>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keepNext/>
        <w:keepLines/>
        <w:spacing w:before="300" w:after="300" w:line="280" w:lineRule="exact"/>
        <w:outlineLvl w:val="3"/>
        <w:rPr>
          <w:rFonts w:ascii="宋体" w:eastAsia="宋体" w:hAnsi="宋体" w:cs="宋体"/>
          <w:b/>
          <w:bCs/>
          <w:szCs w:val="21"/>
        </w:rPr>
      </w:pPr>
      <w:bookmarkStart w:id="203" w:name="_Toc989093"/>
      <w:r>
        <w:rPr>
          <w:rFonts w:ascii="宋体" w:eastAsia="宋体" w:hAnsi="宋体" w:cs="宋体"/>
          <w:b/>
          <w:bCs/>
          <w:szCs w:val="21"/>
        </w:rPr>
        <w:t>（4） 固定资产清理</w:t>
      </w:r>
      <w:bookmarkEnd w:id="203"/>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固定资产清理</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24,379,115.90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268,840.00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24,379,115.90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268,840.00</w:t>
            </w:r>
          </w:p>
        </w:tc>
      </w:tr>
    </w:tbl>
    <w:p w:rsidR="007F3A90" w:rsidRDefault="00CC38FA">
      <w:pPr>
        <w:pStyle w:val="3"/>
        <w:spacing w:line="280" w:lineRule="exact"/>
        <w:jc w:val="left"/>
        <w:rPr>
          <w:rFonts w:ascii="宋体" w:hAnsi="宋体" w:cs="宋体"/>
          <w:b/>
          <w:bCs/>
        </w:rPr>
      </w:pPr>
      <w:bookmarkStart w:id="204" w:name="_Toc989094"/>
      <w:r>
        <w:rPr>
          <w:rFonts w:ascii="宋体" w:hAnsi="宋体" w:cs="宋体"/>
          <w:b/>
          <w:bCs/>
        </w:rPr>
        <w:t>13、在建工程</w:t>
      </w:r>
      <w:bookmarkEnd w:id="204"/>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611,329,854.86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580,504,540.03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611,329,854.86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580,504,540.03</w:t>
            </w:r>
          </w:p>
        </w:tc>
      </w:tr>
    </w:tbl>
    <w:p w:rsidR="007F3A90" w:rsidRDefault="00CC38FA">
      <w:pPr>
        <w:keepNext/>
        <w:keepLines/>
        <w:spacing w:before="300" w:after="300" w:line="280" w:lineRule="exact"/>
        <w:outlineLvl w:val="3"/>
        <w:rPr>
          <w:rFonts w:ascii="宋体" w:eastAsia="宋体" w:hAnsi="宋体" w:cs="宋体"/>
          <w:b/>
          <w:bCs/>
          <w:szCs w:val="21"/>
        </w:rPr>
      </w:pPr>
      <w:bookmarkStart w:id="205" w:name="_Toc989095"/>
      <w:r>
        <w:rPr>
          <w:rFonts w:ascii="宋体" w:eastAsia="宋体" w:hAnsi="宋体" w:cs="宋体"/>
          <w:b/>
          <w:bCs/>
          <w:szCs w:val="21"/>
        </w:rPr>
        <w:t>（1） 在建工程情况</w:t>
      </w:r>
      <w:bookmarkEnd w:id="205"/>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51"/>
        <w:gridCol w:w="1559"/>
        <w:gridCol w:w="709"/>
        <w:gridCol w:w="1559"/>
        <w:gridCol w:w="1560"/>
        <w:gridCol w:w="708"/>
        <w:gridCol w:w="1593"/>
      </w:tblGrid>
      <w:tr w:rsidR="007F3A90" w:rsidTr="005F11D2">
        <w:trPr>
          <w:trHeight w:val="240"/>
        </w:trPr>
        <w:tc>
          <w:tcPr>
            <w:tcW w:w="195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2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6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rsidTr="005F11D2">
        <w:trPr>
          <w:trHeight w:val="240"/>
        </w:trPr>
        <w:tc>
          <w:tcPr>
            <w:tcW w:w="195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59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7F3A90" w:rsidTr="005F11D2">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碳五低碳综合利用绿色新材料项目</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446,499,145.86</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446,499,145.86</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412,614,140.90</w:t>
            </w: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412,614,140.90</w:t>
            </w:r>
          </w:p>
        </w:tc>
      </w:tr>
      <w:tr w:rsidR="007F3A90" w:rsidTr="005F11D2">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lastRenderedPageBreak/>
              <w:t>EVE胶项目一期</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126,416,997.60</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126,416,997.60</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89,359,525.47</w:t>
            </w: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89,359,525.47</w:t>
            </w:r>
          </w:p>
        </w:tc>
      </w:tr>
      <w:tr w:rsidR="007F3A90" w:rsidTr="005F11D2">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柬埔寨低碳能源工厂供热项目</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8,833,810.60</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8,833,810.60</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8,833,810.60</w:t>
            </w: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8,833,810.60</w:t>
            </w:r>
          </w:p>
        </w:tc>
      </w:tr>
      <w:tr w:rsidR="007F3A90" w:rsidTr="005F11D2">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后处理单元VOCS深度治理项目</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8,193,707.90</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8,193,707.90</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7,137,353.13</w:t>
            </w: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7,137,353.13</w:t>
            </w:r>
          </w:p>
        </w:tc>
      </w:tr>
      <w:tr w:rsidR="007F3A90" w:rsidTr="005F11D2">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5MW光伏项目</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6,955,726.63</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6,955,726.63</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5F11D2">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装备产业园南园区改造项目</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3,435,278.80</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3,435,278.80</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5F11D2">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装备产业园BC栋钢结构接建项目</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1,045,871.56</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1,045,871.56</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5F11D2">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模具车间数字化转型项目</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3,483,533.22</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3,483,533.22</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5F11D2">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数控五轴轮胎模具枪钻机床安装项目</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1,946,902.65</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1,946,902.65</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5F11D2">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轮胎成型机装配车间扩建项目</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1,871,583.02</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1,871,583.02</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5F11D2">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绿色低碳碳五余热回收利用项目</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1,534,612.92</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1,534,612.92</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5F11D2">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1,112,684.10</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1,112,684.10</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1,055,232.74</w:t>
            </w: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1,055,232.74</w:t>
            </w:r>
          </w:p>
        </w:tc>
      </w:tr>
      <w:tr w:rsidR="007F3A90" w:rsidTr="005F11D2">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EB自动化设备</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51,876,106.19</w:t>
            </w: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51,876,106.19</w:t>
            </w:r>
          </w:p>
        </w:tc>
      </w:tr>
      <w:tr w:rsidR="007F3A90" w:rsidTr="005F11D2">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天然气蒸汽锅炉节能提效改造项目</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9,628,371.00</w:t>
            </w: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9,628,371.00</w:t>
            </w:r>
          </w:p>
        </w:tc>
      </w:tr>
      <w:tr w:rsidR="007F3A90" w:rsidTr="005F11D2">
        <w:trPr>
          <w:trHeight w:val="240"/>
        </w:trPr>
        <w:tc>
          <w:tcPr>
            <w:tcW w:w="195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611,329,854.86</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611,329,854.86</w:t>
            </w:r>
          </w:p>
        </w:tc>
        <w:tc>
          <w:tcPr>
            <w:tcW w:w="15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580,504,540.03</w:t>
            </w: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580,504,540.03</w:t>
            </w:r>
          </w:p>
        </w:tc>
      </w:tr>
    </w:tbl>
    <w:p w:rsidR="007F3A90" w:rsidRDefault="00CC38FA">
      <w:pPr>
        <w:keepNext/>
        <w:keepLines/>
        <w:spacing w:before="300" w:after="300" w:line="280" w:lineRule="exact"/>
        <w:outlineLvl w:val="3"/>
        <w:rPr>
          <w:rFonts w:ascii="宋体" w:eastAsia="宋体" w:hAnsi="宋体" w:cs="宋体"/>
          <w:b/>
          <w:bCs/>
          <w:szCs w:val="21"/>
        </w:rPr>
      </w:pPr>
      <w:bookmarkStart w:id="206" w:name="_Toc989096"/>
      <w:r>
        <w:rPr>
          <w:rFonts w:ascii="宋体" w:eastAsia="宋体" w:hAnsi="宋体" w:cs="宋体"/>
          <w:b/>
          <w:bCs/>
          <w:szCs w:val="21"/>
        </w:rPr>
        <w:t>（2） 重要在建工程项目本期变动情况</w:t>
      </w:r>
      <w:bookmarkEnd w:id="206"/>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2"/>
        <w:gridCol w:w="742"/>
        <w:gridCol w:w="742"/>
        <w:gridCol w:w="742"/>
        <w:gridCol w:w="742"/>
        <w:gridCol w:w="742"/>
        <w:gridCol w:w="741"/>
        <w:gridCol w:w="741"/>
        <w:gridCol w:w="741"/>
        <w:gridCol w:w="741"/>
        <w:gridCol w:w="741"/>
        <w:gridCol w:w="741"/>
        <w:gridCol w:w="741"/>
      </w:tblGrid>
      <w:tr w:rsidR="007F3A9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项目名称</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预算数</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本期转入固定资产金额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本期其他减少金额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工程累计投入占预算比例</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工程进度</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利息资本化累计金额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其中：本期利息资本化金额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本期利息资本化率</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资金来源</w:t>
            </w:r>
          </w:p>
        </w:tc>
      </w:tr>
      <w:tr w:rsidR="007F3A90">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EVE 胶项目一期</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1,550,000,000.00</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89,359,525.47</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38,192,540.02</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1,135,067.89</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126,416,997.60</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89.49%</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89%</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w:t>
            </w:r>
          </w:p>
        </w:tc>
      </w:tr>
      <w:tr w:rsidR="007F3A90">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碳五低碳综合利用绿色新材料项目</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877,711,200.00</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412,614,140.90</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33,885,004.96</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446,499,145.86</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55.60%</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87%</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w:t>
            </w:r>
          </w:p>
        </w:tc>
      </w:tr>
      <w:tr w:rsidR="007F3A9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2,427,711,200.00</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501,973,666.37</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72,077,544.98</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1,135,067.89</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572,916,143.46</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bl>
    <w:p w:rsidR="007F3A90" w:rsidRDefault="00CC38FA">
      <w:pPr>
        <w:keepNext/>
        <w:keepLines/>
        <w:spacing w:before="300" w:after="300" w:line="280" w:lineRule="exact"/>
        <w:outlineLvl w:val="3"/>
        <w:rPr>
          <w:rFonts w:ascii="宋体" w:eastAsia="宋体" w:hAnsi="宋体" w:cs="宋体"/>
          <w:b/>
          <w:bCs/>
          <w:szCs w:val="21"/>
        </w:rPr>
      </w:pPr>
      <w:bookmarkStart w:id="207" w:name="_Toc989097"/>
      <w:r>
        <w:rPr>
          <w:rFonts w:ascii="宋体" w:eastAsia="宋体" w:hAnsi="宋体" w:cs="宋体"/>
          <w:b/>
          <w:bCs/>
          <w:szCs w:val="21"/>
        </w:rPr>
        <w:t>（3） 在建工程的减值测试情况</w:t>
      </w:r>
      <w:bookmarkEnd w:id="207"/>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pStyle w:val="3"/>
        <w:spacing w:line="280" w:lineRule="exact"/>
        <w:jc w:val="left"/>
        <w:rPr>
          <w:rFonts w:ascii="宋体" w:hAnsi="宋体" w:cs="宋体"/>
          <w:b/>
          <w:bCs/>
        </w:rPr>
      </w:pPr>
      <w:bookmarkStart w:id="208" w:name="_Toc989098"/>
      <w:r>
        <w:rPr>
          <w:rFonts w:ascii="宋体" w:hAnsi="宋体" w:cs="宋体"/>
          <w:b/>
          <w:bCs/>
        </w:rPr>
        <w:lastRenderedPageBreak/>
        <w:t>14、使用权资产</w:t>
      </w:r>
      <w:bookmarkEnd w:id="208"/>
    </w:p>
    <w:p w:rsidR="007F3A90" w:rsidRDefault="00CC38FA">
      <w:pPr>
        <w:keepNext/>
        <w:keepLines/>
        <w:spacing w:before="300" w:after="300" w:line="280" w:lineRule="exact"/>
        <w:outlineLvl w:val="3"/>
        <w:rPr>
          <w:rFonts w:ascii="宋体" w:eastAsia="宋体" w:hAnsi="宋体" w:cs="宋体"/>
          <w:b/>
          <w:bCs/>
          <w:szCs w:val="21"/>
        </w:rPr>
      </w:pPr>
      <w:bookmarkStart w:id="209" w:name="_Toc989099"/>
      <w:r>
        <w:rPr>
          <w:rFonts w:ascii="宋体" w:eastAsia="宋体" w:hAnsi="宋体" w:cs="宋体"/>
          <w:b/>
          <w:bCs/>
          <w:szCs w:val="21"/>
        </w:rPr>
        <w:t>（1） 使用权资产情况</w:t>
      </w:r>
      <w:bookmarkEnd w:id="209"/>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center"/>
              <w:rPr>
                <w:rFonts w:ascii="宋体" w:eastAsia="宋体" w:hAnsi="宋体" w:cs="宋体"/>
                <w:sz w:val="18"/>
                <w:szCs w:val="18"/>
              </w:rPr>
            </w:pPr>
            <w:r>
              <w:rPr>
                <w:rFonts w:ascii="宋体" w:eastAsia="宋体" w:hAnsi="宋体" w:cs="宋体"/>
                <w:sz w:val="18"/>
                <w:szCs w:val="18"/>
              </w:rPr>
              <w:t>房屋及建筑物</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67,101,981.34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67,101,981.34</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24,487,763.78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24,487,763.78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（1）新增及续租</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24,487,763.78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24,487,763.78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91,589,745.12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91,589,745.12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二、累计折旧</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20,865,721.76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20,865,721.76</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6,759,713.92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6,759,713.92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6,759,713.92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6,759,713.92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27,625,435.68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27,625,435.68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63,964,309.44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63,964,309.44</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46,236,259.58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46,236,259.58</w:t>
            </w:r>
          </w:p>
        </w:tc>
      </w:tr>
    </w:tbl>
    <w:p w:rsidR="007F3A90" w:rsidRDefault="00CC38FA">
      <w:pPr>
        <w:keepNext/>
        <w:keepLines/>
        <w:spacing w:before="300" w:after="300" w:line="280" w:lineRule="exact"/>
        <w:outlineLvl w:val="3"/>
        <w:rPr>
          <w:rFonts w:ascii="宋体" w:eastAsia="宋体" w:hAnsi="宋体" w:cs="宋体"/>
          <w:b/>
          <w:bCs/>
          <w:szCs w:val="21"/>
        </w:rPr>
      </w:pPr>
      <w:bookmarkStart w:id="210" w:name="_Toc989100"/>
      <w:r>
        <w:rPr>
          <w:rFonts w:ascii="宋体" w:eastAsia="宋体" w:hAnsi="宋体" w:cs="宋体"/>
          <w:b/>
          <w:bCs/>
          <w:szCs w:val="21"/>
        </w:rPr>
        <w:t>（2） 使用权资产的减值测试情况</w:t>
      </w:r>
      <w:bookmarkEnd w:id="210"/>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pStyle w:val="3"/>
        <w:spacing w:line="280" w:lineRule="exact"/>
        <w:jc w:val="left"/>
        <w:rPr>
          <w:rFonts w:ascii="宋体" w:hAnsi="宋体" w:cs="宋体"/>
          <w:b/>
          <w:bCs/>
        </w:rPr>
      </w:pPr>
      <w:bookmarkStart w:id="211" w:name="_Toc989101"/>
      <w:r>
        <w:rPr>
          <w:rFonts w:ascii="宋体" w:hAnsi="宋体" w:cs="宋体"/>
          <w:b/>
          <w:bCs/>
        </w:rPr>
        <w:t>15、无形资产</w:t>
      </w:r>
      <w:bookmarkEnd w:id="211"/>
    </w:p>
    <w:p w:rsidR="007F3A90" w:rsidRDefault="00CC38FA">
      <w:pPr>
        <w:keepNext/>
        <w:keepLines/>
        <w:spacing w:before="300" w:after="300" w:line="280" w:lineRule="exact"/>
        <w:outlineLvl w:val="3"/>
        <w:rPr>
          <w:rFonts w:ascii="宋体" w:eastAsia="宋体" w:hAnsi="宋体" w:cs="宋体"/>
          <w:b/>
          <w:bCs/>
          <w:szCs w:val="21"/>
        </w:rPr>
      </w:pPr>
      <w:bookmarkStart w:id="212" w:name="_Toc989102"/>
      <w:r>
        <w:rPr>
          <w:rFonts w:ascii="宋体" w:eastAsia="宋体" w:hAnsi="宋体" w:cs="宋体"/>
          <w:b/>
          <w:bCs/>
          <w:szCs w:val="21"/>
        </w:rPr>
        <w:t>（1） 无形资产情况</w:t>
      </w:r>
      <w:bookmarkEnd w:id="212"/>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7F3A90" w:rsidTr="005F11D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土地使用权</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专利权</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非专利技术</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jc w:val="center"/>
              <w:rPr>
                <w:rFonts w:ascii="宋体" w:eastAsia="宋体" w:hAnsi="宋体" w:cs="宋体"/>
                <w:sz w:val="18"/>
                <w:szCs w:val="18"/>
              </w:rPr>
            </w:pPr>
            <w:r>
              <w:rPr>
                <w:rFonts w:ascii="宋体" w:eastAsia="宋体" w:hAnsi="宋体" w:cs="宋体"/>
                <w:sz w:val="18"/>
                <w:szCs w:val="18"/>
              </w:rPr>
              <w:t>软件及其他</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396,311,760.53</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153,941,654.95</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43,158,409.98</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70,196,258.48</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663,608,083.94</w:t>
            </w: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24,541.71</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9,649,730.40</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4,844,929.24</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14,519,201.35</w:t>
            </w: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（1）购</w:t>
            </w:r>
            <w:r>
              <w:rPr>
                <w:rFonts w:ascii="宋体" w:eastAsia="宋体" w:hAnsi="宋体" w:cs="宋体"/>
                <w:sz w:val="18"/>
                <w:szCs w:val="18"/>
              </w:rPr>
              <w:lastRenderedPageBreak/>
              <w:t>置</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lastRenderedPageBreak/>
              <w:t>24,541.71</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9,649,730.40</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4,844,929.24</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14,519,201.35</w:t>
            </w: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lastRenderedPageBreak/>
              <w:t>（2）内部研发</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（3）企业合并增加</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396,336,302.24</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163,591,385.35</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43,158,409.98</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75,041,187.72</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678,127,285.29</w:t>
            </w: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二、累计摊销</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58,773,848.21</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73,623,285.54</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21,452,528.04</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41,525,615.77</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195,375,277.56</w:t>
            </w: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4,241,098.87</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4,568,428.55</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4,353,628.90</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2,562,961.42</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15,726,117.74</w:t>
            </w: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4,241,098.87</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4,568,428.55</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4,353,628.90</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2,562,961.42</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15,726,117.74</w:t>
            </w: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63,014,947.08</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78,191,714.09</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25,806,156.94</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44,088,577.19</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211,101,395.30</w:t>
            </w: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65,410,480.88</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65,410,480.88</w:t>
            </w: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65,410,480.88</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65,410,480.88</w:t>
            </w: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333,321,355.16</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19,989,190.38</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17,352,253.04</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30,952,610.53</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401,615,409.11</w:t>
            </w: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337,537,912.32</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14,907,888.53</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21,705,881.94</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28,670,642.71</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402,822,325.50</w:t>
            </w:r>
          </w:p>
        </w:tc>
      </w:tr>
    </w:tbl>
    <w:p w:rsidR="007F3A90" w:rsidRDefault="00CC38FA">
      <w:pPr>
        <w:keepNext/>
        <w:keepLines/>
        <w:spacing w:before="300" w:after="300" w:line="280" w:lineRule="exact"/>
        <w:outlineLvl w:val="3"/>
        <w:rPr>
          <w:rFonts w:ascii="宋体" w:eastAsia="宋体" w:hAnsi="宋体" w:cs="宋体"/>
          <w:b/>
          <w:bCs/>
          <w:szCs w:val="21"/>
        </w:rPr>
      </w:pPr>
      <w:bookmarkStart w:id="213" w:name="_Toc989103"/>
      <w:r>
        <w:rPr>
          <w:rFonts w:ascii="宋体" w:eastAsia="宋体" w:hAnsi="宋体" w:cs="宋体"/>
          <w:b/>
          <w:bCs/>
          <w:szCs w:val="21"/>
        </w:rPr>
        <w:t>（2） 无形资产的减值测试情况</w:t>
      </w:r>
      <w:bookmarkEnd w:id="213"/>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pStyle w:val="3"/>
        <w:spacing w:line="280" w:lineRule="exact"/>
        <w:jc w:val="left"/>
        <w:rPr>
          <w:rFonts w:ascii="宋体" w:hAnsi="宋体" w:cs="宋体"/>
          <w:b/>
          <w:bCs/>
        </w:rPr>
      </w:pPr>
      <w:bookmarkStart w:id="214" w:name="_Toc989104"/>
      <w:r>
        <w:rPr>
          <w:rFonts w:ascii="宋体" w:hAnsi="宋体" w:cs="宋体"/>
          <w:b/>
          <w:bCs/>
        </w:rPr>
        <w:lastRenderedPageBreak/>
        <w:t>16、商誉</w:t>
      </w:r>
      <w:bookmarkEnd w:id="214"/>
    </w:p>
    <w:p w:rsidR="007F3A90" w:rsidRDefault="00CC38FA">
      <w:pPr>
        <w:keepNext/>
        <w:keepLines/>
        <w:spacing w:before="300" w:after="300" w:line="280" w:lineRule="exact"/>
        <w:outlineLvl w:val="3"/>
        <w:rPr>
          <w:rFonts w:ascii="宋体" w:eastAsia="宋体" w:hAnsi="宋体" w:cs="宋体"/>
          <w:b/>
          <w:bCs/>
          <w:szCs w:val="21"/>
        </w:rPr>
      </w:pPr>
      <w:bookmarkStart w:id="215" w:name="_Toc989105"/>
      <w:r>
        <w:rPr>
          <w:rFonts w:ascii="宋体" w:eastAsia="宋体" w:hAnsi="宋体" w:cs="宋体"/>
          <w:b/>
          <w:bCs/>
          <w:szCs w:val="21"/>
        </w:rPr>
        <w:t>（1） 商誉账面原值</w:t>
      </w:r>
      <w:bookmarkEnd w:id="215"/>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802"/>
        <w:gridCol w:w="1701"/>
        <w:gridCol w:w="992"/>
        <w:gridCol w:w="850"/>
        <w:gridCol w:w="851"/>
        <w:gridCol w:w="850"/>
        <w:gridCol w:w="1593"/>
      </w:tblGrid>
      <w:tr w:rsidR="007F3A90" w:rsidTr="005F11D2">
        <w:trPr>
          <w:trHeight w:val="240"/>
        </w:trPr>
        <w:tc>
          <w:tcPr>
            <w:tcW w:w="28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7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8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70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5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7F3A90" w:rsidTr="005F11D2">
        <w:trPr>
          <w:trHeight w:val="240"/>
        </w:trPr>
        <w:tc>
          <w:tcPr>
            <w:tcW w:w="28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70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企业合并形成的</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center"/>
              <w:rPr>
                <w:rFonts w:ascii="宋体" w:eastAsia="宋体" w:hAnsi="宋体" w:cs="宋体"/>
                <w:sz w:val="18"/>
                <w:szCs w:val="18"/>
              </w:rPr>
            </w:pPr>
            <w:r>
              <w:rPr>
                <w:rFonts w:ascii="宋体" w:eastAsia="宋体" w:hAnsi="宋体" w:cs="宋体"/>
                <w:sz w:val="18"/>
                <w:szCs w:val="18"/>
              </w:rPr>
              <w:t>其他方式形成</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处置</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center"/>
              <w:rPr>
                <w:rFonts w:ascii="宋体" w:eastAsia="宋体" w:hAnsi="宋体" w:cs="宋体"/>
                <w:sz w:val="18"/>
                <w:szCs w:val="18"/>
              </w:rPr>
            </w:pPr>
            <w:r>
              <w:rPr>
                <w:rFonts w:ascii="宋体" w:eastAsia="宋体" w:hAnsi="宋体" w:cs="宋体"/>
                <w:sz w:val="18"/>
                <w:szCs w:val="18"/>
              </w:rPr>
              <w:t>其他方式减少</w:t>
            </w:r>
          </w:p>
        </w:tc>
        <w:tc>
          <w:tcPr>
            <w:tcW w:w="15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rsidTr="005F11D2">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DavianEnterprisesLLC</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7,362,583.28</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7,362,583.28</w:t>
            </w:r>
          </w:p>
        </w:tc>
      </w:tr>
      <w:tr w:rsidR="007F3A90" w:rsidTr="005F11D2">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青岛科捷自动化设备有限公司</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1,178,542.58</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1,178,542.58</w:t>
            </w:r>
          </w:p>
        </w:tc>
      </w:tr>
      <w:tr w:rsidR="007F3A90" w:rsidTr="005F11D2">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北京敬业机械设备有限公司</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62,895,120.19</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62,895,120.19</w:t>
            </w:r>
          </w:p>
        </w:tc>
      </w:tr>
      <w:tr w:rsidR="007F3A90" w:rsidTr="005F11D2">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抚顺伊科思新材料有限公司</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169,607,663.03</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169,607,663.03</w:t>
            </w:r>
          </w:p>
        </w:tc>
      </w:tr>
      <w:tr w:rsidR="007F3A90" w:rsidTr="005F11D2">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青岛睿诚新能源有限公司</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529,195.47</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529,195.47</w:t>
            </w:r>
          </w:p>
        </w:tc>
      </w:tr>
      <w:tr w:rsidR="007F3A90" w:rsidTr="005F11D2">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241,573,104.55</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241,573,104.55</w:t>
            </w:r>
          </w:p>
        </w:tc>
      </w:tr>
    </w:tbl>
    <w:p w:rsidR="007F3A90" w:rsidRDefault="00CC38FA">
      <w:pPr>
        <w:keepNext/>
        <w:keepLines/>
        <w:spacing w:before="300" w:after="300" w:line="280" w:lineRule="exact"/>
        <w:outlineLvl w:val="3"/>
        <w:rPr>
          <w:rFonts w:ascii="宋体" w:eastAsia="宋体" w:hAnsi="宋体" w:cs="宋体"/>
          <w:b/>
          <w:bCs/>
          <w:szCs w:val="21"/>
        </w:rPr>
      </w:pPr>
      <w:bookmarkStart w:id="216" w:name="_Toc989106"/>
      <w:r>
        <w:rPr>
          <w:rFonts w:ascii="宋体" w:eastAsia="宋体" w:hAnsi="宋体" w:cs="宋体"/>
          <w:b/>
          <w:bCs/>
          <w:szCs w:val="21"/>
        </w:rPr>
        <w:t>（2） 商誉减值准备</w:t>
      </w:r>
      <w:bookmarkEnd w:id="216"/>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085"/>
        <w:gridCol w:w="1701"/>
        <w:gridCol w:w="851"/>
        <w:gridCol w:w="850"/>
        <w:gridCol w:w="851"/>
        <w:gridCol w:w="708"/>
        <w:gridCol w:w="1593"/>
      </w:tblGrid>
      <w:tr w:rsidR="007F3A90" w:rsidTr="005F11D2">
        <w:trPr>
          <w:trHeight w:val="240"/>
        </w:trPr>
        <w:tc>
          <w:tcPr>
            <w:tcW w:w="308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7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70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55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5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7F3A90" w:rsidTr="005F11D2">
        <w:trPr>
          <w:trHeight w:val="240"/>
        </w:trPr>
        <w:tc>
          <w:tcPr>
            <w:tcW w:w="308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70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center"/>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处置</w:t>
            </w: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center"/>
              <w:rPr>
                <w:rFonts w:ascii="宋体" w:eastAsia="宋体" w:hAnsi="宋体" w:cs="宋体"/>
                <w:sz w:val="18"/>
                <w:szCs w:val="18"/>
              </w:rPr>
            </w:pPr>
          </w:p>
        </w:tc>
        <w:tc>
          <w:tcPr>
            <w:tcW w:w="15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rsidTr="005F11D2">
        <w:trPr>
          <w:trHeight w:val="240"/>
        </w:trPr>
        <w:tc>
          <w:tcPr>
            <w:tcW w:w="30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DavianEnterprisesLLC</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7,362,583.28</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7,362,583.28</w:t>
            </w:r>
          </w:p>
        </w:tc>
      </w:tr>
      <w:tr w:rsidR="007F3A90" w:rsidTr="005F11D2">
        <w:trPr>
          <w:trHeight w:val="240"/>
        </w:trPr>
        <w:tc>
          <w:tcPr>
            <w:tcW w:w="30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青岛科捷自动化设备有限公司</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1,178,542.58</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1,178,542.58</w:t>
            </w:r>
          </w:p>
        </w:tc>
      </w:tr>
      <w:tr w:rsidR="007F3A90" w:rsidTr="005F11D2">
        <w:trPr>
          <w:trHeight w:val="240"/>
        </w:trPr>
        <w:tc>
          <w:tcPr>
            <w:tcW w:w="30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北京敬业机械设备有限公司</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62,895,120.19</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62,895,120.19</w:t>
            </w:r>
          </w:p>
        </w:tc>
      </w:tr>
      <w:tr w:rsidR="007F3A90" w:rsidTr="005F11D2">
        <w:trPr>
          <w:trHeight w:val="240"/>
        </w:trPr>
        <w:tc>
          <w:tcPr>
            <w:tcW w:w="30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抚顺伊科思新材料有限公司</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169,607,663.03</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169,607,663.03</w:t>
            </w:r>
          </w:p>
        </w:tc>
      </w:tr>
      <w:tr w:rsidR="007F3A90" w:rsidTr="005F11D2">
        <w:trPr>
          <w:trHeight w:val="240"/>
        </w:trPr>
        <w:tc>
          <w:tcPr>
            <w:tcW w:w="30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青岛睿诚新能源有限公司</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529,195.47</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529,195.47</w:t>
            </w:r>
          </w:p>
        </w:tc>
      </w:tr>
      <w:tr w:rsidR="007F3A90" w:rsidTr="005F11D2">
        <w:trPr>
          <w:trHeight w:val="240"/>
        </w:trPr>
        <w:tc>
          <w:tcPr>
            <w:tcW w:w="308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241,573,104.55</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241,573,104.55</w:t>
            </w:r>
          </w:p>
        </w:tc>
      </w:tr>
    </w:tbl>
    <w:p w:rsidR="007F3A90" w:rsidRDefault="00CC38FA">
      <w:pPr>
        <w:keepNext/>
        <w:keepLines/>
        <w:spacing w:before="300" w:after="300" w:line="280" w:lineRule="exact"/>
        <w:outlineLvl w:val="3"/>
        <w:rPr>
          <w:rFonts w:ascii="宋体" w:eastAsia="宋体" w:hAnsi="宋体" w:cs="宋体"/>
          <w:b/>
          <w:bCs/>
          <w:szCs w:val="21"/>
        </w:rPr>
      </w:pPr>
      <w:bookmarkStart w:id="217" w:name="_Toc989107"/>
      <w:r w:rsidRPr="00153726">
        <w:rPr>
          <w:rFonts w:ascii="宋体" w:eastAsia="宋体" w:hAnsi="宋体" w:cs="宋体"/>
          <w:b/>
          <w:bCs/>
          <w:szCs w:val="21"/>
        </w:rPr>
        <w:t>（3） 商誉所在资产组或资产组组合的相关信息</w:t>
      </w:r>
      <w:bookmarkEnd w:id="217"/>
    </w:p>
    <w:p w:rsidR="00CC38FA" w:rsidRDefault="00CC38FA">
      <w:pPr>
        <w:pStyle w:val="a3"/>
        <w:spacing w:before="0" w:beforeAutospacing="0" w:after="0" w:afterAutospacing="0"/>
        <w:divId w:val="209072925"/>
        <w:rPr>
          <w:rFonts w:ascii="等线" w:eastAsia="等线" w:hAnsi="等线"/>
          <w:sz w:val="21"/>
          <w:szCs w:val="21"/>
        </w:rPr>
      </w:pPr>
      <w:r>
        <w:rPr>
          <w:rFonts w:hint="eastAsia"/>
          <w:sz w:val="18"/>
          <w:szCs w:val="18"/>
        </w:rPr>
        <w:t>上述公司商誉减值测试的资产组或资产组组合的构成情况如下：</w:t>
      </w:r>
    </w:p>
    <w:p w:rsidR="00CC38FA" w:rsidRDefault="00CC38FA">
      <w:pPr>
        <w:pStyle w:val="a3"/>
        <w:spacing w:before="0" w:beforeAutospacing="0" w:after="0" w:afterAutospacing="0"/>
        <w:ind w:firstLine="360"/>
        <w:divId w:val="209072925"/>
        <w:rPr>
          <w:rFonts w:ascii="等线" w:eastAsia="等线" w:hAnsi="等线"/>
          <w:sz w:val="21"/>
          <w:szCs w:val="21"/>
        </w:rPr>
      </w:pPr>
      <w:r>
        <w:rPr>
          <w:rFonts w:hint="eastAsia"/>
          <w:sz w:val="18"/>
          <w:szCs w:val="18"/>
        </w:rPr>
        <w:t>①抚顺伊科思本期期末资产组的认定范围，是其形成商誉的资产组涉及的资产，该资产组与购买日及以前年度商誉减值测试时所测试的资产组一致。评估范围包括无形资产、固定资产等。</w:t>
      </w:r>
    </w:p>
    <w:p w:rsidR="00CC38FA" w:rsidRDefault="00CC38FA">
      <w:pPr>
        <w:pStyle w:val="a3"/>
        <w:spacing w:before="0" w:beforeAutospacing="0" w:after="0" w:afterAutospacing="0"/>
        <w:ind w:firstLine="360"/>
        <w:divId w:val="209072925"/>
        <w:rPr>
          <w:rFonts w:ascii="等线" w:eastAsia="等线" w:hAnsi="等线"/>
          <w:sz w:val="21"/>
          <w:szCs w:val="21"/>
        </w:rPr>
      </w:pPr>
      <w:r>
        <w:rPr>
          <w:rFonts w:hint="eastAsia"/>
          <w:sz w:val="18"/>
          <w:szCs w:val="18"/>
        </w:rPr>
        <w:t>②敬业机械本期期末资产组的认定范围，是其形成商誉的资产组涉及的资产，该资产组与购买日及以前年度商誉减值测试时所测试的资产组一致。评估范围包括无形资产、固定资产等。</w:t>
      </w:r>
    </w:p>
    <w:p w:rsidR="00CC38FA" w:rsidRDefault="00CC38FA">
      <w:pPr>
        <w:pStyle w:val="a3"/>
        <w:spacing w:before="0" w:beforeAutospacing="0" w:after="0" w:afterAutospacing="0"/>
        <w:ind w:firstLine="360"/>
        <w:divId w:val="209072925"/>
        <w:rPr>
          <w:rFonts w:ascii="等线" w:eastAsia="等线" w:hAnsi="等线"/>
          <w:sz w:val="21"/>
          <w:szCs w:val="21"/>
        </w:rPr>
      </w:pPr>
      <w:r>
        <w:rPr>
          <w:rFonts w:hint="eastAsia"/>
          <w:sz w:val="18"/>
          <w:szCs w:val="18"/>
        </w:rPr>
        <w:t>③科捷自动化本期期末资产组的认定范围，是其形成商誉的资产组涉及的资产，该资产组与购买日及以前年度商誉减值测试时所测试的资产组一致。</w:t>
      </w:r>
    </w:p>
    <w:p w:rsidR="00CC38FA" w:rsidRDefault="00CC38FA">
      <w:pPr>
        <w:pStyle w:val="a3"/>
        <w:spacing w:before="0" w:beforeAutospacing="0" w:after="0" w:afterAutospacing="0"/>
        <w:ind w:firstLine="360"/>
        <w:divId w:val="209072925"/>
        <w:rPr>
          <w:rFonts w:ascii="等线" w:eastAsia="等线" w:hAnsi="等线"/>
          <w:sz w:val="21"/>
          <w:szCs w:val="21"/>
        </w:rPr>
      </w:pPr>
      <w:r>
        <w:rPr>
          <w:rFonts w:hint="eastAsia"/>
          <w:sz w:val="18"/>
          <w:szCs w:val="18"/>
        </w:rPr>
        <w:t>④DavianEnterprises LLC本期期末资产组的认定范围，是其形成商誉的资产组涉及的资产，该资产组与购买日及以前年度商誉减值测试时所测试的资产组一致。</w:t>
      </w:r>
    </w:p>
    <w:p w:rsidR="00CC38FA" w:rsidRDefault="00CC38FA">
      <w:pPr>
        <w:pStyle w:val="a3"/>
        <w:spacing w:before="0" w:beforeAutospacing="0" w:after="0" w:afterAutospacing="0"/>
        <w:ind w:firstLine="360"/>
        <w:divId w:val="209072925"/>
        <w:rPr>
          <w:rFonts w:ascii="等线" w:eastAsia="等线" w:hAnsi="等线"/>
          <w:sz w:val="21"/>
          <w:szCs w:val="21"/>
        </w:rPr>
      </w:pPr>
      <w:r>
        <w:rPr>
          <w:rFonts w:hint="eastAsia"/>
          <w:sz w:val="18"/>
          <w:szCs w:val="18"/>
        </w:rPr>
        <w:t>上述4个资产组的可回收金额中，抚顺伊科思资产组及敬业机械资产组的可回收金额分别利用了评估报告的评估结果。</w:t>
      </w:r>
    </w:p>
    <w:p w:rsidR="007F3A90" w:rsidRDefault="00CC38FA">
      <w:pPr>
        <w:pStyle w:val="3"/>
        <w:spacing w:line="280" w:lineRule="exact"/>
        <w:jc w:val="left"/>
        <w:rPr>
          <w:rFonts w:ascii="宋体" w:hAnsi="宋体" w:cs="宋体"/>
          <w:b/>
          <w:bCs/>
        </w:rPr>
      </w:pPr>
      <w:bookmarkStart w:id="218" w:name="_Toc989108"/>
      <w:r>
        <w:rPr>
          <w:rFonts w:ascii="宋体" w:hAnsi="宋体" w:cs="宋体"/>
          <w:b/>
          <w:bCs/>
        </w:rPr>
        <w:t>17、长期待摊费用</w:t>
      </w:r>
      <w:bookmarkEnd w:id="218"/>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本期摊销金额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其他减少金额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装修费</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2,610,077.17</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96,403.28</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377,511.30</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2,328,969.15</w:t>
            </w: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2,610,077.17</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96,403.28</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377,511.30</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2,328,969.15</w:t>
            </w:r>
          </w:p>
        </w:tc>
      </w:tr>
    </w:tbl>
    <w:p w:rsidR="007F3A90" w:rsidRDefault="00CC38FA">
      <w:pPr>
        <w:pStyle w:val="3"/>
        <w:spacing w:line="280" w:lineRule="exact"/>
        <w:jc w:val="left"/>
        <w:rPr>
          <w:rFonts w:ascii="宋体" w:hAnsi="宋体" w:cs="宋体"/>
          <w:b/>
          <w:bCs/>
        </w:rPr>
      </w:pPr>
      <w:bookmarkStart w:id="219" w:name="_Toc989109"/>
      <w:r>
        <w:rPr>
          <w:rFonts w:ascii="宋体" w:hAnsi="宋体" w:cs="宋体"/>
          <w:b/>
          <w:bCs/>
        </w:rPr>
        <w:lastRenderedPageBreak/>
        <w:t>18、递延所得税资产/递延所得税负债</w:t>
      </w:r>
      <w:bookmarkEnd w:id="219"/>
    </w:p>
    <w:p w:rsidR="007F3A90" w:rsidRDefault="00CC38FA">
      <w:pPr>
        <w:keepNext/>
        <w:keepLines/>
        <w:spacing w:before="300" w:after="300" w:line="280" w:lineRule="exact"/>
        <w:outlineLvl w:val="3"/>
        <w:rPr>
          <w:rFonts w:ascii="宋体" w:eastAsia="宋体" w:hAnsi="宋体" w:cs="宋体"/>
          <w:b/>
          <w:bCs/>
          <w:szCs w:val="21"/>
        </w:rPr>
      </w:pPr>
      <w:bookmarkStart w:id="220" w:name="_Toc989110"/>
      <w:r>
        <w:rPr>
          <w:rFonts w:ascii="宋体" w:eastAsia="宋体" w:hAnsi="宋体" w:cs="宋体"/>
          <w:b/>
          <w:bCs/>
          <w:szCs w:val="21"/>
        </w:rPr>
        <w:t>（1） 未经抵销的递延所得税资产</w:t>
      </w:r>
      <w:bookmarkEnd w:id="220"/>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F3A90" w:rsidTr="006F2C65">
        <w:trPr>
          <w:trHeight w:val="240"/>
        </w:trPr>
        <w:tc>
          <w:tcPr>
            <w:tcW w:w="192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rsidTr="006F2C65">
        <w:trPr>
          <w:trHeight w:val="240"/>
        </w:trPr>
        <w:tc>
          <w:tcPr>
            <w:tcW w:w="192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w:t>
            </w:r>
          </w:p>
        </w:tc>
      </w:tr>
      <w:tr w:rsidR="007F3A90" w:rsidTr="006F2C65">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资产减值准备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909,912,281.60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137,721,310.98</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926,483,187.40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140,670,804.26</w:t>
            </w:r>
          </w:p>
        </w:tc>
      </w:tr>
      <w:tr w:rsidR="007F3A90" w:rsidTr="006F2C65">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35,968,874.20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5,395,331.13</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27,741,768.79</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4,161,265.32</w:t>
            </w:r>
          </w:p>
        </w:tc>
      </w:tr>
      <w:tr w:rsidR="007F3A90" w:rsidTr="006F2C65">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可抵扣亏损</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123,173,704.66</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18,476,055.70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123,173,704.66</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18,476,055.70</w:t>
            </w:r>
          </w:p>
        </w:tc>
      </w:tr>
      <w:tr w:rsidR="007F3A90" w:rsidTr="006F2C65">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预提费用</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26,113,632.46</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4,326,079.50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31,834,601.30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4,775,190.19</w:t>
            </w:r>
          </w:p>
        </w:tc>
      </w:tr>
      <w:tr w:rsidR="007F3A90" w:rsidTr="006F2C65">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预计负债</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24,398,830.27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3,659,824.54</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23,012,334.20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3,451,850.13</w:t>
            </w:r>
          </w:p>
        </w:tc>
      </w:tr>
      <w:tr w:rsidR="007F3A90" w:rsidTr="006F2C65">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递延收益</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26,658,496.41</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5,143,149.25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26,593,107.96</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5,145,602.15</w:t>
            </w:r>
          </w:p>
        </w:tc>
      </w:tr>
      <w:tr w:rsidR="007F3A90" w:rsidTr="006F2C65">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股权激励费用</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151,869,097.40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25,275,199.51</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99,826,273.16</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16,428,598.72</w:t>
            </w:r>
          </w:p>
        </w:tc>
      </w:tr>
      <w:tr w:rsidR="007F3A90" w:rsidTr="006F2C65">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1,145,176.92</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171,776.54</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1,145,176.92</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171,776.54</w:t>
            </w:r>
          </w:p>
        </w:tc>
      </w:tr>
      <w:tr w:rsidR="007F3A90" w:rsidTr="006F2C65">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1,299,240,093.92</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200,168,727.15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1,259,810,154.39</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193,281,143.01</w:t>
            </w:r>
          </w:p>
        </w:tc>
      </w:tr>
    </w:tbl>
    <w:p w:rsidR="007F3A90" w:rsidRDefault="00CC38FA">
      <w:pPr>
        <w:keepNext/>
        <w:keepLines/>
        <w:spacing w:before="300" w:after="300" w:line="280" w:lineRule="exact"/>
        <w:outlineLvl w:val="3"/>
        <w:rPr>
          <w:rFonts w:ascii="宋体" w:eastAsia="宋体" w:hAnsi="宋体" w:cs="宋体"/>
          <w:b/>
          <w:bCs/>
          <w:szCs w:val="21"/>
        </w:rPr>
      </w:pPr>
      <w:bookmarkStart w:id="221" w:name="_Toc989111"/>
      <w:r>
        <w:rPr>
          <w:rFonts w:ascii="宋体" w:eastAsia="宋体" w:hAnsi="宋体" w:cs="宋体"/>
          <w:b/>
          <w:bCs/>
          <w:szCs w:val="21"/>
        </w:rPr>
        <w:t>（2） 未经抵销的递延所得税负债</w:t>
      </w:r>
      <w:bookmarkEnd w:id="221"/>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F3A90">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递延所得税负债</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其他权益工具投资公允价值变动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15,106,340.92</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4,053,585.23</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54,229,990.39</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13,752,441.56</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理财产品应计利息</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165,616.47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24,842.47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413,930.71</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37,258.18</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固定资产加速折旧</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158,633,633.75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24,156,207.80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159,839,484.99</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24,230,967.01</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业绩补偿</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28,390,100.00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4,258,515.00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28,390,100.00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4,258,515.00</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资产租赁及评估</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4,961,206.22</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672,367.79</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3,038,132.88</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431,940.03</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207,256,897.36</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33,165,518.29</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245,911,638.97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42,711,121.78</w:t>
            </w:r>
          </w:p>
        </w:tc>
      </w:tr>
    </w:tbl>
    <w:p w:rsidR="007F3A90" w:rsidRDefault="00CC38FA">
      <w:pPr>
        <w:keepNext/>
        <w:keepLines/>
        <w:spacing w:before="300" w:after="300" w:line="280" w:lineRule="exact"/>
        <w:outlineLvl w:val="3"/>
        <w:rPr>
          <w:rFonts w:ascii="宋体" w:eastAsia="宋体" w:hAnsi="宋体" w:cs="宋体"/>
          <w:b/>
          <w:bCs/>
          <w:szCs w:val="21"/>
        </w:rPr>
      </w:pPr>
      <w:bookmarkStart w:id="222" w:name="_Toc989112"/>
      <w:r>
        <w:rPr>
          <w:rFonts w:ascii="宋体" w:eastAsia="宋体" w:hAnsi="宋体" w:cs="宋体"/>
          <w:b/>
          <w:bCs/>
          <w:szCs w:val="21"/>
        </w:rPr>
        <w:t>（3） 以抵销后净额列示的递延所得税资产或负债</w:t>
      </w:r>
      <w:bookmarkEnd w:id="222"/>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递延所得税资产和负债期末互抵金额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抵销后递延所得税资产或负债期末余额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递延所得税资产和负债期初互抵金额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抵销后递延所得税资产或负债期初余额</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200,168,727.15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193,281,143.01</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33,165,518.29</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42,711,121.78</w:t>
            </w:r>
          </w:p>
        </w:tc>
      </w:tr>
    </w:tbl>
    <w:p w:rsidR="007F3A90" w:rsidRDefault="00CC38FA">
      <w:pPr>
        <w:pStyle w:val="3"/>
        <w:spacing w:line="280" w:lineRule="exact"/>
        <w:jc w:val="left"/>
        <w:rPr>
          <w:rFonts w:ascii="宋体" w:hAnsi="宋体" w:cs="宋体"/>
          <w:b/>
          <w:bCs/>
        </w:rPr>
      </w:pPr>
      <w:bookmarkStart w:id="223" w:name="_Toc989113"/>
      <w:r>
        <w:rPr>
          <w:rFonts w:ascii="宋体" w:hAnsi="宋体" w:cs="宋体"/>
          <w:b/>
          <w:bCs/>
        </w:rPr>
        <w:t>19、其他非流动资产</w:t>
      </w:r>
      <w:bookmarkEnd w:id="223"/>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51"/>
        <w:gridCol w:w="1418"/>
        <w:gridCol w:w="992"/>
        <w:gridCol w:w="1417"/>
        <w:gridCol w:w="1418"/>
        <w:gridCol w:w="992"/>
        <w:gridCol w:w="1451"/>
      </w:tblGrid>
      <w:tr w:rsidR="007F3A90" w:rsidTr="005F11D2">
        <w:trPr>
          <w:trHeight w:val="240"/>
        </w:trPr>
        <w:tc>
          <w:tcPr>
            <w:tcW w:w="195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2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6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rsidTr="005F11D2">
        <w:trPr>
          <w:trHeight w:val="240"/>
        </w:trPr>
        <w:tc>
          <w:tcPr>
            <w:tcW w:w="195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45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7F3A90" w:rsidTr="005F11D2">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工程及设备预付款</w:t>
            </w: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71,136,258.96</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71,136,258.96</w:t>
            </w: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35,795,813.60</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35,795,813.60</w:t>
            </w:r>
          </w:p>
        </w:tc>
      </w:tr>
      <w:tr w:rsidR="007F3A90" w:rsidTr="005F11D2">
        <w:trPr>
          <w:trHeight w:val="240"/>
        </w:trPr>
        <w:tc>
          <w:tcPr>
            <w:tcW w:w="195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71,136,258.96</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71,136,258.96</w:t>
            </w: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35,795,813.60</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35,795,813.60</w:t>
            </w:r>
          </w:p>
        </w:tc>
      </w:tr>
    </w:tbl>
    <w:p w:rsidR="007F3A90" w:rsidRDefault="00CC38FA">
      <w:pPr>
        <w:pStyle w:val="3"/>
        <w:spacing w:line="280" w:lineRule="exact"/>
        <w:jc w:val="left"/>
        <w:rPr>
          <w:rFonts w:ascii="宋体" w:hAnsi="宋体" w:cs="宋体"/>
          <w:b/>
          <w:bCs/>
        </w:rPr>
      </w:pPr>
      <w:bookmarkStart w:id="224" w:name="_Toc989114"/>
      <w:r>
        <w:rPr>
          <w:rFonts w:ascii="宋体" w:hAnsi="宋体" w:cs="宋体"/>
          <w:b/>
          <w:bCs/>
        </w:rPr>
        <w:lastRenderedPageBreak/>
        <w:t>20、所有权或使用权受到限制的资产</w:t>
      </w:r>
      <w:bookmarkEnd w:id="224"/>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7F3A90">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w:t>
            </w:r>
          </w:p>
        </w:tc>
      </w:tr>
      <w:tr w:rsidR="007F3A90">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受限类型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受限情况</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受限类型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受限情况</w:t>
            </w:r>
          </w:p>
        </w:tc>
      </w:tr>
      <w:tr w:rsidR="007F3A9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1,704,729,974.56</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1,704,729,974.56</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保证金</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1,301,351,336.99</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1,301,351,336.99</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保证金</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应收票据</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544,989,342.85</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544,989,342.85</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质押用于开立银行承兑汇票</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455,321,827.13</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455,321,827.13</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质押用于开立银行承兑汇票</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131,984,009.16</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131,984,009.16</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抵押用于取得银行借款</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138,289,971.48</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138,289,971.48</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抵押用于取得银行借款</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无形资产</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167,280,725.37</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167,280,725.37</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抵押用于取得银行借款</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169,389,611.97</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169,389,611.97</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抵押用于取得银行借款</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2,548,984,051.94</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2,548,984,051.94</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2,064,352,747.57</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2,064,352,747.57</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bl>
    <w:p w:rsidR="007F3A90" w:rsidRDefault="00CC38FA">
      <w:pPr>
        <w:pStyle w:val="3"/>
        <w:spacing w:line="280" w:lineRule="exact"/>
        <w:jc w:val="left"/>
        <w:rPr>
          <w:rFonts w:ascii="宋体" w:hAnsi="宋体" w:cs="宋体"/>
          <w:b/>
          <w:bCs/>
        </w:rPr>
      </w:pPr>
      <w:bookmarkStart w:id="225" w:name="_Toc989115"/>
      <w:r>
        <w:rPr>
          <w:rFonts w:ascii="宋体" w:hAnsi="宋体" w:cs="宋体"/>
          <w:b/>
          <w:bCs/>
        </w:rPr>
        <w:t>21、短期借款</w:t>
      </w:r>
      <w:bookmarkEnd w:id="225"/>
    </w:p>
    <w:p w:rsidR="007F3A90" w:rsidRDefault="00CC38FA">
      <w:pPr>
        <w:keepNext/>
        <w:keepLines/>
        <w:spacing w:before="300" w:after="300" w:line="280" w:lineRule="exact"/>
        <w:outlineLvl w:val="3"/>
        <w:rPr>
          <w:rFonts w:ascii="宋体" w:eastAsia="宋体" w:hAnsi="宋体" w:cs="宋体"/>
          <w:b/>
          <w:bCs/>
          <w:szCs w:val="21"/>
        </w:rPr>
      </w:pPr>
      <w:bookmarkStart w:id="226" w:name="_Toc989116"/>
      <w:r>
        <w:rPr>
          <w:rFonts w:ascii="宋体" w:eastAsia="宋体" w:hAnsi="宋体" w:cs="宋体"/>
          <w:b/>
          <w:bCs/>
          <w:szCs w:val="21"/>
        </w:rPr>
        <w:t>（1） 短期借款分类</w:t>
      </w:r>
      <w:bookmarkEnd w:id="226"/>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保证借款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207,308,018.61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374,900,000.00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信用借款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384,810,285.03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314,078,350.00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592,118,303.64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688,978,350.00</w:t>
            </w:r>
          </w:p>
        </w:tc>
      </w:tr>
    </w:tbl>
    <w:p w:rsidR="007F3A90" w:rsidRDefault="00CC38FA">
      <w:pPr>
        <w:pStyle w:val="3"/>
        <w:spacing w:line="280" w:lineRule="exact"/>
        <w:jc w:val="left"/>
        <w:rPr>
          <w:rFonts w:ascii="宋体" w:hAnsi="宋体" w:cs="宋体"/>
          <w:b/>
          <w:bCs/>
        </w:rPr>
      </w:pPr>
      <w:bookmarkStart w:id="227" w:name="_Toc989117"/>
      <w:r>
        <w:rPr>
          <w:rFonts w:ascii="宋体" w:hAnsi="宋体" w:cs="宋体"/>
          <w:b/>
          <w:bCs/>
        </w:rPr>
        <w:t>22、应付票据</w:t>
      </w:r>
      <w:bookmarkEnd w:id="227"/>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种类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商业承兑汇票</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13,751,702.29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7,035,037.52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银行承兑汇票</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1,179,898,126.50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1,234,566,097.95</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信用证</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2,194,846.35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491,948.64</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1,195,844,675.14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1,242,093,084.11</w:t>
            </w:r>
          </w:p>
        </w:tc>
      </w:tr>
    </w:tbl>
    <w:p w:rsidR="007F3A90" w:rsidRDefault="00CC38FA">
      <w:pPr>
        <w:pStyle w:val="3"/>
        <w:spacing w:line="280" w:lineRule="exact"/>
        <w:jc w:val="left"/>
        <w:rPr>
          <w:rFonts w:ascii="宋体" w:hAnsi="宋体" w:cs="宋体"/>
          <w:b/>
          <w:bCs/>
        </w:rPr>
      </w:pPr>
      <w:bookmarkStart w:id="228" w:name="_Toc989118"/>
      <w:r>
        <w:rPr>
          <w:rFonts w:ascii="宋体" w:hAnsi="宋体" w:cs="宋体"/>
          <w:b/>
          <w:bCs/>
        </w:rPr>
        <w:t>23、应付账款</w:t>
      </w:r>
      <w:bookmarkEnd w:id="228"/>
    </w:p>
    <w:p w:rsidR="007F3A90" w:rsidRDefault="00CC38FA">
      <w:pPr>
        <w:keepNext/>
        <w:keepLines/>
        <w:spacing w:before="300" w:after="300" w:line="280" w:lineRule="exact"/>
        <w:outlineLvl w:val="3"/>
        <w:rPr>
          <w:rFonts w:ascii="宋体" w:eastAsia="宋体" w:hAnsi="宋体" w:cs="宋体"/>
          <w:b/>
          <w:bCs/>
          <w:sz w:val="18"/>
          <w:szCs w:val="18"/>
        </w:rPr>
      </w:pPr>
      <w:bookmarkStart w:id="229" w:name="_Toc989119"/>
      <w:r>
        <w:rPr>
          <w:rFonts w:ascii="宋体" w:eastAsia="宋体" w:hAnsi="宋体" w:cs="宋体"/>
          <w:b/>
          <w:bCs/>
          <w:sz w:val="18"/>
          <w:szCs w:val="18"/>
        </w:rPr>
        <w:t>（1） 应付账款列示</w:t>
      </w:r>
      <w:bookmarkEnd w:id="229"/>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 年以内</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2,059,770,461.52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1,924,037,796.90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1-2 年</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159,808,411.77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69,556,969.24</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2-3 年</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47,224,082.36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18,318,592.01</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3 年以上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40,509,907.65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39,875,211.16</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2,307,312,863.30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2,051,788,569.31</w:t>
            </w:r>
          </w:p>
        </w:tc>
      </w:tr>
    </w:tbl>
    <w:p w:rsidR="007F3A90" w:rsidRDefault="00CC38FA">
      <w:pPr>
        <w:pStyle w:val="3"/>
        <w:spacing w:line="280" w:lineRule="exact"/>
        <w:jc w:val="left"/>
        <w:rPr>
          <w:rFonts w:ascii="宋体" w:hAnsi="宋体" w:cs="宋体"/>
          <w:b/>
          <w:bCs/>
        </w:rPr>
      </w:pPr>
      <w:bookmarkStart w:id="230" w:name="_Toc989120"/>
      <w:r>
        <w:rPr>
          <w:rFonts w:ascii="宋体" w:hAnsi="宋体" w:cs="宋体"/>
          <w:b/>
          <w:bCs/>
        </w:rPr>
        <w:lastRenderedPageBreak/>
        <w:t>24、其他应付款</w:t>
      </w:r>
      <w:bookmarkEnd w:id="230"/>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5,912,924.00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635,444.00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306,846,372.85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282,498,676.55</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312,759,296.85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283,134,120.55</w:t>
            </w:r>
          </w:p>
        </w:tc>
      </w:tr>
    </w:tbl>
    <w:p w:rsidR="007F3A90" w:rsidRDefault="00CC38FA">
      <w:pPr>
        <w:keepNext/>
        <w:keepLines/>
        <w:spacing w:before="300" w:after="300" w:line="280" w:lineRule="exact"/>
        <w:outlineLvl w:val="3"/>
        <w:rPr>
          <w:rFonts w:ascii="宋体" w:eastAsia="宋体" w:hAnsi="宋体" w:cs="宋体"/>
          <w:b/>
          <w:bCs/>
          <w:szCs w:val="21"/>
        </w:rPr>
      </w:pPr>
      <w:bookmarkStart w:id="231" w:name="_Toc989121"/>
      <w:r>
        <w:rPr>
          <w:rFonts w:ascii="宋体" w:eastAsia="宋体" w:hAnsi="宋体" w:cs="宋体"/>
          <w:b/>
          <w:bCs/>
          <w:szCs w:val="21"/>
        </w:rPr>
        <w:t>（1） 应付股利</w:t>
      </w:r>
      <w:bookmarkEnd w:id="231"/>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普通股股利</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5,912,924.00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635,444.00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5,912,924.00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635,444.00</w:t>
            </w:r>
          </w:p>
        </w:tc>
      </w:tr>
    </w:tbl>
    <w:p w:rsidR="007F3A90" w:rsidRDefault="00CC38FA">
      <w:pPr>
        <w:keepNext/>
        <w:keepLines/>
        <w:spacing w:before="300" w:after="300" w:line="280" w:lineRule="exact"/>
        <w:outlineLvl w:val="3"/>
        <w:rPr>
          <w:rFonts w:ascii="宋体" w:eastAsia="宋体" w:hAnsi="宋体" w:cs="宋体"/>
          <w:b/>
          <w:bCs/>
          <w:szCs w:val="21"/>
        </w:rPr>
      </w:pPr>
      <w:bookmarkStart w:id="232" w:name="_Toc989122"/>
      <w:r>
        <w:rPr>
          <w:rFonts w:ascii="宋体" w:eastAsia="宋体" w:hAnsi="宋体" w:cs="宋体"/>
          <w:b/>
          <w:bCs/>
          <w:szCs w:val="21"/>
        </w:rPr>
        <w:t>（2） 其他应付款</w:t>
      </w:r>
      <w:bookmarkEnd w:id="232"/>
    </w:p>
    <w:p w:rsidR="007F3A90" w:rsidRDefault="00CC38FA">
      <w:pPr>
        <w:keepNext/>
        <w:keepLines/>
        <w:spacing w:before="300" w:after="300" w:line="280" w:lineRule="exact"/>
        <w:outlineLvl w:val="4"/>
        <w:rPr>
          <w:rFonts w:ascii="宋体" w:eastAsia="宋体" w:hAnsi="宋体" w:cs="宋体"/>
          <w:b/>
          <w:bCs/>
          <w:sz w:val="18"/>
          <w:szCs w:val="18"/>
        </w:rPr>
      </w:pPr>
      <w:bookmarkStart w:id="233" w:name="_Toc989123"/>
      <w:r>
        <w:rPr>
          <w:rFonts w:ascii="宋体" w:eastAsia="宋体" w:hAnsi="宋体" w:cs="宋体"/>
          <w:b/>
          <w:bCs/>
          <w:sz w:val="18"/>
          <w:szCs w:val="18"/>
        </w:rPr>
        <w:t>1） 按款项性质列示其他应付款</w:t>
      </w:r>
      <w:bookmarkEnd w:id="233"/>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预提费用等</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31,481,507.51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51,139,076.13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限制性股票回购义务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195,270,852.00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201,131,504.00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16,737,784.08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16,026,395.25</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保证金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61,996,379.89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13,079,997.53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员工往来</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1,359,849.37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1,121,703.64</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306,846,372.85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282,498,676.55</w:t>
            </w:r>
          </w:p>
        </w:tc>
      </w:tr>
    </w:tbl>
    <w:p w:rsidR="007F3A90" w:rsidRDefault="00CC38FA">
      <w:pPr>
        <w:pStyle w:val="3"/>
        <w:spacing w:line="280" w:lineRule="exact"/>
        <w:jc w:val="left"/>
        <w:rPr>
          <w:rFonts w:ascii="宋体" w:hAnsi="宋体" w:cs="宋体"/>
          <w:b/>
          <w:bCs/>
        </w:rPr>
      </w:pPr>
      <w:bookmarkStart w:id="234" w:name="_Toc989124"/>
      <w:r>
        <w:rPr>
          <w:rFonts w:ascii="宋体" w:hAnsi="宋体" w:cs="宋体"/>
          <w:b/>
          <w:bCs/>
        </w:rPr>
        <w:t>25、合同负债</w:t>
      </w:r>
      <w:bookmarkEnd w:id="234"/>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1年以内</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3,118,763,393.15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2,953,207,280.37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1-2年</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1,120,636,995.71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799,886,355.49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2-3年</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279,038,998.53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304,130,157.34</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192,651,652.18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111,321,763.47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4,711,091,039.57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4,168,545,556.67</w:t>
            </w:r>
          </w:p>
        </w:tc>
      </w:tr>
    </w:tbl>
    <w:p w:rsidR="007F3A90" w:rsidRDefault="00CC38FA">
      <w:pPr>
        <w:pStyle w:val="3"/>
        <w:spacing w:line="280" w:lineRule="exact"/>
        <w:jc w:val="left"/>
        <w:rPr>
          <w:rFonts w:ascii="宋体" w:hAnsi="宋体" w:cs="宋体"/>
          <w:b/>
          <w:bCs/>
        </w:rPr>
      </w:pPr>
      <w:bookmarkStart w:id="235" w:name="_Toc989125"/>
      <w:r>
        <w:rPr>
          <w:rFonts w:ascii="宋体" w:hAnsi="宋体" w:cs="宋体"/>
          <w:b/>
          <w:bCs/>
        </w:rPr>
        <w:t>26、应付职工薪酬</w:t>
      </w:r>
      <w:bookmarkEnd w:id="235"/>
    </w:p>
    <w:p w:rsidR="007F3A90" w:rsidRDefault="00CC38FA">
      <w:pPr>
        <w:keepNext/>
        <w:keepLines/>
        <w:spacing w:before="300" w:after="300" w:line="280" w:lineRule="exact"/>
        <w:outlineLvl w:val="3"/>
        <w:rPr>
          <w:rFonts w:ascii="宋体" w:eastAsia="宋体" w:hAnsi="宋体" w:cs="宋体"/>
          <w:b/>
          <w:bCs/>
          <w:szCs w:val="21"/>
        </w:rPr>
      </w:pPr>
      <w:bookmarkStart w:id="236" w:name="_Toc989126"/>
      <w:r>
        <w:rPr>
          <w:rFonts w:ascii="宋体" w:eastAsia="宋体" w:hAnsi="宋体" w:cs="宋体"/>
          <w:b/>
          <w:bCs/>
          <w:szCs w:val="21"/>
        </w:rPr>
        <w:t>（1） 应付职工薪酬列示</w:t>
      </w:r>
      <w:bookmarkEnd w:id="236"/>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一、短期薪酬</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167,317,062.57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388,426,396.45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462,662,368.78</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93,081,090.24</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二、离职后福利-设定提存计划</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231.49</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19,884,376.07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19,884,376.07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231.49</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三、辞退福利</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904,184.00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904,184.00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167,317,294.06</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409,214,956.52</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483,450,928.85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93,081,321.73</w:t>
            </w:r>
          </w:p>
        </w:tc>
      </w:tr>
    </w:tbl>
    <w:p w:rsidR="007F3A90" w:rsidRDefault="00CC38FA">
      <w:pPr>
        <w:keepNext/>
        <w:keepLines/>
        <w:spacing w:before="300" w:after="300" w:line="280" w:lineRule="exact"/>
        <w:outlineLvl w:val="3"/>
        <w:rPr>
          <w:rFonts w:ascii="宋体" w:eastAsia="宋体" w:hAnsi="宋体" w:cs="宋体"/>
          <w:b/>
          <w:bCs/>
          <w:szCs w:val="21"/>
        </w:rPr>
      </w:pPr>
      <w:bookmarkStart w:id="237" w:name="_Toc989127"/>
      <w:r>
        <w:rPr>
          <w:rFonts w:ascii="宋体" w:eastAsia="宋体" w:hAnsi="宋体" w:cs="宋体"/>
          <w:b/>
          <w:bCs/>
          <w:szCs w:val="21"/>
        </w:rPr>
        <w:t>（2） 短期薪酬列示</w:t>
      </w:r>
      <w:bookmarkEnd w:id="237"/>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518"/>
        <w:gridCol w:w="1701"/>
        <w:gridCol w:w="1843"/>
        <w:gridCol w:w="1649"/>
        <w:gridCol w:w="1928"/>
      </w:tblGrid>
      <w:tr w:rsidR="007F3A90" w:rsidTr="008969F5">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64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7F3A90" w:rsidTr="008969F5">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1、工资、奖金、津贴和补贴</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151,352,941.32</w:t>
            </w:r>
          </w:p>
        </w:tc>
        <w:tc>
          <w:tcPr>
            <w:tcW w:w="184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319,086,659.61</w:t>
            </w:r>
          </w:p>
        </w:tc>
        <w:tc>
          <w:tcPr>
            <w:tcW w:w="164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392,691,311.47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77,748,289.46</w:t>
            </w:r>
          </w:p>
        </w:tc>
      </w:tr>
      <w:tr w:rsidR="007F3A90" w:rsidTr="008969F5">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2、职工福利费</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2,664,321.51</w:t>
            </w:r>
          </w:p>
        </w:tc>
        <w:tc>
          <w:tcPr>
            <w:tcW w:w="184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37,540,308.73</w:t>
            </w:r>
          </w:p>
        </w:tc>
        <w:tc>
          <w:tcPr>
            <w:tcW w:w="164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37,692,846.37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2,511,783.87</w:t>
            </w:r>
          </w:p>
        </w:tc>
      </w:tr>
      <w:tr w:rsidR="007F3A90" w:rsidTr="008969F5">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3、社会保险费</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116.43</w:t>
            </w:r>
          </w:p>
        </w:tc>
        <w:tc>
          <w:tcPr>
            <w:tcW w:w="184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11,608,168.77</w:t>
            </w:r>
          </w:p>
        </w:tc>
        <w:tc>
          <w:tcPr>
            <w:tcW w:w="164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11,608,168.77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116.43</w:t>
            </w:r>
          </w:p>
        </w:tc>
      </w:tr>
      <w:tr w:rsidR="007F3A90" w:rsidTr="008969F5">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其中：医疗保险费</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110.89</w:t>
            </w:r>
          </w:p>
        </w:tc>
        <w:tc>
          <w:tcPr>
            <w:tcW w:w="184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10,800,430.84</w:t>
            </w:r>
          </w:p>
        </w:tc>
        <w:tc>
          <w:tcPr>
            <w:tcW w:w="164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10,800,430.84</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110.89</w:t>
            </w:r>
          </w:p>
        </w:tc>
      </w:tr>
      <w:tr w:rsidR="007F3A90" w:rsidTr="008969F5">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工伤保险费</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5.54</w:t>
            </w:r>
          </w:p>
        </w:tc>
        <w:tc>
          <w:tcPr>
            <w:tcW w:w="184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792,414.88</w:t>
            </w:r>
          </w:p>
        </w:tc>
        <w:tc>
          <w:tcPr>
            <w:tcW w:w="164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792,414.88</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5.54</w:t>
            </w:r>
          </w:p>
        </w:tc>
      </w:tr>
      <w:tr w:rsidR="007F3A90" w:rsidTr="008969F5">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生育保险费</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15,323.05</w:t>
            </w:r>
          </w:p>
        </w:tc>
        <w:tc>
          <w:tcPr>
            <w:tcW w:w="164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15,323.05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8969F5">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4、住房公积金</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16,010,825.00</w:t>
            </w:r>
          </w:p>
        </w:tc>
        <w:tc>
          <w:tcPr>
            <w:tcW w:w="164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16,010,825.00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8969F5">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5、工会经费和职工教育经费</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13,299,683.31</w:t>
            </w:r>
          </w:p>
        </w:tc>
        <w:tc>
          <w:tcPr>
            <w:tcW w:w="184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4,180,434.34</w:t>
            </w:r>
          </w:p>
        </w:tc>
        <w:tc>
          <w:tcPr>
            <w:tcW w:w="164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4,659,217.17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12,820,900.48</w:t>
            </w:r>
          </w:p>
        </w:tc>
      </w:tr>
      <w:tr w:rsidR="007F3A90" w:rsidTr="008969F5">
        <w:trPr>
          <w:trHeight w:val="240"/>
        </w:trPr>
        <w:tc>
          <w:tcPr>
            <w:tcW w:w="251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167,317,062.57</w:t>
            </w:r>
          </w:p>
        </w:tc>
        <w:tc>
          <w:tcPr>
            <w:tcW w:w="184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388,426,396.45</w:t>
            </w:r>
          </w:p>
        </w:tc>
        <w:tc>
          <w:tcPr>
            <w:tcW w:w="164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462,662,368.78</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93,081,090.24</w:t>
            </w:r>
          </w:p>
        </w:tc>
      </w:tr>
    </w:tbl>
    <w:p w:rsidR="007F3A90" w:rsidRDefault="00CC38FA">
      <w:pPr>
        <w:keepNext/>
        <w:keepLines/>
        <w:spacing w:before="300" w:after="300" w:line="280" w:lineRule="exact"/>
        <w:outlineLvl w:val="3"/>
        <w:rPr>
          <w:rFonts w:ascii="宋体" w:eastAsia="宋体" w:hAnsi="宋体" w:cs="宋体"/>
          <w:b/>
          <w:bCs/>
          <w:szCs w:val="21"/>
        </w:rPr>
      </w:pPr>
      <w:bookmarkStart w:id="238" w:name="_Toc989128"/>
      <w:r>
        <w:rPr>
          <w:rFonts w:ascii="宋体" w:eastAsia="宋体" w:hAnsi="宋体" w:cs="宋体"/>
          <w:b/>
          <w:bCs/>
          <w:szCs w:val="21"/>
        </w:rPr>
        <w:t>（3） 设定提存计划列示</w:t>
      </w:r>
      <w:bookmarkEnd w:id="238"/>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1、基本养老保险</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221.79</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19,088,784.17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19,088,784.17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221.79</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2、失业保险费</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9.70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795,591.90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795,591.90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9.70</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231.49</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19,884,376.07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19,884,376.07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231.49</w:t>
            </w:r>
          </w:p>
        </w:tc>
      </w:tr>
    </w:tbl>
    <w:p w:rsidR="007F3A90" w:rsidRDefault="00CC38FA">
      <w:pPr>
        <w:pStyle w:val="3"/>
        <w:spacing w:line="280" w:lineRule="exact"/>
        <w:jc w:val="left"/>
        <w:rPr>
          <w:rFonts w:ascii="宋体" w:hAnsi="宋体" w:cs="宋体"/>
          <w:b/>
          <w:bCs/>
        </w:rPr>
      </w:pPr>
      <w:bookmarkStart w:id="239" w:name="_Toc989129"/>
      <w:r>
        <w:rPr>
          <w:rFonts w:ascii="宋体" w:hAnsi="宋体" w:cs="宋体"/>
          <w:b/>
          <w:bCs/>
        </w:rPr>
        <w:t>27、应交税费</w:t>
      </w:r>
      <w:bookmarkEnd w:id="239"/>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4,734,773.92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19,730,259.38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10,595,233.30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6,274,755.19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个人所得税</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678,773.45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1,071,997.76</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592,016.37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1,146,027.66</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1,464,082.59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1,740,786.21</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2,065,246.83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2,220,306.62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其他税费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1,999,473.86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1,324,454.71</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423,169.25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821,149.07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22,552,769.57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34,329,736.60</w:t>
            </w:r>
          </w:p>
        </w:tc>
      </w:tr>
    </w:tbl>
    <w:p w:rsidR="007F3A90" w:rsidRDefault="00CC38FA">
      <w:pPr>
        <w:pStyle w:val="3"/>
        <w:spacing w:line="280" w:lineRule="exact"/>
        <w:jc w:val="left"/>
        <w:rPr>
          <w:rFonts w:ascii="宋体" w:hAnsi="宋体" w:cs="宋体"/>
          <w:b/>
          <w:bCs/>
        </w:rPr>
      </w:pPr>
      <w:bookmarkStart w:id="240" w:name="_Toc989130"/>
      <w:r>
        <w:rPr>
          <w:rFonts w:ascii="宋体" w:hAnsi="宋体" w:cs="宋体"/>
          <w:b/>
          <w:bCs/>
        </w:rPr>
        <w:t>28、一年内到期的非流动负债</w:t>
      </w:r>
      <w:bookmarkEnd w:id="240"/>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一年内到期的长期借款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438,520,968.84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100,000,000.00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一年内到期的租赁负债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2,032,983.29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13,079,254.13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440,553,952.13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113,079,254.13</w:t>
            </w:r>
          </w:p>
        </w:tc>
      </w:tr>
    </w:tbl>
    <w:p w:rsidR="007F3A90" w:rsidRDefault="00CC38FA">
      <w:pPr>
        <w:pStyle w:val="3"/>
        <w:spacing w:line="280" w:lineRule="exact"/>
        <w:jc w:val="left"/>
        <w:rPr>
          <w:rFonts w:ascii="宋体" w:hAnsi="宋体" w:cs="宋体"/>
          <w:b/>
          <w:bCs/>
        </w:rPr>
      </w:pPr>
      <w:bookmarkStart w:id="241" w:name="_Toc989131"/>
      <w:r>
        <w:rPr>
          <w:rFonts w:ascii="宋体" w:hAnsi="宋体" w:cs="宋体"/>
          <w:b/>
          <w:bCs/>
        </w:rPr>
        <w:t>29、其他流动负债</w:t>
      </w:r>
      <w:bookmarkEnd w:id="241"/>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预收增值税销项税额</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317,050,467.06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285,648,377.56</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已背书或贴现未且在资产负债表日尚未到期的商业汇票</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196,840,241.17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279,414,354.41</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513,890,708.23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565,062,731.97</w:t>
            </w:r>
          </w:p>
        </w:tc>
      </w:tr>
    </w:tbl>
    <w:p w:rsidR="007F3A90" w:rsidRDefault="00CC38FA">
      <w:pPr>
        <w:pStyle w:val="3"/>
        <w:spacing w:line="280" w:lineRule="exact"/>
        <w:jc w:val="left"/>
        <w:rPr>
          <w:rFonts w:ascii="宋体" w:hAnsi="宋体" w:cs="宋体"/>
          <w:b/>
          <w:bCs/>
        </w:rPr>
      </w:pPr>
      <w:bookmarkStart w:id="242" w:name="_Toc989132"/>
      <w:r>
        <w:rPr>
          <w:rFonts w:ascii="宋体" w:hAnsi="宋体" w:cs="宋体"/>
          <w:b/>
          <w:bCs/>
        </w:rPr>
        <w:t>30、长期借款</w:t>
      </w:r>
      <w:bookmarkEnd w:id="242"/>
    </w:p>
    <w:p w:rsidR="007F3A90" w:rsidRDefault="00CC38FA">
      <w:pPr>
        <w:keepNext/>
        <w:keepLines/>
        <w:spacing w:before="300" w:after="300" w:line="280" w:lineRule="exact"/>
        <w:outlineLvl w:val="3"/>
        <w:rPr>
          <w:rFonts w:ascii="宋体" w:eastAsia="宋体" w:hAnsi="宋体" w:cs="宋体"/>
          <w:b/>
          <w:bCs/>
          <w:sz w:val="18"/>
          <w:szCs w:val="18"/>
        </w:rPr>
      </w:pPr>
      <w:bookmarkStart w:id="243" w:name="_Toc989133"/>
      <w:r>
        <w:rPr>
          <w:rFonts w:ascii="宋体" w:eastAsia="宋体" w:hAnsi="宋体" w:cs="宋体"/>
          <w:b/>
          <w:bCs/>
          <w:sz w:val="18"/>
          <w:szCs w:val="18"/>
        </w:rPr>
        <w:t>（1） 长期借款分类</w:t>
      </w:r>
      <w:bookmarkEnd w:id="243"/>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质押借款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15,040,000.00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17,851,792.21</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抵押借款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611,370,370.58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717,628,335.29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保证借款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158,781,518.05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177,624,242.80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信用借款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51,900,000.00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29,900,000.00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837,091,888.63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943,004,370.30</w:t>
            </w:r>
          </w:p>
        </w:tc>
      </w:tr>
    </w:tbl>
    <w:p w:rsidR="007F3A90" w:rsidRDefault="00CC38FA">
      <w:pPr>
        <w:pStyle w:val="3"/>
        <w:spacing w:line="280" w:lineRule="exact"/>
        <w:jc w:val="left"/>
        <w:rPr>
          <w:rFonts w:ascii="宋体" w:hAnsi="宋体" w:cs="宋体"/>
          <w:b/>
          <w:bCs/>
        </w:rPr>
      </w:pPr>
      <w:bookmarkStart w:id="244" w:name="_Toc989134"/>
      <w:r>
        <w:rPr>
          <w:rFonts w:ascii="宋体" w:hAnsi="宋体" w:cs="宋体"/>
          <w:b/>
          <w:bCs/>
        </w:rPr>
        <w:t>31、租赁负债</w:t>
      </w:r>
      <w:bookmarkEnd w:id="244"/>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租赁负债-租赁付款额合计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59,390,153.88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47,273,933.23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减：租赁负债—未确认融资费用</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-5,651,549.89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-4,959,804.46</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减：一年内到期的租赁负债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-2,032,983.29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-13,079,254.13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51,705,620.70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29,234,874.64</w:t>
            </w:r>
          </w:p>
        </w:tc>
      </w:tr>
    </w:tbl>
    <w:p w:rsidR="007F3A90" w:rsidRDefault="007F3A90"/>
    <w:p w:rsidR="007F3A90" w:rsidRDefault="00CC38FA">
      <w:pPr>
        <w:pStyle w:val="3"/>
        <w:spacing w:line="280" w:lineRule="exact"/>
        <w:jc w:val="left"/>
        <w:rPr>
          <w:rFonts w:ascii="宋体" w:hAnsi="宋体" w:cs="宋体"/>
          <w:b/>
          <w:bCs/>
        </w:rPr>
      </w:pPr>
      <w:bookmarkStart w:id="245" w:name="_Toc989135"/>
      <w:r>
        <w:rPr>
          <w:rFonts w:ascii="宋体" w:hAnsi="宋体" w:cs="宋体"/>
          <w:b/>
          <w:bCs/>
        </w:rPr>
        <w:t>32、预计负债</w:t>
      </w:r>
      <w:bookmarkEnd w:id="245"/>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7F3A9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形成原因</w:t>
            </w:r>
          </w:p>
        </w:tc>
      </w:tr>
      <w:tr w:rsidR="007F3A9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产品质量保证</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24,398,830.25</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23,012,334.20</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见说明①</w:t>
            </w:r>
          </w:p>
        </w:tc>
      </w:tr>
      <w:tr w:rsidR="007F3A9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24,398,830.25</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23,012,334.20</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其他说明，包括重要预计负债的相关重要假设、估计说明：</w:t>
      </w:r>
    </w:p>
    <w:p w:rsidR="00CC38FA" w:rsidRDefault="00CC38FA">
      <w:pPr>
        <w:pStyle w:val="a3"/>
        <w:spacing w:before="0" w:beforeAutospacing="0" w:after="0" w:afterAutospacing="0"/>
        <w:ind w:firstLine="360"/>
        <w:divId w:val="2026587739"/>
        <w:rPr>
          <w:rFonts w:ascii="等线" w:eastAsia="等线" w:hAnsi="等线"/>
          <w:sz w:val="21"/>
          <w:szCs w:val="21"/>
        </w:rPr>
      </w:pPr>
      <w:r>
        <w:rPr>
          <w:rFonts w:hint="eastAsia"/>
          <w:sz w:val="18"/>
          <w:szCs w:val="18"/>
        </w:rPr>
        <w:t>①公司按橡胶装备业务收入的0.5%计提售后服务费。</w:t>
      </w:r>
    </w:p>
    <w:p w:rsidR="007F3A90" w:rsidRDefault="00CC38FA">
      <w:pPr>
        <w:pStyle w:val="3"/>
        <w:spacing w:line="280" w:lineRule="exact"/>
        <w:jc w:val="left"/>
        <w:rPr>
          <w:rFonts w:ascii="宋体" w:hAnsi="宋体" w:cs="宋体"/>
          <w:b/>
          <w:bCs/>
        </w:rPr>
      </w:pPr>
      <w:bookmarkStart w:id="246" w:name="_Toc989136"/>
      <w:r>
        <w:rPr>
          <w:rFonts w:ascii="宋体" w:hAnsi="宋体" w:cs="宋体"/>
          <w:b/>
          <w:bCs/>
        </w:rPr>
        <w:t>33、递延收益</w:t>
      </w:r>
      <w:bookmarkEnd w:id="246"/>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形成原因</w:t>
            </w: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lastRenderedPageBreak/>
              <w:t>政府补助</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66,073,107.96</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188,000.00</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31,202,611.58</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35,058,496.38</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66,073,107.96</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188,000.00</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31,202,611.58</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35,058,496.38</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tbl>
      <w:tblPr>
        <w:tblW w:w="9639"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0"/>
        <w:gridCol w:w="1417"/>
        <w:gridCol w:w="1134"/>
        <w:gridCol w:w="851"/>
        <w:gridCol w:w="1134"/>
        <w:gridCol w:w="709"/>
        <w:gridCol w:w="1417"/>
        <w:gridCol w:w="1417"/>
      </w:tblGrid>
      <w:tr w:rsidR="00FF054A" w:rsidRPr="008969F5" w:rsidTr="00031125">
        <w:trPr>
          <w:divId w:val="9531765"/>
          <w:trHeight w:val="238"/>
        </w:trPr>
        <w:tc>
          <w:tcPr>
            <w:tcW w:w="1560" w:type="dxa"/>
            <w:shd w:val="clear" w:color="auto" w:fill="D3D3D3"/>
            <w:tcMar>
              <w:top w:w="15" w:type="dxa"/>
              <w:left w:w="15" w:type="dxa"/>
              <w:bottom w:w="0" w:type="dxa"/>
              <w:right w:w="15" w:type="dxa"/>
            </w:tcMar>
            <w:vAlign w:val="center"/>
            <w:hideMark/>
          </w:tcPr>
          <w:p w:rsidR="00CC38FA" w:rsidRPr="008969F5" w:rsidRDefault="00CC38FA" w:rsidP="008969F5">
            <w:pPr>
              <w:widowControl/>
              <w:jc w:val="center"/>
              <w:rPr>
                <w:rFonts w:ascii="宋体" w:eastAsia="宋体" w:hAnsi="宋体"/>
                <w:color w:val="000000"/>
                <w:kern w:val="0"/>
                <w:sz w:val="18"/>
                <w:szCs w:val="18"/>
              </w:rPr>
            </w:pPr>
            <w:r w:rsidRPr="008969F5">
              <w:rPr>
                <w:rFonts w:ascii="宋体" w:eastAsia="宋体" w:hAnsi="宋体" w:hint="eastAsia"/>
                <w:color w:val="000000"/>
                <w:sz w:val="18"/>
                <w:szCs w:val="18"/>
              </w:rPr>
              <w:t>补助项目</w:t>
            </w:r>
          </w:p>
        </w:tc>
        <w:tc>
          <w:tcPr>
            <w:tcW w:w="1417" w:type="dxa"/>
            <w:shd w:val="clear" w:color="auto" w:fill="D3D3D3"/>
            <w:tcMar>
              <w:top w:w="15" w:type="dxa"/>
              <w:left w:w="15" w:type="dxa"/>
              <w:bottom w:w="0" w:type="dxa"/>
              <w:right w:w="15" w:type="dxa"/>
            </w:tcMar>
            <w:vAlign w:val="center"/>
            <w:hideMark/>
          </w:tcPr>
          <w:p w:rsidR="00CC38FA" w:rsidRPr="008969F5" w:rsidRDefault="00CC38FA" w:rsidP="008969F5">
            <w:pPr>
              <w:jc w:val="center"/>
              <w:rPr>
                <w:rFonts w:ascii="宋体" w:eastAsia="宋体" w:hAnsi="宋体"/>
                <w:color w:val="000000"/>
                <w:sz w:val="18"/>
                <w:szCs w:val="18"/>
              </w:rPr>
            </w:pPr>
            <w:r w:rsidRPr="008969F5">
              <w:rPr>
                <w:rFonts w:ascii="宋体" w:eastAsia="宋体" w:hAnsi="宋体" w:hint="eastAsia"/>
                <w:color w:val="000000"/>
                <w:sz w:val="18"/>
                <w:szCs w:val="18"/>
              </w:rPr>
              <w:t>期初余额</w:t>
            </w:r>
          </w:p>
        </w:tc>
        <w:tc>
          <w:tcPr>
            <w:tcW w:w="1134" w:type="dxa"/>
            <w:shd w:val="clear" w:color="auto" w:fill="D3D3D3"/>
            <w:tcMar>
              <w:top w:w="15" w:type="dxa"/>
              <w:left w:w="15" w:type="dxa"/>
              <w:bottom w:w="0" w:type="dxa"/>
              <w:right w:w="15" w:type="dxa"/>
            </w:tcMar>
            <w:vAlign w:val="center"/>
            <w:hideMark/>
          </w:tcPr>
          <w:p w:rsidR="00CC38FA" w:rsidRPr="008969F5" w:rsidRDefault="00CC38FA" w:rsidP="008969F5">
            <w:pPr>
              <w:jc w:val="center"/>
              <w:rPr>
                <w:rFonts w:ascii="宋体" w:eastAsia="宋体" w:hAnsi="宋体"/>
                <w:color w:val="000000"/>
                <w:sz w:val="18"/>
                <w:szCs w:val="18"/>
              </w:rPr>
            </w:pPr>
            <w:r w:rsidRPr="008969F5">
              <w:rPr>
                <w:rFonts w:ascii="宋体" w:eastAsia="宋体" w:hAnsi="宋体" w:hint="eastAsia"/>
                <w:color w:val="000000"/>
                <w:sz w:val="18"/>
                <w:szCs w:val="18"/>
              </w:rPr>
              <w:t>本期新增补助金额</w:t>
            </w:r>
          </w:p>
        </w:tc>
        <w:tc>
          <w:tcPr>
            <w:tcW w:w="851" w:type="dxa"/>
            <w:shd w:val="clear" w:color="auto" w:fill="D3D3D3"/>
            <w:tcMar>
              <w:top w:w="15" w:type="dxa"/>
              <w:left w:w="15" w:type="dxa"/>
              <w:bottom w:w="0" w:type="dxa"/>
              <w:right w:w="15" w:type="dxa"/>
            </w:tcMar>
            <w:vAlign w:val="center"/>
            <w:hideMark/>
          </w:tcPr>
          <w:p w:rsidR="00CC38FA" w:rsidRPr="008969F5" w:rsidRDefault="00CC38FA" w:rsidP="008969F5">
            <w:pPr>
              <w:jc w:val="center"/>
              <w:rPr>
                <w:rFonts w:ascii="宋体" w:eastAsia="宋体" w:hAnsi="宋体"/>
                <w:color w:val="000000"/>
                <w:sz w:val="18"/>
                <w:szCs w:val="18"/>
              </w:rPr>
            </w:pPr>
            <w:r w:rsidRPr="008969F5">
              <w:rPr>
                <w:rFonts w:ascii="宋体" w:eastAsia="宋体" w:hAnsi="宋体" w:hint="eastAsia"/>
                <w:color w:val="000000"/>
                <w:sz w:val="18"/>
                <w:szCs w:val="18"/>
              </w:rPr>
              <w:t>本期计入营业外收入金额</w:t>
            </w:r>
          </w:p>
        </w:tc>
        <w:tc>
          <w:tcPr>
            <w:tcW w:w="1134" w:type="dxa"/>
            <w:shd w:val="clear" w:color="auto" w:fill="D3D3D3"/>
            <w:tcMar>
              <w:top w:w="15" w:type="dxa"/>
              <w:left w:w="15" w:type="dxa"/>
              <w:bottom w:w="0" w:type="dxa"/>
              <w:right w:w="15" w:type="dxa"/>
            </w:tcMar>
            <w:vAlign w:val="center"/>
            <w:hideMark/>
          </w:tcPr>
          <w:p w:rsidR="00CC38FA" w:rsidRPr="008969F5" w:rsidRDefault="00CC38FA" w:rsidP="008969F5">
            <w:pPr>
              <w:jc w:val="center"/>
              <w:rPr>
                <w:rFonts w:ascii="宋体" w:eastAsia="宋体" w:hAnsi="宋体"/>
                <w:color w:val="000000"/>
                <w:sz w:val="18"/>
                <w:szCs w:val="18"/>
              </w:rPr>
            </w:pPr>
            <w:r w:rsidRPr="008969F5">
              <w:rPr>
                <w:rFonts w:ascii="宋体" w:eastAsia="宋体" w:hAnsi="宋体" w:hint="eastAsia"/>
                <w:color w:val="000000"/>
                <w:sz w:val="18"/>
                <w:szCs w:val="18"/>
              </w:rPr>
              <w:t>本期计入其他收益金额</w:t>
            </w:r>
          </w:p>
        </w:tc>
        <w:tc>
          <w:tcPr>
            <w:tcW w:w="709" w:type="dxa"/>
            <w:shd w:val="clear" w:color="auto" w:fill="D3D3D3"/>
            <w:tcMar>
              <w:top w:w="15" w:type="dxa"/>
              <w:left w:w="15" w:type="dxa"/>
              <w:bottom w:w="0" w:type="dxa"/>
              <w:right w:w="15" w:type="dxa"/>
            </w:tcMar>
            <w:vAlign w:val="center"/>
            <w:hideMark/>
          </w:tcPr>
          <w:p w:rsidR="00CC38FA" w:rsidRPr="008969F5" w:rsidRDefault="00CC38FA" w:rsidP="008969F5">
            <w:pPr>
              <w:jc w:val="center"/>
              <w:rPr>
                <w:rFonts w:ascii="宋体" w:eastAsia="宋体" w:hAnsi="宋体"/>
                <w:color w:val="000000"/>
                <w:sz w:val="18"/>
                <w:szCs w:val="18"/>
              </w:rPr>
            </w:pPr>
            <w:r w:rsidRPr="008969F5">
              <w:rPr>
                <w:rFonts w:ascii="宋体" w:eastAsia="宋体" w:hAnsi="宋体" w:hint="eastAsia"/>
                <w:color w:val="000000"/>
                <w:sz w:val="18"/>
                <w:szCs w:val="18"/>
              </w:rPr>
              <w:t>本期冲减成本费用金额</w:t>
            </w:r>
          </w:p>
        </w:tc>
        <w:tc>
          <w:tcPr>
            <w:tcW w:w="1417" w:type="dxa"/>
            <w:shd w:val="clear" w:color="auto" w:fill="D3D3D3"/>
            <w:tcMar>
              <w:top w:w="15" w:type="dxa"/>
              <w:left w:w="15" w:type="dxa"/>
              <w:bottom w:w="0" w:type="dxa"/>
              <w:right w:w="15" w:type="dxa"/>
            </w:tcMar>
            <w:vAlign w:val="center"/>
            <w:hideMark/>
          </w:tcPr>
          <w:p w:rsidR="00CC38FA" w:rsidRPr="008969F5" w:rsidRDefault="00CC38FA" w:rsidP="008969F5">
            <w:pPr>
              <w:jc w:val="center"/>
              <w:rPr>
                <w:rFonts w:ascii="宋体" w:eastAsia="宋体" w:hAnsi="宋体"/>
                <w:color w:val="000000"/>
                <w:sz w:val="18"/>
                <w:szCs w:val="18"/>
              </w:rPr>
            </w:pPr>
            <w:r w:rsidRPr="008969F5">
              <w:rPr>
                <w:rFonts w:ascii="宋体" w:eastAsia="宋体" w:hAnsi="宋体" w:hint="eastAsia"/>
                <w:color w:val="000000"/>
                <w:sz w:val="18"/>
                <w:szCs w:val="18"/>
              </w:rPr>
              <w:t>其他变动</w:t>
            </w:r>
          </w:p>
        </w:tc>
        <w:tc>
          <w:tcPr>
            <w:tcW w:w="1417" w:type="dxa"/>
            <w:shd w:val="clear" w:color="auto" w:fill="D3D3D3"/>
            <w:tcMar>
              <w:top w:w="15" w:type="dxa"/>
              <w:left w:w="15" w:type="dxa"/>
              <w:bottom w:w="0" w:type="dxa"/>
              <w:right w:w="15" w:type="dxa"/>
            </w:tcMar>
            <w:vAlign w:val="center"/>
            <w:hideMark/>
          </w:tcPr>
          <w:p w:rsidR="00CC38FA" w:rsidRPr="008969F5" w:rsidRDefault="00CC38FA" w:rsidP="008969F5">
            <w:pPr>
              <w:jc w:val="center"/>
              <w:rPr>
                <w:rFonts w:ascii="宋体" w:eastAsia="宋体" w:hAnsi="宋体"/>
                <w:color w:val="000000"/>
                <w:sz w:val="18"/>
                <w:szCs w:val="18"/>
              </w:rPr>
            </w:pPr>
            <w:r w:rsidRPr="008969F5">
              <w:rPr>
                <w:rFonts w:ascii="宋体" w:eastAsia="宋体" w:hAnsi="宋体" w:hint="eastAsia"/>
                <w:color w:val="000000"/>
                <w:sz w:val="18"/>
                <w:szCs w:val="18"/>
              </w:rPr>
              <w:t>期末余额</w:t>
            </w:r>
          </w:p>
        </w:tc>
      </w:tr>
      <w:tr w:rsidR="00FF054A" w:rsidRPr="008969F5" w:rsidTr="00031125">
        <w:trPr>
          <w:divId w:val="9531765"/>
          <w:trHeight w:val="238"/>
        </w:trPr>
        <w:tc>
          <w:tcPr>
            <w:tcW w:w="1560" w:type="dxa"/>
            <w:shd w:val="clear" w:color="auto" w:fill="FFFFFF"/>
            <w:tcMar>
              <w:top w:w="15" w:type="dxa"/>
              <w:left w:w="15" w:type="dxa"/>
              <w:bottom w:w="0" w:type="dxa"/>
              <w:right w:w="15" w:type="dxa"/>
            </w:tcMar>
            <w:vAlign w:val="center"/>
            <w:hideMark/>
          </w:tcPr>
          <w:p w:rsidR="00CC38FA" w:rsidRPr="008969F5" w:rsidRDefault="00CC38FA">
            <w:pPr>
              <w:rPr>
                <w:rFonts w:ascii="宋体" w:eastAsia="宋体" w:hAnsi="宋体"/>
                <w:color w:val="000000"/>
                <w:sz w:val="18"/>
                <w:szCs w:val="18"/>
              </w:rPr>
            </w:pPr>
            <w:r w:rsidRPr="008969F5">
              <w:rPr>
                <w:rFonts w:ascii="宋体" w:eastAsia="宋体" w:hAnsi="宋体" w:hint="eastAsia"/>
                <w:color w:val="000000"/>
                <w:sz w:val="18"/>
                <w:szCs w:val="18"/>
              </w:rPr>
              <w:t>市博士后创新项目专项资金</w:t>
            </w:r>
          </w:p>
        </w:tc>
        <w:tc>
          <w:tcPr>
            <w:tcW w:w="1417"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12,646,234.50</w:t>
            </w:r>
          </w:p>
        </w:tc>
        <w:tc>
          <w:tcPr>
            <w:tcW w:w="1134"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50,000.00</w:t>
            </w:r>
          </w:p>
        </w:tc>
        <w:tc>
          <w:tcPr>
            <w:tcW w:w="851"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1134"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709"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1417"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470,000.00</w:t>
            </w:r>
          </w:p>
        </w:tc>
        <w:tc>
          <w:tcPr>
            <w:tcW w:w="1417"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12,226,234.50</w:t>
            </w:r>
          </w:p>
        </w:tc>
      </w:tr>
      <w:tr w:rsidR="00FF054A" w:rsidRPr="008969F5" w:rsidTr="00031125">
        <w:trPr>
          <w:divId w:val="9531765"/>
          <w:trHeight w:val="238"/>
        </w:trPr>
        <w:tc>
          <w:tcPr>
            <w:tcW w:w="1560" w:type="dxa"/>
            <w:shd w:val="clear" w:color="auto" w:fill="FFFFFF"/>
            <w:tcMar>
              <w:top w:w="15" w:type="dxa"/>
              <w:left w:w="15" w:type="dxa"/>
              <w:bottom w:w="0" w:type="dxa"/>
              <w:right w:w="15" w:type="dxa"/>
            </w:tcMar>
            <w:vAlign w:val="center"/>
            <w:hideMark/>
          </w:tcPr>
          <w:p w:rsidR="00CC38FA" w:rsidRPr="008969F5" w:rsidRDefault="00CC38FA">
            <w:pPr>
              <w:rPr>
                <w:rFonts w:ascii="宋体" w:eastAsia="宋体" w:hAnsi="宋体"/>
                <w:color w:val="000000"/>
                <w:sz w:val="18"/>
                <w:szCs w:val="18"/>
              </w:rPr>
            </w:pPr>
            <w:r w:rsidRPr="008969F5">
              <w:rPr>
                <w:rFonts w:ascii="宋体" w:eastAsia="宋体" w:hAnsi="宋体" w:hint="eastAsia"/>
                <w:color w:val="000000"/>
                <w:sz w:val="18"/>
                <w:szCs w:val="18"/>
              </w:rPr>
              <w:t>软控诸暨装备产业园建设进度奖</w:t>
            </w:r>
          </w:p>
        </w:tc>
        <w:tc>
          <w:tcPr>
            <w:tcW w:w="1417"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11,566,359.46</w:t>
            </w:r>
          </w:p>
        </w:tc>
        <w:tc>
          <w:tcPr>
            <w:tcW w:w="1134"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851"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1134"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122,611.58</w:t>
            </w:r>
          </w:p>
        </w:tc>
        <w:tc>
          <w:tcPr>
            <w:tcW w:w="709"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1417"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1417"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11,443,747.88</w:t>
            </w:r>
          </w:p>
        </w:tc>
      </w:tr>
      <w:tr w:rsidR="00FF054A" w:rsidRPr="008969F5" w:rsidTr="00031125">
        <w:trPr>
          <w:divId w:val="9531765"/>
          <w:trHeight w:val="238"/>
        </w:trPr>
        <w:tc>
          <w:tcPr>
            <w:tcW w:w="1560" w:type="dxa"/>
            <w:shd w:val="clear" w:color="auto" w:fill="FFFFFF"/>
            <w:tcMar>
              <w:top w:w="15" w:type="dxa"/>
              <w:left w:w="15" w:type="dxa"/>
              <w:bottom w:w="0" w:type="dxa"/>
              <w:right w:w="15" w:type="dxa"/>
            </w:tcMar>
            <w:vAlign w:val="center"/>
            <w:hideMark/>
          </w:tcPr>
          <w:p w:rsidR="00CC38FA" w:rsidRPr="008969F5" w:rsidRDefault="00CC38FA">
            <w:pPr>
              <w:rPr>
                <w:rFonts w:ascii="宋体" w:eastAsia="宋体" w:hAnsi="宋体"/>
                <w:color w:val="000000"/>
                <w:sz w:val="18"/>
                <w:szCs w:val="18"/>
              </w:rPr>
            </w:pPr>
            <w:r w:rsidRPr="008969F5">
              <w:rPr>
                <w:rFonts w:ascii="宋体" w:eastAsia="宋体" w:hAnsi="宋体" w:hint="eastAsia"/>
                <w:color w:val="000000"/>
                <w:sz w:val="18"/>
                <w:szCs w:val="18"/>
              </w:rPr>
              <w:t>产线智能管控系统的研究</w:t>
            </w:r>
          </w:p>
        </w:tc>
        <w:tc>
          <w:tcPr>
            <w:tcW w:w="1417"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2,550,000.00</w:t>
            </w:r>
          </w:p>
        </w:tc>
        <w:tc>
          <w:tcPr>
            <w:tcW w:w="1134"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851"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1134"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p>
        </w:tc>
        <w:tc>
          <w:tcPr>
            <w:tcW w:w="709"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1417"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p>
        </w:tc>
        <w:tc>
          <w:tcPr>
            <w:tcW w:w="1417"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2,550,000.00</w:t>
            </w:r>
          </w:p>
        </w:tc>
      </w:tr>
      <w:tr w:rsidR="00FF054A" w:rsidRPr="008969F5" w:rsidTr="00031125">
        <w:trPr>
          <w:divId w:val="9531765"/>
          <w:trHeight w:val="238"/>
        </w:trPr>
        <w:tc>
          <w:tcPr>
            <w:tcW w:w="1560" w:type="dxa"/>
            <w:shd w:val="clear" w:color="auto" w:fill="FFFFFF"/>
            <w:tcMar>
              <w:top w:w="15" w:type="dxa"/>
              <w:left w:w="15" w:type="dxa"/>
              <w:bottom w:w="0" w:type="dxa"/>
              <w:right w:w="15" w:type="dxa"/>
            </w:tcMar>
            <w:vAlign w:val="center"/>
            <w:hideMark/>
          </w:tcPr>
          <w:p w:rsidR="00CC38FA" w:rsidRPr="008969F5" w:rsidRDefault="00CC38FA">
            <w:pPr>
              <w:rPr>
                <w:rFonts w:ascii="宋体" w:eastAsia="宋体" w:hAnsi="宋体"/>
                <w:color w:val="000000"/>
                <w:sz w:val="18"/>
                <w:szCs w:val="18"/>
              </w:rPr>
            </w:pPr>
            <w:r w:rsidRPr="008969F5">
              <w:rPr>
                <w:rFonts w:ascii="宋体" w:eastAsia="宋体" w:hAnsi="宋体" w:hint="eastAsia"/>
                <w:color w:val="000000"/>
                <w:sz w:val="18"/>
                <w:szCs w:val="18"/>
              </w:rPr>
              <w:t>工业互联网创新发展</w:t>
            </w:r>
          </w:p>
        </w:tc>
        <w:tc>
          <w:tcPr>
            <w:tcW w:w="1417"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2,524,714.00</w:t>
            </w:r>
          </w:p>
        </w:tc>
        <w:tc>
          <w:tcPr>
            <w:tcW w:w="1134" w:type="dxa"/>
            <w:shd w:val="clear" w:color="auto" w:fill="FFFFFF"/>
            <w:tcMar>
              <w:top w:w="15" w:type="dxa"/>
              <w:left w:w="15" w:type="dxa"/>
              <w:bottom w:w="0" w:type="dxa"/>
              <w:right w:w="15" w:type="dxa"/>
            </w:tcMar>
            <w:vAlign w:val="center"/>
          </w:tcPr>
          <w:p w:rsidR="00CC38FA" w:rsidRPr="000457AA" w:rsidRDefault="00CC38FA" w:rsidP="000457AA">
            <w:pPr>
              <w:spacing w:line="240" w:lineRule="exact"/>
              <w:jc w:val="right"/>
              <w:rPr>
                <w:rFonts w:ascii="宋体" w:eastAsia="宋体" w:hAnsi="宋体" w:cs="宋体"/>
                <w:sz w:val="18"/>
                <w:szCs w:val="18"/>
              </w:rPr>
            </w:pPr>
          </w:p>
        </w:tc>
        <w:tc>
          <w:tcPr>
            <w:tcW w:w="851"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1134" w:type="dxa"/>
            <w:shd w:val="clear" w:color="auto" w:fill="FFFFFF"/>
            <w:tcMar>
              <w:top w:w="15" w:type="dxa"/>
              <w:left w:w="15" w:type="dxa"/>
              <w:bottom w:w="0" w:type="dxa"/>
              <w:right w:w="15" w:type="dxa"/>
            </w:tcMar>
            <w:vAlign w:val="center"/>
          </w:tcPr>
          <w:p w:rsidR="00CC38FA" w:rsidRPr="000457AA" w:rsidRDefault="00CC38FA" w:rsidP="000457AA">
            <w:pPr>
              <w:spacing w:line="240" w:lineRule="exact"/>
              <w:jc w:val="right"/>
              <w:rPr>
                <w:rFonts w:ascii="宋体" w:eastAsia="宋体" w:hAnsi="宋体" w:cs="宋体"/>
                <w:sz w:val="18"/>
                <w:szCs w:val="18"/>
              </w:rPr>
            </w:pPr>
          </w:p>
        </w:tc>
        <w:tc>
          <w:tcPr>
            <w:tcW w:w="709"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1417" w:type="dxa"/>
            <w:shd w:val="clear" w:color="auto" w:fill="FFFFFF"/>
            <w:tcMar>
              <w:top w:w="15" w:type="dxa"/>
              <w:left w:w="15" w:type="dxa"/>
              <w:bottom w:w="0" w:type="dxa"/>
              <w:right w:w="15" w:type="dxa"/>
            </w:tcMar>
            <w:vAlign w:val="center"/>
          </w:tcPr>
          <w:p w:rsidR="00CC38FA" w:rsidRPr="000457AA" w:rsidRDefault="00CC38FA" w:rsidP="000457AA">
            <w:pPr>
              <w:spacing w:line="240" w:lineRule="exact"/>
              <w:jc w:val="right"/>
              <w:rPr>
                <w:rFonts w:ascii="宋体" w:eastAsia="宋体" w:hAnsi="宋体" w:cs="宋体"/>
                <w:sz w:val="18"/>
                <w:szCs w:val="18"/>
              </w:rPr>
            </w:pPr>
          </w:p>
        </w:tc>
        <w:tc>
          <w:tcPr>
            <w:tcW w:w="1417"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2,524,714.00</w:t>
            </w:r>
          </w:p>
        </w:tc>
      </w:tr>
      <w:tr w:rsidR="00FF054A" w:rsidRPr="008969F5" w:rsidTr="00031125">
        <w:trPr>
          <w:divId w:val="9531765"/>
          <w:trHeight w:val="238"/>
        </w:trPr>
        <w:tc>
          <w:tcPr>
            <w:tcW w:w="1560" w:type="dxa"/>
            <w:shd w:val="clear" w:color="auto" w:fill="FFFFFF"/>
            <w:tcMar>
              <w:top w:w="15" w:type="dxa"/>
              <w:left w:w="15" w:type="dxa"/>
              <w:bottom w:w="0" w:type="dxa"/>
              <w:right w:w="15" w:type="dxa"/>
            </w:tcMar>
            <w:vAlign w:val="center"/>
            <w:hideMark/>
          </w:tcPr>
          <w:p w:rsidR="00CC38FA" w:rsidRPr="008969F5" w:rsidRDefault="00CC38FA">
            <w:pPr>
              <w:rPr>
                <w:rFonts w:ascii="宋体" w:eastAsia="宋体" w:hAnsi="宋体"/>
                <w:color w:val="000000"/>
                <w:sz w:val="18"/>
                <w:szCs w:val="18"/>
              </w:rPr>
            </w:pPr>
            <w:r w:rsidRPr="008969F5">
              <w:rPr>
                <w:rFonts w:ascii="宋体" w:eastAsia="宋体" w:hAnsi="宋体" w:hint="eastAsia"/>
                <w:color w:val="000000"/>
                <w:sz w:val="18"/>
                <w:szCs w:val="18"/>
              </w:rPr>
              <w:t>全价值链产品质量精益管控软件</w:t>
            </w:r>
          </w:p>
        </w:tc>
        <w:tc>
          <w:tcPr>
            <w:tcW w:w="1417"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1,527,800.00</w:t>
            </w:r>
          </w:p>
        </w:tc>
        <w:tc>
          <w:tcPr>
            <w:tcW w:w="1134" w:type="dxa"/>
            <w:shd w:val="clear" w:color="auto" w:fill="FFFFFF"/>
            <w:tcMar>
              <w:top w:w="15" w:type="dxa"/>
              <w:left w:w="15" w:type="dxa"/>
              <w:bottom w:w="0" w:type="dxa"/>
              <w:right w:w="15" w:type="dxa"/>
            </w:tcMar>
            <w:vAlign w:val="center"/>
          </w:tcPr>
          <w:p w:rsidR="00CC38FA" w:rsidRPr="000457AA" w:rsidRDefault="00CC38FA" w:rsidP="000457AA">
            <w:pPr>
              <w:spacing w:line="240" w:lineRule="exact"/>
              <w:jc w:val="right"/>
              <w:rPr>
                <w:rFonts w:ascii="宋体" w:eastAsia="宋体" w:hAnsi="宋体" w:cs="宋体"/>
                <w:sz w:val="18"/>
                <w:szCs w:val="18"/>
              </w:rPr>
            </w:pPr>
          </w:p>
        </w:tc>
        <w:tc>
          <w:tcPr>
            <w:tcW w:w="851"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1134" w:type="dxa"/>
            <w:shd w:val="clear" w:color="auto" w:fill="FFFFFF"/>
            <w:tcMar>
              <w:top w:w="15" w:type="dxa"/>
              <w:left w:w="15" w:type="dxa"/>
              <w:bottom w:w="0" w:type="dxa"/>
              <w:right w:w="15" w:type="dxa"/>
            </w:tcMar>
            <w:vAlign w:val="center"/>
          </w:tcPr>
          <w:p w:rsidR="00CC38FA" w:rsidRPr="000457AA" w:rsidRDefault="00CC38FA" w:rsidP="000457AA">
            <w:pPr>
              <w:spacing w:line="240" w:lineRule="exact"/>
              <w:jc w:val="right"/>
              <w:rPr>
                <w:rFonts w:ascii="宋体" w:eastAsia="宋体" w:hAnsi="宋体" w:cs="宋体"/>
                <w:sz w:val="18"/>
                <w:szCs w:val="18"/>
              </w:rPr>
            </w:pPr>
          </w:p>
        </w:tc>
        <w:tc>
          <w:tcPr>
            <w:tcW w:w="709"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1417" w:type="dxa"/>
            <w:shd w:val="clear" w:color="auto" w:fill="FFFFFF"/>
            <w:tcMar>
              <w:top w:w="15" w:type="dxa"/>
              <w:left w:w="15" w:type="dxa"/>
              <w:bottom w:w="0" w:type="dxa"/>
              <w:right w:w="15" w:type="dxa"/>
            </w:tcMar>
            <w:vAlign w:val="center"/>
          </w:tcPr>
          <w:p w:rsidR="00CC38FA" w:rsidRPr="000457AA" w:rsidRDefault="00CC38FA" w:rsidP="000457AA">
            <w:pPr>
              <w:spacing w:line="240" w:lineRule="exact"/>
              <w:jc w:val="right"/>
              <w:rPr>
                <w:rFonts w:ascii="宋体" w:eastAsia="宋体" w:hAnsi="宋体" w:cs="宋体"/>
                <w:sz w:val="18"/>
                <w:szCs w:val="18"/>
              </w:rPr>
            </w:pPr>
          </w:p>
        </w:tc>
        <w:tc>
          <w:tcPr>
            <w:tcW w:w="1417"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1,527,800.00</w:t>
            </w:r>
          </w:p>
        </w:tc>
      </w:tr>
      <w:tr w:rsidR="00FF054A" w:rsidRPr="008969F5" w:rsidTr="00031125">
        <w:trPr>
          <w:divId w:val="9531765"/>
          <w:trHeight w:val="238"/>
        </w:trPr>
        <w:tc>
          <w:tcPr>
            <w:tcW w:w="1560" w:type="dxa"/>
            <w:shd w:val="clear" w:color="auto" w:fill="FFFFFF"/>
            <w:tcMar>
              <w:top w:w="15" w:type="dxa"/>
              <w:left w:w="15" w:type="dxa"/>
              <w:bottom w:w="0" w:type="dxa"/>
              <w:right w:w="15" w:type="dxa"/>
            </w:tcMar>
            <w:vAlign w:val="center"/>
            <w:hideMark/>
          </w:tcPr>
          <w:p w:rsidR="00CC38FA" w:rsidRPr="008969F5" w:rsidRDefault="00CC38FA">
            <w:pPr>
              <w:rPr>
                <w:rFonts w:ascii="宋体" w:eastAsia="宋体" w:hAnsi="宋体"/>
                <w:color w:val="000000"/>
                <w:sz w:val="18"/>
                <w:szCs w:val="18"/>
              </w:rPr>
            </w:pPr>
            <w:r w:rsidRPr="008969F5">
              <w:rPr>
                <w:rFonts w:ascii="宋体" w:eastAsia="宋体" w:hAnsi="宋体" w:hint="eastAsia"/>
                <w:color w:val="000000"/>
                <w:sz w:val="18"/>
                <w:szCs w:val="18"/>
              </w:rPr>
              <w:t>轮胎智能成型系统关键技术研发</w:t>
            </w:r>
          </w:p>
        </w:tc>
        <w:tc>
          <w:tcPr>
            <w:tcW w:w="1417"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1,358,000.00</w:t>
            </w:r>
          </w:p>
        </w:tc>
        <w:tc>
          <w:tcPr>
            <w:tcW w:w="1134" w:type="dxa"/>
            <w:shd w:val="clear" w:color="auto" w:fill="FFFFFF"/>
            <w:tcMar>
              <w:top w:w="15" w:type="dxa"/>
              <w:left w:w="15" w:type="dxa"/>
              <w:bottom w:w="0" w:type="dxa"/>
              <w:right w:w="15" w:type="dxa"/>
            </w:tcMar>
            <w:vAlign w:val="center"/>
          </w:tcPr>
          <w:p w:rsidR="00CC38FA" w:rsidRPr="000457AA" w:rsidRDefault="00CC38FA" w:rsidP="000457AA">
            <w:pPr>
              <w:spacing w:line="240" w:lineRule="exact"/>
              <w:jc w:val="right"/>
              <w:rPr>
                <w:rFonts w:ascii="宋体" w:eastAsia="宋体" w:hAnsi="宋体" w:cs="宋体"/>
                <w:sz w:val="18"/>
                <w:szCs w:val="18"/>
              </w:rPr>
            </w:pPr>
          </w:p>
        </w:tc>
        <w:tc>
          <w:tcPr>
            <w:tcW w:w="851"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1134" w:type="dxa"/>
            <w:shd w:val="clear" w:color="auto" w:fill="FFFFFF"/>
            <w:tcMar>
              <w:top w:w="15" w:type="dxa"/>
              <w:left w:w="15" w:type="dxa"/>
              <w:bottom w:w="0" w:type="dxa"/>
              <w:right w:w="15" w:type="dxa"/>
            </w:tcMar>
            <w:vAlign w:val="center"/>
          </w:tcPr>
          <w:p w:rsidR="00CC38FA" w:rsidRPr="000457AA" w:rsidRDefault="00CC38FA" w:rsidP="000457AA">
            <w:pPr>
              <w:spacing w:line="240" w:lineRule="exact"/>
              <w:jc w:val="right"/>
              <w:rPr>
                <w:rFonts w:ascii="宋体" w:eastAsia="宋体" w:hAnsi="宋体" w:cs="宋体"/>
                <w:sz w:val="18"/>
                <w:szCs w:val="18"/>
              </w:rPr>
            </w:pPr>
          </w:p>
        </w:tc>
        <w:tc>
          <w:tcPr>
            <w:tcW w:w="709"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1417" w:type="dxa"/>
            <w:shd w:val="clear" w:color="auto" w:fill="FFFFFF"/>
            <w:tcMar>
              <w:top w:w="15" w:type="dxa"/>
              <w:left w:w="15" w:type="dxa"/>
              <w:bottom w:w="0" w:type="dxa"/>
              <w:right w:w="15" w:type="dxa"/>
            </w:tcMar>
            <w:vAlign w:val="center"/>
          </w:tcPr>
          <w:p w:rsidR="00CC38FA" w:rsidRPr="000457AA" w:rsidRDefault="00CC38FA" w:rsidP="000457AA">
            <w:pPr>
              <w:spacing w:line="240" w:lineRule="exact"/>
              <w:jc w:val="right"/>
              <w:rPr>
                <w:rFonts w:ascii="宋体" w:eastAsia="宋体" w:hAnsi="宋体" w:cs="宋体"/>
                <w:sz w:val="18"/>
                <w:szCs w:val="18"/>
              </w:rPr>
            </w:pPr>
          </w:p>
        </w:tc>
        <w:tc>
          <w:tcPr>
            <w:tcW w:w="1417"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1,358,000.00</w:t>
            </w:r>
          </w:p>
        </w:tc>
      </w:tr>
      <w:tr w:rsidR="00FF054A" w:rsidRPr="008969F5" w:rsidTr="00031125">
        <w:trPr>
          <w:divId w:val="9531765"/>
          <w:trHeight w:val="238"/>
        </w:trPr>
        <w:tc>
          <w:tcPr>
            <w:tcW w:w="1560" w:type="dxa"/>
            <w:shd w:val="clear" w:color="auto" w:fill="FFFFFF"/>
            <w:tcMar>
              <w:top w:w="15" w:type="dxa"/>
              <w:left w:w="15" w:type="dxa"/>
              <w:bottom w:w="0" w:type="dxa"/>
              <w:right w:w="15" w:type="dxa"/>
            </w:tcMar>
            <w:vAlign w:val="center"/>
            <w:hideMark/>
          </w:tcPr>
          <w:p w:rsidR="00CC38FA" w:rsidRPr="008969F5" w:rsidRDefault="00CC38FA">
            <w:pPr>
              <w:rPr>
                <w:rFonts w:ascii="宋体" w:eastAsia="宋体" w:hAnsi="宋体"/>
                <w:color w:val="000000"/>
                <w:sz w:val="18"/>
                <w:szCs w:val="18"/>
              </w:rPr>
            </w:pPr>
            <w:r w:rsidRPr="008969F5">
              <w:rPr>
                <w:rFonts w:ascii="宋体" w:eastAsia="宋体" w:hAnsi="宋体" w:hint="eastAsia"/>
                <w:color w:val="000000"/>
                <w:sz w:val="18"/>
                <w:szCs w:val="18"/>
              </w:rPr>
              <w:t>高铁减振产品智能制造新模式应用</w:t>
            </w:r>
          </w:p>
        </w:tc>
        <w:tc>
          <w:tcPr>
            <w:tcW w:w="1417"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1,120,000.00</w:t>
            </w:r>
          </w:p>
        </w:tc>
        <w:tc>
          <w:tcPr>
            <w:tcW w:w="1134" w:type="dxa"/>
            <w:shd w:val="clear" w:color="auto" w:fill="FFFFFF"/>
            <w:tcMar>
              <w:top w:w="15" w:type="dxa"/>
              <w:left w:w="15" w:type="dxa"/>
              <w:bottom w:w="0" w:type="dxa"/>
              <w:right w:w="15" w:type="dxa"/>
            </w:tcMar>
            <w:vAlign w:val="center"/>
          </w:tcPr>
          <w:p w:rsidR="00CC38FA" w:rsidRPr="000457AA" w:rsidRDefault="00CC38FA" w:rsidP="000457AA">
            <w:pPr>
              <w:spacing w:line="240" w:lineRule="exact"/>
              <w:jc w:val="right"/>
              <w:rPr>
                <w:rFonts w:ascii="宋体" w:eastAsia="宋体" w:hAnsi="宋体" w:cs="宋体"/>
                <w:sz w:val="18"/>
                <w:szCs w:val="18"/>
              </w:rPr>
            </w:pPr>
          </w:p>
        </w:tc>
        <w:tc>
          <w:tcPr>
            <w:tcW w:w="851"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1134" w:type="dxa"/>
            <w:shd w:val="clear" w:color="auto" w:fill="FFFFFF"/>
            <w:tcMar>
              <w:top w:w="15" w:type="dxa"/>
              <w:left w:w="15" w:type="dxa"/>
              <w:bottom w:w="0" w:type="dxa"/>
              <w:right w:w="15" w:type="dxa"/>
            </w:tcMar>
            <w:vAlign w:val="center"/>
          </w:tcPr>
          <w:p w:rsidR="00CC38FA" w:rsidRPr="000457AA" w:rsidRDefault="00CC38FA" w:rsidP="000457AA">
            <w:pPr>
              <w:spacing w:line="240" w:lineRule="exact"/>
              <w:jc w:val="right"/>
              <w:rPr>
                <w:rFonts w:ascii="宋体" w:eastAsia="宋体" w:hAnsi="宋体" w:cs="宋体"/>
                <w:sz w:val="18"/>
                <w:szCs w:val="18"/>
              </w:rPr>
            </w:pPr>
          </w:p>
        </w:tc>
        <w:tc>
          <w:tcPr>
            <w:tcW w:w="709"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1417" w:type="dxa"/>
            <w:shd w:val="clear" w:color="auto" w:fill="FFFFFF"/>
            <w:tcMar>
              <w:top w:w="15" w:type="dxa"/>
              <w:left w:w="15" w:type="dxa"/>
              <w:bottom w:w="0" w:type="dxa"/>
              <w:right w:w="15" w:type="dxa"/>
            </w:tcMar>
            <w:vAlign w:val="center"/>
          </w:tcPr>
          <w:p w:rsidR="00CC38FA" w:rsidRPr="000457AA" w:rsidRDefault="00CC38FA" w:rsidP="000457AA">
            <w:pPr>
              <w:spacing w:line="240" w:lineRule="exact"/>
              <w:jc w:val="right"/>
              <w:rPr>
                <w:rFonts w:ascii="宋体" w:eastAsia="宋体" w:hAnsi="宋体" w:cs="宋体"/>
                <w:sz w:val="18"/>
                <w:szCs w:val="18"/>
              </w:rPr>
            </w:pPr>
          </w:p>
        </w:tc>
        <w:tc>
          <w:tcPr>
            <w:tcW w:w="1417"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1,120,000.00</w:t>
            </w:r>
          </w:p>
        </w:tc>
      </w:tr>
      <w:tr w:rsidR="00FF054A" w:rsidRPr="008969F5" w:rsidTr="00031125">
        <w:trPr>
          <w:divId w:val="9531765"/>
          <w:trHeight w:val="238"/>
        </w:trPr>
        <w:tc>
          <w:tcPr>
            <w:tcW w:w="1560" w:type="dxa"/>
            <w:shd w:val="clear" w:color="auto" w:fill="FFFFFF"/>
            <w:tcMar>
              <w:top w:w="15" w:type="dxa"/>
              <w:left w:w="15" w:type="dxa"/>
              <w:bottom w:w="0" w:type="dxa"/>
              <w:right w:w="15" w:type="dxa"/>
            </w:tcMar>
            <w:vAlign w:val="center"/>
            <w:hideMark/>
          </w:tcPr>
          <w:p w:rsidR="00CC38FA" w:rsidRPr="008969F5" w:rsidRDefault="00CC38FA">
            <w:pPr>
              <w:rPr>
                <w:rFonts w:ascii="宋体" w:eastAsia="宋体" w:hAnsi="宋体"/>
                <w:color w:val="000000"/>
                <w:sz w:val="18"/>
                <w:szCs w:val="18"/>
              </w:rPr>
            </w:pPr>
            <w:r w:rsidRPr="008969F5">
              <w:rPr>
                <w:rFonts w:ascii="宋体" w:eastAsia="宋体" w:hAnsi="宋体" w:hint="eastAsia"/>
                <w:color w:val="000000"/>
                <w:sz w:val="18"/>
                <w:szCs w:val="18"/>
              </w:rPr>
              <w:t>露天矿用新型巨型子午胎成型技术</w:t>
            </w:r>
          </w:p>
        </w:tc>
        <w:tc>
          <w:tcPr>
            <w:tcW w:w="1417"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1,000,000.00</w:t>
            </w:r>
          </w:p>
        </w:tc>
        <w:tc>
          <w:tcPr>
            <w:tcW w:w="1134" w:type="dxa"/>
            <w:shd w:val="clear" w:color="auto" w:fill="FFFFFF"/>
            <w:tcMar>
              <w:top w:w="15" w:type="dxa"/>
              <w:left w:w="15" w:type="dxa"/>
              <w:bottom w:w="0" w:type="dxa"/>
              <w:right w:w="15" w:type="dxa"/>
            </w:tcMar>
            <w:vAlign w:val="center"/>
          </w:tcPr>
          <w:p w:rsidR="00CC38FA" w:rsidRPr="000457AA" w:rsidRDefault="00CC38FA" w:rsidP="000457AA">
            <w:pPr>
              <w:spacing w:line="240" w:lineRule="exact"/>
              <w:jc w:val="right"/>
              <w:rPr>
                <w:rFonts w:ascii="宋体" w:eastAsia="宋体" w:hAnsi="宋体" w:cs="宋体"/>
                <w:sz w:val="18"/>
                <w:szCs w:val="18"/>
              </w:rPr>
            </w:pPr>
          </w:p>
        </w:tc>
        <w:tc>
          <w:tcPr>
            <w:tcW w:w="851"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1134" w:type="dxa"/>
            <w:shd w:val="clear" w:color="auto" w:fill="FFFFFF"/>
            <w:tcMar>
              <w:top w:w="15" w:type="dxa"/>
              <w:left w:w="15" w:type="dxa"/>
              <w:bottom w:w="0" w:type="dxa"/>
              <w:right w:w="15" w:type="dxa"/>
            </w:tcMar>
            <w:vAlign w:val="center"/>
          </w:tcPr>
          <w:p w:rsidR="00CC38FA" w:rsidRPr="000457AA" w:rsidRDefault="00CC38FA" w:rsidP="000457AA">
            <w:pPr>
              <w:spacing w:line="240" w:lineRule="exact"/>
              <w:jc w:val="right"/>
              <w:rPr>
                <w:rFonts w:ascii="宋体" w:eastAsia="宋体" w:hAnsi="宋体" w:cs="宋体"/>
                <w:sz w:val="18"/>
                <w:szCs w:val="18"/>
              </w:rPr>
            </w:pPr>
          </w:p>
        </w:tc>
        <w:tc>
          <w:tcPr>
            <w:tcW w:w="709"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1417" w:type="dxa"/>
            <w:shd w:val="clear" w:color="auto" w:fill="FFFFFF"/>
            <w:tcMar>
              <w:top w:w="15" w:type="dxa"/>
              <w:left w:w="15" w:type="dxa"/>
              <w:bottom w:w="0" w:type="dxa"/>
              <w:right w:w="15" w:type="dxa"/>
            </w:tcMar>
            <w:vAlign w:val="center"/>
          </w:tcPr>
          <w:p w:rsidR="00CC38FA" w:rsidRPr="000457AA" w:rsidRDefault="00CC38FA" w:rsidP="000457AA">
            <w:pPr>
              <w:spacing w:line="240" w:lineRule="exact"/>
              <w:jc w:val="right"/>
              <w:rPr>
                <w:rFonts w:ascii="宋体" w:eastAsia="宋体" w:hAnsi="宋体" w:cs="宋体"/>
                <w:sz w:val="18"/>
                <w:szCs w:val="18"/>
              </w:rPr>
            </w:pPr>
          </w:p>
        </w:tc>
        <w:tc>
          <w:tcPr>
            <w:tcW w:w="1417"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1,000,000.00</w:t>
            </w:r>
          </w:p>
        </w:tc>
      </w:tr>
      <w:tr w:rsidR="00FF054A" w:rsidRPr="008969F5" w:rsidTr="00031125">
        <w:trPr>
          <w:divId w:val="9531765"/>
          <w:trHeight w:val="238"/>
        </w:trPr>
        <w:tc>
          <w:tcPr>
            <w:tcW w:w="1560" w:type="dxa"/>
            <w:shd w:val="clear" w:color="auto" w:fill="FFFFFF"/>
            <w:tcMar>
              <w:top w:w="15" w:type="dxa"/>
              <w:left w:w="15" w:type="dxa"/>
              <w:bottom w:w="0" w:type="dxa"/>
              <w:right w:w="15" w:type="dxa"/>
            </w:tcMar>
            <w:vAlign w:val="center"/>
            <w:hideMark/>
          </w:tcPr>
          <w:p w:rsidR="00CC38FA" w:rsidRPr="008969F5" w:rsidRDefault="00CC38FA">
            <w:pPr>
              <w:rPr>
                <w:rFonts w:ascii="宋体" w:eastAsia="宋体" w:hAnsi="宋体"/>
                <w:color w:val="000000"/>
                <w:sz w:val="18"/>
                <w:szCs w:val="18"/>
              </w:rPr>
            </w:pPr>
            <w:r w:rsidRPr="008969F5">
              <w:rPr>
                <w:rFonts w:ascii="宋体" w:eastAsia="宋体" w:hAnsi="宋体" w:hint="eastAsia"/>
                <w:color w:val="000000"/>
                <w:sz w:val="18"/>
                <w:szCs w:val="18"/>
              </w:rPr>
              <w:t>小样本异常数据智能分析控制</w:t>
            </w:r>
          </w:p>
        </w:tc>
        <w:tc>
          <w:tcPr>
            <w:tcW w:w="1417"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720,000.00 </w:t>
            </w:r>
          </w:p>
        </w:tc>
        <w:tc>
          <w:tcPr>
            <w:tcW w:w="1134" w:type="dxa"/>
            <w:shd w:val="clear" w:color="auto" w:fill="FFFFFF"/>
            <w:tcMar>
              <w:top w:w="15" w:type="dxa"/>
              <w:left w:w="15" w:type="dxa"/>
              <w:bottom w:w="0" w:type="dxa"/>
              <w:right w:w="15" w:type="dxa"/>
            </w:tcMar>
            <w:vAlign w:val="center"/>
          </w:tcPr>
          <w:p w:rsidR="00CC38FA" w:rsidRPr="000457AA" w:rsidRDefault="00CC38FA" w:rsidP="000457AA">
            <w:pPr>
              <w:spacing w:line="240" w:lineRule="exact"/>
              <w:jc w:val="right"/>
              <w:rPr>
                <w:rFonts w:ascii="宋体" w:eastAsia="宋体" w:hAnsi="宋体" w:cs="宋体"/>
                <w:sz w:val="18"/>
                <w:szCs w:val="18"/>
              </w:rPr>
            </w:pPr>
          </w:p>
        </w:tc>
        <w:tc>
          <w:tcPr>
            <w:tcW w:w="851"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1134" w:type="dxa"/>
            <w:shd w:val="clear" w:color="auto" w:fill="FFFFFF"/>
            <w:tcMar>
              <w:top w:w="15" w:type="dxa"/>
              <w:left w:w="15" w:type="dxa"/>
              <w:bottom w:w="0" w:type="dxa"/>
              <w:right w:w="15" w:type="dxa"/>
            </w:tcMar>
            <w:vAlign w:val="center"/>
          </w:tcPr>
          <w:p w:rsidR="00CC38FA" w:rsidRPr="000457AA" w:rsidRDefault="00CC38FA" w:rsidP="000457AA">
            <w:pPr>
              <w:spacing w:line="240" w:lineRule="exact"/>
              <w:jc w:val="right"/>
              <w:rPr>
                <w:rFonts w:ascii="宋体" w:eastAsia="宋体" w:hAnsi="宋体" w:cs="宋体"/>
                <w:sz w:val="18"/>
                <w:szCs w:val="18"/>
              </w:rPr>
            </w:pPr>
          </w:p>
        </w:tc>
        <w:tc>
          <w:tcPr>
            <w:tcW w:w="709"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1417" w:type="dxa"/>
            <w:shd w:val="clear" w:color="auto" w:fill="FFFFFF"/>
            <w:tcMar>
              <w:top w:w="15" w:type="dxa"/>
              <w:left w:w="15" w:type="dxa"/>
              <w:bottom w:w="0" w:type="dxa"/>
              <w:right w:w="15" w:type="dxa"/>
            </w:tcMar>
            <w:vAlign w:val="center"/>
          </w:tcPr>
          <w:p w:rsidR="00CC38FA" w:rsidRPr="000457AA" w:rsidRDefault="00CC38FA" w:rsidP="000457AA">
            <w:pPr>
              <w:spacing w:line="240" w:lineRule="exact"/>
              <w:jc w:val="right"/>
              <w:rPr>
                <w:rFonts w:ascii="宋体" w:eastAsia="宋体" w:hAnsi="宋体" w:cs="宋体"/>
                <w:sz w:val="18"/>
                <w:szCs w:val="18"/>
              </w:rPr>
            </w:pPr>
          </w:p>
        </w:tc>
        <w:tc>
          <w:tcPr>
            <w:tcW w:w="1417"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720,000.00</w:t>
            </w:r>
          </w:p>
        </w:tc>
      </w:tr>
      <w:tr w:rsidR="00FF054A" w:rsidRPr="008969F5" w:rsidTr="00031125">
        <w:trPr>
          <w:divId w:val="9531765"/>
          <w:trHeight w:val="238"/>
        </w:trPr>
        <w:tc>
          <w:tcPr>
            <w:tcW w:w="1560" w:type="dxa"/>
            <w:shd w:val="clear" w:color="auto" w:fill="FFFFFF"/>
            <w:tcMar>
              <w:top w:w="15" w:type="dxa"/>
              <w:left w:w="15" w:type="dxa"/>
              <w:bottom w:w="0" w:type="dxa"/>
              <w:right w:w="15" w:type="dxa"/>
            </w:tcMar>
            <w:vAlign w:val="center"/>
            <w:hideMark/>
          </w:tcPr>
          <w:p w:rsidR="00CC38FA" w:rsidRPr="008969F5" w:rsidRDefault="00CC38FA">
            <w:pPr>
              <w:rPr>
                <w:rFonts w:ascii="宋体" w:eastAsia="宋体" w:hAnsi="宋体"/>
                <w:color w:val="000000"/>
                <w:sz w:val="18"/>
                <w:szCs w:val="18"/>
              </w:rPr>
            </w:pPr>
            <w:r w:rsidRPr="008969F5">
              <w:rPr>
                <w:rFonts w:ascii="宋体" w:eastAsia="宋体" w:hAnsi="宋体" w:hint="eastAsia"/>
                <w:color w:val="000000"/>
                <w:sz w:val="18"/>
                <w:szCs w:val="18"/>
              </w:rPr>
              <w:t>轮胎用射频识别（</w:t>
            </w:r>
            <w:r w:rsidRPr="008969F5">
              <w:rPr>
                <w:rFonts w:ascii="宋体" w:eastAsia="宋体" w:hAnsi="宋体"/>
                <w:color w:val="000000"/>
                <w:sz w:val="18"/>
                <w:szCs w:val="18"/>
              </w:rPr>
              <w:t>RFID)</w:t>
            </w:r>
            <w:r w:rsidRPr="008969F5">
              <w:rPr>
                <w:rFonts w:ascii="宋体" w:eastAsia="宋体" w:hAnsi="宋体" w:hint="eastAsia"/>
                <w:color w:val="000000"/>
                <w:sz w:val="18"/>
                <w:szCs w:val="18"/>
              </w:rPr>
              <w:t>电子标签性能试验方法</w:t>
            </w:r>
          </w:p>
        </w:tc>
        <w:tc>
          <w:tcPr>
            <w:tcW w:w="1417"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690,000.00 </w:t>
            </w:r>
          </w:p>
        </w:tc>
        <w:tc>
          <w:tcPr>
            <w:tcW w:w="1134" w:type="dxa"/>
            <w:shd w:val="clear" w:color="auto" w:fill="FFFFFF"/>
            <w:tcMar>
              <w:top w:w="15" w:type="dxa"/>
              <w:left w:w="15" w:type="dxa"/>
              <w:bottom w:w="0" w:type="dxa"/>
              <w:right w:w="15" w:type="dxa"/>
            </w:tcMar>
            <w:vAlign w:val="center"/>
          </w:tcPr>
          <w:p w:rsidR="00CC38FA" w:rsidRPr="000457AA" w:rsidRDefault="00CC38FA" w:rsidP="000457AA">
            <w:pPr>
              <w:spacing w:line="240" w:lineRule="exact"/>
              <w:jc w:val="right"/>
              <w:rPr>
                <w:rFonts w:ascii="宋体" w:eastAsia="宋体" w:hAnsi="宋体" w:cs="宋体"/>
                <w:sz w:val="18"/>
                <w:szCs w:val="18"/>
              </w:rPr>
            </w:pPr>
          </w:p>
        </w:tc>
        <w:tc>
          <w:tcPr>
            <w:tcW w:w="851"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1134"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240,000.00</w:t>
            </w:r>
          </w:p>
        </w:tc>
        <w:tc>
          <w:tcPr>
            <w:tcW w:w="709"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1417" w:type="dxa"/>
            <w:shd w:val="clear" w:color="auto" w:fill="FFFFFF"/>
            <w:tcMar>
              <w:top w:w="15" w:type="dxa"/>
              <w:left w:w="15" w:type="dxa"/>
              <w:bottom w:w="0" w:type="dxa"/>
              <w:right w:w="15" w:type="dxa"/>
            </w:tcMar>
            <w:vAlign w:val="center"/>
          </w:tcPr>
          <w:p w:rsidR="00CC38FA" w:rsidRPr="000457AA" w:rsidRDefault="00CC38FA" w:rsidP="000457AA">
            <w:pPr>
              <w:spacing w:line="240" w:lineRule="exact"/>
              <w:jc w:val="right"/>
              <w:rPr>
                <w:rFonts w:ascii="宋体" w:eastAsia="宋体" w:hAnsi="宋体" w:cs="宋体"/>
                <w:sz w:val="18"/>
                <w:szCs w:val="18"/>
              </w:rPr>
            </w:pPr>
          </w:p>
        </w:tc>
        <w:tc>
          <w:tcPr>
            <w:tcW w:w="1417"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450,000.00</w:t>
            </w:r>
          </w:p>
        </w:tc>
      </w:tr>
      <w:tr w:rsidR="00FF054A" w:rsidRPr="008969F5" w:rsidTr="00031125">
        <w:trPr>
          <w:divId w:val="9531765"/>
          <w:trHeight w:val="238"/>
        </w:trPr>
        <w:tc>
          <w:tcPr>
            <w:tcW w:w="1560" w:type="dxa"/>
            <w:shd w:val="clear" w:color="auto" w:fill="FFFFFF"/>
            <w:tcMar>
              <w:top w:w="15" w:type="dxa"/>
              <w:left w:w="15" w:type="dxa"/>
              <w:bottom w:w="0" w:type="dxa"/>
              <w:right w:w="15" w:type="dxa"/>
            </w:tcMar>
            <w:vAlign w:val="center"/>
            <w:hideMark/>
          </w:tcPr>
          <w:p w:rsidR="00CC38FA" w:rsidRPr="008969F5" w:rsidRDefault="00CC38FA">
            <w:pPr>
              <w:rPr>
                <w:rFonts w:ascii="宋体" w:eastAsia="宋体" w:hAnsi="宋体"/>
                <w:color w:val="000000"/>
                <w:sz w:val="18"/>
                <w:szCs w:val="18"/>
              </w:rPr>
            </w:pPr>
            <w:r w:rsidRPr="008969F5">
              <w:rPr>
                <w:rFonts w:ascii="宋体" w:eastAsia="宋体" w:hAnsi="宋体" w:hint="eastAsia"/>
                <w:color w:val="000000"/>
                <w:sz w:val="18"/>
                <w:szCs w:val="18"/>
              </w:rPr>
              <w:t>协同感知与柔性调控理论与关键技术</w:t>
            </w:r>
          </w:p>
        </w:tc>
        <w:tc>
          <w:tcPr>
            <w:tcW w:w="1417"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1134"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138,000.00</w:t>
            </w:r>
          </w:p>
        </w:tc>
        <w:tc>
          <w:tcPr>
            <w:tcW w:w="851"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1134" w:type="dxa"/>
            <w:shd w:val="clear" w:color="auto" w:fill="FFFFFF"/>
            <w:tcMar>
              <w:top w:w="15" w:type="dxa"/>
              <w:left w:w="15" w:type="dxa"/>
              <w:bottom w:w="0" w:type="dxa"/>
              <w:right w:w="15" w:type="dxa"/>
            </w:tcMar>
            <w:vAlign w:val="center"/>
          </w:tcPr>
          <w:p w:rsidR="00CC38FA" w:rsidRPr="000457AA" w:rsidRDefault="00CC38FA" w:rsidP="000457AA">
            <w:pPr>
              <w:spacing w:line="240" w:lineRule="exact"/>
              <w:jc w:val="right"/>
              <w:rPr>
                <w:rFonts w:ascii="宋体" w:eastAsia="宋体" w:hAnsi="宋体" w:cs="宋体"/>
                <w:sz w:val="18"/>
                <w:szCs w:val="18"/>
              </w:rPr>
            </w:pPr>
          </w:p>
        </w:tc>
        <w:tc>
          <w:tcPr>
            <w:tcW w:w="709"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1417" w:type="dxa"/>
            <w:shd w:val="clear" w:color="auto" w:fill="FFFFFF"/>
            <w:tcMar>
              <w:top w:w="15" w:type="dxa"/>
              <w:left w:w="15" w:type="dxa"/>
              <w:bottom w:w="0" w:type="dxa"/>
              <w:right w:w="15" w:type="dxa"/>
            </w:tcMar>
            <w:vAlign w:val="center"/>
          </w:tcPr>
          <w:p w:rsidR="00CC38FA" w:rsidRPr="000457AA" w:rsidRDefault="00CC38FA" w:rsidP="000457AA">
            <w:pPr>
              <w:spacing w:line="240" w:lineRule="exact"/>
              <w:jc w:val="right"/>
              <w:rPr>
                <w:rFonts w:ascii="宋体" w:eastAsia="宋体" w:hAnsi="宋体" w:cs="宋体"/>
                <w:sz w:val="18"/>
                <w:szCs w:val="18"/>
              </w:rPr>
            </w:pPr>
          </w:p>
        </w:tc>
        <w:tc>
          <w:tcPr>
            <w:tcW w:w="1417"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138,000.00</w:t>
            </w:r>
          </w:p>
        </w:tc>
      </w:tr>
      <w:tr w:rsidR="00FF054A" w:rsidRPr="008969F5" w:rsidTr="00031125">
        <w:trPr>
          <w:divId w:val="9531765"/>
          <w:trHeight w:val="238"/>
        </w:trPr>
        <w:tc>
          <w:tcPr>
            <w:tcW w:w="1560" w:type="dxa"/>
            <w:shd w:val="clear" w:color="auto" w:fill="FFFFFF"/>
            <w:tcMar>
              <w:top w:w="15" w:type="dxa"/>
              <w:left w:w="15" w:type="dxa"/>
              <w:bottom w:w="0" w:type="dxa"/>
              <w:right w:w="15" w:type="dxa"/>
            </w:tcMar>
            <w:vAlign w:val="center"/>
            <w:hideMark/>
          </w:tcPr>
          <w:p w:rsidR="00CC38FA" w:rsidRPr="008969F5" w:rsidRDefault="00CC38FA" w:rsidP="008969F5">
            <w:pPr>
              <w:rPr>
                <w:rFonts w:ascii="宋体" w:eastAsia="宋体" w:hAnsi="宋体"/>
                <w:color w:val="000000"/>
                <w:sz w:val="18"/>
                <w:szCs w:val="18"/>
              </w:rPr>
            </w:pPr>
            <w:r w:rsidRPr="008969F5">
              <w:rPr>
                <w:rFonts w:ascii="宋体" w:eastAsia="宋体" w:hAnsi="宋体" w:hint="eastAsia"/>
                <w:color w:val="000000"/>
                <w:sz w:val="18"/>
                <w:szCs w:val="18"/>
              </w:rPr>
              <w:t>年产</w:t>
            </w:r>
            <w:r w:rsidR="008969F5">
              <w:rPr>
                <w:rFonts w:ascii="宋体" w:eastAsia="宋体" w:hAnsi="宋体"/>
                <w:color w:val="000000"/>
                <w:sz w:val="18"/>
                <w:szCs w:val="18"/>
              </w:rPr>
              <w:t>3</w:t>
            </w:r>
            <w:r w:rsidRPr="008969F5">
              <w:rPr>
                <w:rFonts w:ascii="宋体" w:eastAsia="宋体" w:hAnsi="宋体" w:hint="eastAsia"/>
                <w:color w:val="000000"/>
                <w:sz w:val="18"/>
                <w:szCs w:val="18"/>
              </w:rPr>
              <w:t>万吨高性能复合橡胶生产能力</w:t>
            </w:r>
          </w:p>
        </w:tc>
        <w:tc>
          <w:tcPr>
            <w:tcW w:w="1417"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30,370,000.00</w:t>
            </w:r>
          </w:p>
        </w:tc>
        <w:tc>
          <w:tcPr>
            <w:tcW w:w="1134"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851"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1134" w:type="dxa"/>
            <w:shd w:val="clear" w:color="auto" w:fill="FFFFFF"/>
            <w:tcMar>
              <w:top w:w="15" w:type="dxa"/>
              <w:left w:w="15" w:type="dxa"/>
              <w:bottom w:w="0" w:type="dxa"/>
              <w:right w:w="15" w:type="dxa"/>
            </w:tcMar>
            <w:vAlign w:val="center"/>
          </w:tcPr>
          <w:p w:rsidR="00CC38FA" w:rsidRPr="000457AA" w:rsidRDefault="00CC38FA" w:rsidP="000457AA">
            <w:pPr>
              <w:spacing w:line="240" w:lineRule="exact"/>
              <w:jc w:val="right"/>
              <w:rPr>
                <w:rFonts w:ascii="宋体" w:eastAsia="宋体" w:hAnsi="宋体" w:cs="宋体"/>
                <w:sz w:val="18"/>
                <w:szCs w:val="18"/>
              </w:rPr>
            </w:pPr>
          </w:p>
        </w:tc>
        <w:tc>
          <w:tcPr>
            <w:tcW w:w="709"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c>
          <w:tcPr>
            <w:tcW w:w="1417"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30,370,000.00</w:t>
            </w:r>
          </w:p>
        </w:tc>
        <w:tc>
          <w:tcPr>
            <w:tcW w:w="1417" w:type="dxa"/>
            <w:shd w:val="clear" w:color="auto" w:fill="FFFFFF"/>
            <w:tcMar>
              <w:top w:w="15" w:type="dxa"/>
              <w:left w:w="15" w:type="dxa"/>
              <w:bottom w:w="0" w:type="dxa"/>
              <w:right w:w="15" w:type="dxa"/>
            </w:tcMar>
            <w:vAlign w:val="center"/>
            <w:hideMark/>
          </w:tcPr>
          <w:p w:rsidR="00CC38FA" w:rsidRPr="000457AA" w:rsidRDefault="00CC38FA" w:rsidP="000457AA">
            <w:pPr>
              <w:spacing w:line="240" w:lineRule="exact"/>
              <w:jc w:val="right"/>
              <w:rPr>
                <w:rFonts w:ascii="宋体" w:eastAsia="宋体" w:hAnsi="宋体" w:cs="宋体"/>
                <w:sz w:val="18"/>
                <w:szCs w:val="18"/>
              </w:rPr>
            </w:pPr>
            <w:r w:rsidRPr="000457AA">
              <w:rPr>
                <w:rFonts w:ascii="宋体" w:eastAsia="宋体" w:hAnsi="宋体" w:cs="宋体"/>
                <w:sz w:val="18"/>
                <w:szCs w:val="18"/>
              </w:rPr>
              <w:t>  </w:t>
            </w:r>
          </w:p>
        </w:tc>
      </w:tr>
      <w:tr w:rsidR="00FF054A" w:rsidRPr="008969F5" w:rsidTr="00031125">
        <w:trPr>
          <w:divId w:val="9531765"/>
          <w:trHeight w:val="238"/>
        </w:trPr>
        <w:tc>
          <w:tcPr>
            <w:tcW w:w="1560" w:type="dxa"/>
            <w:shd w:val="clear" w:color="auto" w:fill="D3D3D3"/>
            <w:tcMar>
              <w:top w:w="15" w:type="dxa"/>
              <w:left w:w="15" w:type="dxa"/>
              <w:bottom w:w="0" w:type="dxa"/>
              <w:right w:w="15" w:type="dxa"/>
            </w:tcMar>
            <w:vAlign w:val="center"/>
            <w:hideMark/>
          </w:tcPr>
          <w:p w:rsidR="00CC38FA" w:rsidRPr="008969F5" w:rsidRDefault="00CC38FA" w:rsidP="008969F5">
            <w:pPr>
              <w:spacing w:before="40" w:after="40" w:line="240" w:lineRule="exact"/>
              <w:rPr>
                <w:rFonts w:ascii="宋体" w:eastAsia="宋体" w:hAnsi="宋体" w:cs="宋体"/>
                <w:sz w:val="18"/>
                <w:szCs w:val="18"/>
              </w:rPr>
            </w:pPr>
            <w:r w:rsidRPr="008969F5">
              <w:rPr>
                <w:rFonts w:ascii="宋体" w:eastAsia="宋体" w:hAnsi="宋体" w:cs="宋体" w:hint="eastAsia"/>
                <w:sz w:val="18"/>
                <w:szCs w:val="18"/>
              </w:rPr>
              <w:t>合计</w:t>
            </w:r>
          </w:p>
        </w:tc>
        <w:tc>
          <w:tcPr>
            <w:tcW w:w="1417" w:type="dxa"/>
            <w:shd w:val="clear" w:color="auto" w:fill="FFFFFF"/>
            <w:tcMar>
              <w:top w:w="15" w:type="dxa"/>
              <w:left w:w="15" w:type="dxa"/>
              <w:bottom w:w="0" w:type="dxa"/>
              <w:right w:w="15" w:type="dxa"/>
            </w:tcMar>
            <w:vAlign w:val="center"/>
            <w:hideMark/>
          </w:tcPr>
          <w:p w:rsidR="00CC38FA" w:rsidRPr="008969F5" w:rsidRDefault="00CC38FA" w:rsidP="000457AA">
            <w:pPr>
              <w:spacing w:line="240" w:lineRule="exact"/>
              <w:jc w:val="right"/>
              <w:rPr>
                <w:rFonts w:ascii="宋体" w:eastAsia="宋体" w:hAnsi="宋体" w:cs="宋体"/>
                <w:sz w:val="18"/>
                <w:szCs w:val="18"/>
              </w:rPr>
            </w:pPr>
            <w:r w:rsidRPr="008969F5">
              <w:rPr>
                <w:rFonts w:ascii="宋体" w:eastAsia="宋体" w:hAnsi="宋体" w:cs="宋体"/>
                <w:sz w:val="18"/>
                <w:szCs w:val="18"/>
              </w:rPr>
              <w:t> 66,073,107.96</w:t>
            </w:r>
          </w:p>
        </w:tc>
        <w:tc>
          <w:tcPr>
            <w:tcW w:w="1134" w:type="dxa"/>
            <w:shd w:val="clear" w:color="auto" w:fill="FFFFFF"/>
            <w:tcMar>
              <w:top w:w="15" w:type="dxa"/>
              <w:left w:w="15" w:type="dxa"/>
              <w:bottom w:w="0" w:type="dxa"/>
              <w:right w:w="15" w:type="dxa"/>
            </w:tcMar>
            <w:vAlign w:val="center"/>
            <w:hideMark/>
          </w:tcPr>
          <w:p w:rsidR="00CC38FA" w:rsidRPr="008969F5" w:rsidRDefault="00CC38FA" w:rsidP="000457AA">
            <w:pPr>
              <w:spacing w:line="240" w:lineRule="exact"/>
              <w:jc w:val="right"/>
              <w:rPr>
                <w:rFonts w:ascii="宋体" w:eastAsia="宋体" w:hAnsi="宋体" w:cs="宋体"/>
                <w:sz w:val="18"/>
                <w:szCs w:val="18"/>
              </w:rPr>
            </w:pPr>
            <w:r w:rsidRPr="008969F5">
              <w:rPr>
                <w:rFonts w:ascii="宋体" w:eastAsia="宋体" w:hAnsi="宋体" w:cs="宋体"/>
                <w:sz w:val="18"/>
                <w:szCs w:val="18"/>
              </w:rPr>
              <w:t> 188,000.00</w:t>
            </w:r>
          </w:p>
        </w:tc>
        <w:tc>
          <w:tcPr>
            <w:tcW w:w="851" w:type="dxa"/>
            <w:shd w:val="clear" w:color="auto" w:fill="FFFFFF"/>
            <w:tcMar>
              <w:top w:w="15" w:type="dxa"/>
              <w:left w:w="15" w:type="dxa"/>
              <w:bottom w:w="0" w:type="dxa"/>
              <w:right w:w="15" w:type="dxa"/>
            </w:tcMar>
            <w:vAlign w:val="center"/>
            <w:hideMark/>
          </w:tcPr>
          <w:p w:rsidR="00CC38FA" w:rsidRPr="008969F5" w:rsidRDefault="00CC38FA" w:rsidP="000457AA">
            <w:pPr>
              <w:spacing w:line="240" w:lineRule="exact"/>
              <w:jc w:val="right"/>
              <w:rPr>
                <w:rFonts w:ascii="宋体" w:eastAsia="宋体" w:hAnsi="宋体" w:cs="宋体"/>
                <w:sz w:val="18"/>
                <w:szCs w:val="18"/>
              </w:rPr>
            </w:pPr>
            <w:r w:rsidRPr="008969F5">
              <w:rPr>
                <w:rFonts w:ascii="宋体" w:eastAsia="宋体" w:hAnsi="宋体" w:cs="宋体"/>
                <w:sz w:val="18"/>
                <w:szCs w:val="18"/>
              </w:rPr>
              <w:t>   </w:t>
            </w:r>
          </w:p>
        </w:tc>
        <w:tc>
          <w:tcPr>
            <w:tcW w:w="1134" w:type="dxa"/>
            <w:shd w:val="clear" w:color="auto" w:fill="FFFFFF"/>
            <w:tcMar>
              <w:top w:w="15" w:type="dxa"/>
              <w:left w:w="15" w:type="dxa"/>
              <w:bottom w:w="0" w:type="dxa"/>
              <w:right w:w="15" w:type="dxa"/>
            </w:tcMar>
            <w:vAlign w:val="center"/>
            <w:hideMark/>
          </w:tcPr>
          <w:p w:rsidR="00CC38FA" w:rsidRPr="008969F5" w:rsidRDefault="00CC38FA" w:rsidP="000457AA">
            <w:pPr>
              <w:spacing w:line="240" w:lineRule="exact"/>
              <w:jc w:val="right"/>
              <w:rPr>
                <w:rFonts w:ascii="宋体" w:eastAsia="宋体" w:hAnsi="宋体" w:cs="宋体"/>
                <w:sz w:val="18"/>
                <w:szCs w:val="18"/>
              </w:rPr>
            </w:pPr>
            <w:r w:rsidRPr="008969F5">
              <w:rPr>
                <w:rFonts w:ascii="宋体" w:eastAsia="宋体" w:hAnsi="宋体" w:cs="宋体"/>
                <w:sz w:val="18"/>
                <w:szCs w:val="18"/>
              </w:rPr>
              <w:t> 362,611.58</w:t>
            </w:r>
          </w:p>
        </w:tc>
        <w:tc>
          <w:tcPr>
            <w:tcW w:w="709" w:type="dxa"/>
            <w:shd w:val="clear" w:color="auto" w:fill="FFFFFF"/>
            <w:tcMar>
              <w:top w:w="15" w:type="dxa"/>
              <w:left w:w="15" w:type="dxa"/>
              <w:bottom w:w="0" w:type="dxa"/>
              <w:right w:w="15" w:type="dxa"/>
            </w:tcMar>
            <w:vAlign w:val="center"/>
            <w:hideMark/>
          </w:tcPr>
          <w:p w:rsidR="00CC38FA" w:rsidRPr="008969F5" w:rsidRDefault="00CC38FA" w:rsidP="000457AA">
            <w:pPr>
              <w:spacing w:line="240" w:lineRule="exact"/>
              <w:jc w:val="right"/>
              <w:rPr>
                <w:rFonts w:ascii="宋体" w:eastAsia="宋体" w:hAnsi="宋体" w:cs="宋体"/>
                <w:sz w:val="18"/>
                <w:szCs w:val="18"/>
              </w:rPr>
            </w:pPr>
            <w:r w:rsidRPr="008969F5">
              <w:rPr>
                <w:rFonts w:ascii="宋体" w:eastAsia="宋体" w:hAnsi="宋体" w:cs="宋体"/>
                <w:sz w:val="18"/>
                <w:szCs w:val="18"/>
              </w:rPr>
              <w:t> </w:t>
            </w:r>
          </w:p>
        </w:tc>
        <w:tc>
          <w:tcPr>
            <w:tcW w:w="1417" w:type="dxa"/>
            <w:shd w:val="clear" w:color="auto" w:fill="FFFFFF"/>
            <w:tcMar>
              <w:top w:w="15" w:type="dxa"/>
              <w:left w:w="15" w:type="dxa"/>
              <w:bottom w:w="0" w:type="dxa"/>
              <w:right w:w="15" w:type="dxa"/>
            </w:tcMar>
            <w:vAlign w:val="center"/>
            <w:hideMark/>
          </w:tcPr>
          <w:p w:rsidR="00CC38FA" w:rsidRPr="008969F5" w:rsidRDefault="00CC38FA" w:rsidP="000457AA">
            <w:pPr>
              <w:spacing w:line="240" w:lineRule="exact"/>
              <w:jc w:val="right"/>
              <w:rPr>
                <w:rFonts w:ascii="宋体" w:eastAsia="宋体" w:hAnsi="宋体" w:cs="宋体"/>
                <w:sz w:val="18"/>
                <w:szCs w:val="18"/>
              </w:rPr>
            </w:pPr>
            <w:r w:rsidRPr="008969F5">
              <w:rPr>
                <w:rFonts w:ascii="宋体" w:eastAsia="宋体" w:hAnsi="宋体" w:cs="宋体"/>
                <w:sz w:val="18"/>
                <w:szCs w:val="18"/>
              </w:rPr>
              <w:t> 30,840,000.00</w:t>
            </w:r>
          </w:p>
        </w:tc>
        <w:tc>
          <w:tcPr>
            <w:tcW w:w="1417" w:type="dxa"/>
            <w:shd w:val="clear" w:color="auto" w:fill="FFFFFF"/>
            <w:tcMar>
              <w:top w:w="15" w:type="dxa"/>
              <w:left w:w="15" w:type="dxa"/>
              <w:bottom w:w="0" w:type="dxa"/>
              <w:right w:w="15" w:type="dxa"/>
            </w:tcMar>
            <w:vAlign w:val="center"/>
            <w:hideMark/>
          </w:tcPr>
          <w:p w:rsidR="00CC38FA" w:rsidRPr="008969F5" w:rsidRDefault="00CC38FA" w:rsidP="000457AA">
            <w:pPr>
              <w:spacing w:line="240" w:lineRule="exact"/>
              <w:jc w:val="right"/>
              <w:rPr>
                <w:rFonts w:ascii="宋体" w:eastAsia="宋体" w:hAnsi="宋体" w:cs="宋体"/>
                <w:sz w:val="18"/>
                <w:szCs w:val="18"/>
              </w:rPr>
            </w:pPr>
            <w:r w:rsidRPr="008969F5">
              <w:rPr>
                <w:rFonts w:ascii="宋体" w:eastAsia="宋体" w:hAnsi="宋体" w:cs="宋体"/>
                <w:sz w:val="18"/>
                <w:szCs w:val="18"/>
              </w:rPr>
              <w:t> 35,058,496.38</w:t>
            </w:r>
          </w:p>
        </w:tc>
      </w:tr>
    </w:tbl>
    <w:p w:rsidR="007F3A90" w:rsidRDefault="00CC38FA">
      <w:pPr>
        <w:pStyle w:val="3"/>
        <w:spacing w:line="280" w:lineRule="exact"/>
        <w:jc w:val="left"/>
        <w:rPr>
          <w:rFonts w:ascii="宋体" w:hAnsi="宋体" w:cs="宋体"/>
          <w:b/>
          <w:bCs/>
        </w:rPr>
      </w:pPr>
      <w:bookmarkStart w:id="247" w:name="_Toc989137"/>
      <w:r>
        <w:rPr>
          <w:rFonts w:ascii="宋体" w:hAnsi="宋体" w:cs="宋体"/>
          <w:b/>
          <w:bCs/>
        </w:rPr>
        <w:t>34、股本</w:t>
      </w:r>
      <w:bookmarkEnd w:id="247"/>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7F3A90">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6024"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本次变动增减（+、-）</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7F3A90">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发行新股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送股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公积金转股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股份总数</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1,012,096,504.00</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2,364,570.00</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-151,200.00</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2,213,370.00</w:t>
            </w:r>
          </w:p>
        </w:tc>
        <w:tc>
          <w:tcPr>
            <w:tcW w:w="120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1,014,309,874.00</w:t>
            </w:r>
          </w:p>
        </w:tc>
      </w:tr>
    </w:tbl>
    <w:p w:rsidR="007F3A90" w:rsidRDefault="00CC38FA">
      <w:pPr>
        <w:pStyle w:val="3"/>
        <w:spacing w:line="280" w:lineRule="exact"/>
        <w:jc w:val="left"/>
        <w:rPr>
          <w:rFonts w:ascii="宋体" w:hAnsi="宋体" w:cs="宋体"/>
          <w:b/>
          <w:bCs/>
        </w:rPr>
      </w:pPr>
      <w:bookmarkStart w:id="248" w:name="_Toc989138"/>
      <w:r>
        <w:rPr>
          <w:rFonts w:ascii="宋体" w:hAnsi="宋体" w:cs="宋体"/>
          <w:b/>
          <w:bCs/>
        </w:rPr>
        <w:t>35、资本公积</w:t>
      </w:r>
      <w:bookmarkEnd w:id="248"/>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093"/>
        <w:gridCol w:w="1984"/>
        <w:gridCol w:w="1843"/>
        <w:gridCol w:w="1843"/>
        <w:gridCol w:w="1876"/>
      </w:tblGrid>
      <w:tr w:rsidR="007F3A90" w:rsidTr="008969F5">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7F3A90" w:rsidTr="008969F5">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资本溢价（股本溢价）</w:t>
            </w:r>
          </w:p>
        </w:tc>
        <w:tc>
          <w:tcPr>
            <w:tcW w:w="19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2,144,620,663.61</w:t>
            </w:r>
          </w:p>
        </w:tc>
        <w:tc>
          <w:tcPr>
            <w:tcW w:w="184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20,934,059.28</w:t>
            </w:r>
          </w:p>
        </w:tc>
        <w:tc>
          <w:tcPr>
            <w:tcW w:w="184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432,432.00</w:t>
            </w:r>
          </w:p>
        </w:tc>
        <w:tc>
          <w:tcPr>
            <w:tcW w:w="1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2,165,122,290.89</w:t>
            </w:r>
          </w:p>
        </w:tc>
      </w:tr>
      <w:tr w:rsidR="007F3A90" w:rsidTr="008969F5">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其他资本公积</w:t>
            </w:r>
          </w:p>
        </w:tc>
        <w:tc>
          <w:tcPr>
            <w:tcW w:w="19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126,288,967.96</w:t>
            </w:r>
          </w:p>
        </w:tc>
        <w:tc>
          <w:tcPr>
            <w:tcW w:w="184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55,741,278.18</w:t>
            </w:r>
          </w:p>
        </w:tc>
        <w:tc>
          <w:tcPr>
            <w:tcW w:w="184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8,818,002.60</w:t>
            </w:r>
          </w:p>
        </w:tc>
        <w:tc>
          <w:tcPr>
            <w:tcW w:w="1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173,212,243.54</w:t>
            </w:r>
          </w:p>
        </w:tc>
      </w:tr>
      <w:tr w:rsidR="007F3A90" w:rsidTr="008969F5">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8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2,270,909,631.57</w:t>
            </w:r>
          </w:p>
        </w:tc>
        <w:tc>
          <w:tcPr>
            <w:tcW w:w="184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76,675,337.46</w:t>
            </w:r>
          </w:p>
        </w:tc>
        <w:tc>
          <w:tcPr>
            <w:tcW w:w="184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9,250,434.60</w:t>
            </w:r>
          </w:p>
        </w:tc>
        <w:tc>
          <w:tcPr>
            <w:tcW w:w="1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2,338,334,534.43</w:t>
            </w:r>
          </w:p>
        </w:tc>
      </w:tr>
    </w:tbl>
    <w:p w:rsidR="007F3A90" w:rsidRDefault="00CC38FA">
      <w:pPr>
        <w:pStyle w:val="3"/>
        <w:spacing w:line="280" w:lineRule="exact"/>
        <w:jc w:val="left"/>
        <w:rPr>
          <w:rFonts w:ascii="宋体" w:hAnsi="宋体" w:cs="宋体"/>
          <w:b/>
          <w:bCs/>
        </w:rPr>
      </w:pPr>
      <w:bookmarkStart w:id="249" w:name="_Toc989139"/>
      <w:r>
        <w:rPr>
          <w:rFonts w:ascii="宋体" w:hAnsi="宋体" w:cs="宋体"/>
          <w:b/>
          <w:bCs/>
        </w:rPr>
        <w:lastRenderedPageBreak/>
        <w:t>36、库存股</w:t>
      </w:r>
      <w:bookmarkEnd w:id="249"/>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库存股</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201,131,504.00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5,861,112.00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195,270,392.00</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201,131,504.00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5,861,112.00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195,270,392.00</w:t>
            </w:r>
          </w:p>
        </w:tc>
      </w:tr>
    </w:tbl>
    <w:p w:rsidR="007F3A90" w:rsidRDefault="00CC38FA">
      <w:pPr>
        <w:pStyle w:val="3"/>
        <w:spacing w:line="280" w:lineRule="exact"/>
        <w:jc w:val="left"/>
        <w:rPr>
          <w:rFonts w:ascii="宋体" w:hAnsi="宋体" w:cs="宋体"/>
          <w:b/>
          <w:bCs/>
        </w:rPr>
      </w:pPr>
      <w:bookmarkStart w:id="250" w:name="_Toc989140"/>
      <w:r>
        <w:rPr>
          <w:rFonts w:ascii="宋体" w:hAnsi="宋体" w:cs="宋体"/>
          <w:b/>
          <w:bCs/>
        </w:rPr>
        <w:t>37、其他综合收益</w:t>
      </w:r>
      <w:bookmarkEnd w:id="250"/>
    </w:p>
    <w:p w:rsidR="008969F5" w:rsidRDefault="008969F5">
      <w:pPr>
        <w:spacing w:before="40" w:after="40" w:line="240" w:lineRule="exact"/>
        <w:jc w:val="right"/>
        <w:rPr>
          <w:rFonts w:ascii="宋体" w:eastAsia="宋体" w:hAnsi="宋体" w:cs="宋体"/>
          <w:sz w:val="18"/>
          <w:szCs w:val="18"/>
        </w:rPr>
      </w:pPr>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84"/>
        <w:gridCol w:w="992"/>
        <w:gridCol w:w="1134"/>
        <w:gridCol w:w="1134"/>
        <w:gridCol w:w="1134"/>
        <w:gridCol w:w="851"/>
        <w:gridCol w:w="1134"/>
        <w:gridCol w:w="850"/>
        <w:gridCol w:w="1026"/>
      </w:tblGrid>
      <w:tr w:rsidR="007F3A90" w:rsidTr="002D6811">
        <w:trPr>
          <w:trHeight w:val="240"/>
        </w:trPr>
        <w:tc>
          <w:tcPr>
            <w:tcW w:w="138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6237"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02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7F3A90" w:rsidTr="002D6811">
        <w:trPr>
          <w:trHeight w:val="240"/>
        </w:trPr>
        <w:tc>
          <w:tcPr>
            <w:tcW w:w="138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本期所得税前发生额</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减：前期计入其他综合收益当期转入损益</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减：前期计入其他综合收益当期转入留存收益</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减：所得税费用</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税后归属于母公司</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税后归属于少数股东</w:t>
            </w:r>
          </w:p>
        </w:tc>
        <w:tc>
          <w:tcPr>
            <w:tcW w:w="102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rsidTr="002D6811">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一、不能重分类进损益的其他综合收益</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36,763,041.75</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-19,785,626.37</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17,286,622.18</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-9,268,062.14</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-27,804,186.41</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8,958,855.34</w:t>
            </w:r>
          </w:p>
        </w:tc>
      </w:tr>
      <w:tr w:rsidR="007F3A90" w:rsidTr="002D6811">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其他权益工具投资公允价值变动</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36,763,041.75</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-19,785,626.37</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17,286,622.18</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-9,268,062.14</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-27,804,186.41</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8,958,855.34</w:t>
            </w:r>
          </w:p>
        </w:tc>
      </w:tr>
      <w:tr w:rsidR="007F3A90" w:rsidTr="002D6811">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二、将重分类进损益的其他综合收益</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-4,271,765.15</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1,136,724.83</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1,136,724.83</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-3,135,040.32</w:t>
            </w:r>
          </w:p>
        </w:tc>
      </w:tr>
      <w:tr w:rsidR="007F3A90" w:rsidTr="002D6811">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外币财务报表折算差额</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-4,271,765.15</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1,136,724.83</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1,136,724.83</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-3,135,040.32</w:t>
            </w:r>
          </w:p>
        </w:tc>
      </w:tr>
      <w:tr w:rsidR="007F3A90" w:rsidTr="002D6811">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其他综合收益合计</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32,491,276.60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-18,648,901.54</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17,286,622.18</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-9,268,062.14</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-26,667,461.58</w:t>
            </w:r>
          </w:p>
        </w:tc>
        <w:tc>
          <w:tcPr>
            <w:tcW w:w="85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0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5,823,815.02</w:t>
            </w:r>
          </w:p>
        </w:tc>
      </w:tr>
    </w:tbl>
    <w:p w:rsidR="007F3A90" w:rsidRDefault="00CC38FA">
      <w:pPr>
        <w:pStyle w:val="3"/>
        <w:spacing w:line="280" w:lineRule="exact"/>
        <w:jc w:val="left"/>
        <w:rPr>
          <w:rFonts w:ascii="宋体" w:hAnsi="宋体" w:cs="宋体"/>
          <w:b/>
          <w:bCs/>
        </w:rPr>
      </w:pPr>
      <w:bookmarkStart w:id="251" w:name="_Toc989141"/>
      <w:r>
        <w:rPr>
          <w:rFonts w:ascii="宋体" w:hAnsi="宋体" w:cs="宋体"/>
          <w:b/>
          <w:bCs/>
        </w:rPr>
        <w:t>38、专项储备</w:t>
      </w:r>
      <w:bookmarkEnd w:id="251"/>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安全生产费</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38,455,862.10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12,024,244.54</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4,371,227.57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46,108,879.07</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38,455,862.10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12,024,244.54</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4,371,227.57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46,108,879.07</w:t>
            </w:r>
          </w:p>
        </w:tc>
      </w:tr>
    </w:tbl>
    <w:p w:rsidR="007F3A90" w:rsidRDefault="00CC38FA">
      <w:pPr>
        <w:pStyle w:val="3"/>
        <w:spacing w:line="280" w:lineRule="exact"/>
        <w:jc w:val="left"/>
        <w:rPr>
          <w:rFonts w:ascii="宋体" w:hAnsi="宋体" w:cs="宋体"/>
          <w:b/>
          <w:bCs/>
        </w:rPr>
      </w:pPr>
      <w:bookmarkStart w:id="252" w:name="_Toc989142"/>
      <w:r>
        <w:rPr>
          <w:rFonts w:ascii="宋体" w:hAnsi="宋体" w:cs="宋体"/>
          <w:b/>
          <w:bCs/>
        </w:rPr>
        <w:t>39、盈余公积</w:t>
      </w:r>
      <w:bookmarkEnd w:id="252"/>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法定盈余公积</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313,347,760.29</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313,347,760.29</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任意盈余公积</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24,959,598.78</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24,959,598.78</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338,307,359.07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338,307,359.07</w:t>
            </w:r>
          </w:p>
        </w:tc>
      </w:tr>
    </w:tbl>
    <w:p w:rsidR="007F3A90" w:rsidRDefault="00CC38FA">
      <w:pPr>
        <w:pStyle w:val="3"/>
        <w:spacing w:line="280" w:lineRule="exact"/>
        <w:jc w:val="left"/>
        <w:rPr>
          <w:rFonts w:ascii="宋体" w:hAnsi="宋体" w:cs="宋体"/>
          <w:b/>
          <w:bCs/>
        </w:rPr>
      </w:pPr>
      <w:bookmarkStart w:id="253" w:name="_Toc989143"/>
      <w:r>
        <w:rPr>
          <w:rFonts w:ascii="宋体" w:hAnsi="宋体" w:cs="宋体"/>
          <w:b/>
          <w:bCs/>
        </w:rPr>
        <w:lastRenderedPageBreak/>
        <w:t>40、未分配利润</w:t>
      </w:r>
      <w:bookmarkEnd w:id="253"/>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上期</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调整前上期末未分配利润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1,796,831,244.88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1,494,610,178.30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调整后期初未分配利润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1,796,831,244.88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1,494,610,178.30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加：本期归属于母公司所有者的净利润</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191,979,291.47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333,149,674.13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应付普通股股利</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101,430,987.40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44,523,155.00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加：指定为以公允价值计量且变动计入其他综合收益的非交易性权益工具终止确认处置利得</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17,286,622.18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19,918,932.98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1,904,666,171.13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1,796,831,244.88</w:t>
            </w:r>
          </w:p>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调整期初未分配利润明细：</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1)由于《企业会计准则》及其相关新规定进行追溯调整，影响期初未分配利润0.00元。</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2)由于会计政策变更，影响期初未分配利润0.00元。</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3)由于重大会计差错更正，影响期初未分配利润0.00元。</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4)由于同一控制导致的合并范围变更，影响期初未分配利润0.00元。</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5)其他调整合计影响期初未分配利润0.00元。</w:t>
      </w:r>
    </w:p>
    <w:p w:rsidR="007F3A90" w:rsidRDefault="00CC38FA">
      <w:pPr>
        <w:pStyle w:val="3"/>
        <w:spacing w:line="280" w:lineRule="exact"/>
        <w:jc w:val="left"/>
        <w:rPr>
          <w:rFonts w:ascii="宋体" w:hAnsi="宋体" w:cs="宋体"/>
          <w:b/>
          <w:bCs/>
        </w:rPr>
      </w:pPr>
      <w:bookmarkStart w:id="254" w:name="_Toc989144"/>
      <w:r>
        <w:rPr>
          <w:rFonts w:ascii="宋体" w:hAnsi="宋体" w:cs="宋体"/>
          <w:b/>
          <w:bCs/>
        </w:rPr>
        <w:t>41、营业收入和营业成本</w:t>
      </w:r>
      <w:bookmarkEnd w:id="254"/>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F3A90">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7F3A90">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3,134,629,979.98</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2,442,259,628.22</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2,319,017,251.65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1,764,647,403.26</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90,422,270.97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43,694,629.89</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121,694,513.81</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85,589,068.52</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3,225,052,250.95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2,485,954,258.11</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2,440,711,765.46</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1,850,236,471.78</w:t>
            </w:r>
          </w:p>
        </w:tc>
      </w:tr>
    </w:tbl>
    <w:p w:rsidR="007F3A90" w:rsidRDefault="00CC38FA">
      <w:pPr>
        <w:pStyle w:val="3"/>
        <w:spacing w:line="280" w:lineRule="exact"/>
        <w:jc w:val="left"/>
        <w:rPr>
          <w:rFonts w:ascii="宋体" w:hAnsi="宋体" w:cs="宋体"/>
          <w:b/>
          <w:bCs/>
        </w:rPr>
      </w:pPr>
      <w:bookmarkStart w:id="255" w:name="_Toc989145"/>
      <w:r>
        <w:rPr>
          <w:rFonts w:ascii="宋体" w:hAnsi="宋体" w:cs="宋体"/>
          <w:b/>
          <w:bCs/>
        </w:rPr>
        <w:t>42、税金及附加</w:t>
      </w:r>
      <w:bookmarkEnd w:id="255"/>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2,878,836.49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4,841,042.56</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2,041,409.10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3,426,080.43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4,494,278.87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3,693,764.77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4,128,827.36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3,535,337.89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1,939,911.62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1,899,283.03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其他税费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61,009.03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152,814.11</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15,544,272.47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17,548,322.79</w:t>
            </w:r>
          </w:p>
        </w:tc>
      </w:tr>
    </w:tbl>
    <w:p w:rsidR="00CC38FA" w:rsidRDefault="00CC38FA">
      <w:pPr>
        <w:pStyle w:val="a3"/>
        <w:spacing w:beforeAutospacing="0" w:afterAutospacing="0" w:line="240" w:lineRule="atLeast"/>
        <w:divId w:val="1027950886"/>
        <w:rPr>
          <w:rFonts w:ascii="等线" w:eastAsia="等线" w:hAnsi="等线"/>
          <w:sz w:val="21"/>
          <w:szCs w:val="21"/>
        </w:rPr>
      </w:pPr>
      <w:r>
        <w:rPr>
          <w:rFonts w:hint="eastAsia"/>
          <w:sz w:val="18"/>
          <w:szCs w:val="18"/>
        </w:rPr>
        <w:t>其他说明：注：各项税金及附加的计缴</w:t>
      </w:r>
      <w:r>
        <w:rPr>
          <w:rFonts w:hint="eastAsia"/>
          <w:color w:val="000000"/>
          <w:sz w:val="18"/>
          <w:szCs w:val="18"/>
        </w:rPr>
        <w:t>标准详见附注六、税项。</w:t>
      </w:r>
    </w:p>
    <w:p w:rsidR="007F3A90" w:rsidRDefault="00CC38FA">
      <w:pPr>
        <w:pStyle w:val="3"/>
        <w:spacing w:line="280" w:lineRule="exact"/>
        <w:jc w:val="left"/>
        <w:rPr>
          <w:rFonts w:ascii="宋体" w:hAnsi="宋体" w:cs="宋体"/>
          <w:b/>
          <w:bCs/>
        </w:rPr>
      </w:pPr>
      <w:bookmarkStart w:id="256" w:name="_Toc989146"/>
      <w:r>
        <w:rPr>
          <w:rFonts w:ascii="宋体" w:hAnsi="宋体" w:cs="宋体"/>
          <w:b/>
          <w:bCs/>
        </w:rPr>
        <w:t>43、管理费用</w:t>
      </w:r>
      <w:bookmarkEnd w:id="256"/>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lastRenderedPageBreak/>
              <w:t>工资薪金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166,114,701.48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135,809,002.13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折旧与摊销</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20,729,576.35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19,652,693.05</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中介代理费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5,402,876.78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4,322,370.40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办公及劳动保护费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9,813,616.11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6,071,897.15</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行政费用</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5,562,505.87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4,607,694.88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业务招待费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1,393,014.65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1,719,589.90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水/电/蒸汽费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2,516,165.39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2,828,178.93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网络通讯费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1,000,510.59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1,110,184.90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保险费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3,219,288.67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878,158.54</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25,215,219.86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29,042,763.15</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240,967,475.75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206,042,533.03</w:t>
            </w:r>
          </w:p>
        </w:tc>
      </w:tr>
    </w:tbl>
    <w:p w:rsidR="007F3A90" w:rsidRDefault="00CC38FA">
      <w:pPr>
        <w:pStyle w:val="3"/>
        <w:spacing w:line="280" w:lineRule="exact"/>
        <w:jc w:val="left"/>
        <w:rPr>
          <w:rFonts w:ascii="宋体" w:hAnsi="宋体" w:cs="宋体"/>
          <w:b/>
          <w:bCs/>
        </w:rPr>
      </w:pPr>
      <w:bookmarkStart w:id="257" w:name="_Toc989147"/>
      <w:r>
        <w:rPr>
          <w:rFonts w:ascii="宋体" w:hAnsi="宋体" w:cs="宋体"/>
          <w:b/>
          <w:bCs/>
        </w:rPr>
        <w:t>44、销售费用</w:t>
      </w:r>
      <w:bookmarkEnd w:id="257"/>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工资及附加</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40,839,695.69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30,927,020.27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售后服务费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13,101,505.63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7,947,626.95</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交通/差旅/会议费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5,205,993.30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4,907,157.53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业务招待费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3,362,629.63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2,916,282.89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广告/宣传/中介</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4,314,661.86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2,220,731.04</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办公及劳保费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292,484.21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349,878.56</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14,092,371.36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10,861,220.69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81,209,341.68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60,129,917.93</w:t>
            </w:r>
          </w:p>
        </w:tc>
      </w:tr>
    </w:tbl>
    <w:p w:rsidR="007F3A90" w:rsidRDefault="00CC38FA">
      <w:pPr>
        <w:pStyle w:val="3"/>
        <w:spacing w:line="280" w:lineRule="exact"/>
        <w:jc w:val="left"/>
        <w:rPr>
          <w:rFonts w:ascii="宋体" w:hAnsi="宋体" w:cs="宋体"/>
          <w:b/>
          <w:bCs/>
        </w:rPr>
      </w:pPr>
      <w:bookmarkStart w:id="258" w:name="_Toc989148"/>
      <w:r>
        <w:rPr>
          <w:rFonts w:ascii="宋体" w:hAnsi="宋体" w:cs="宋体"/>
          <w:b/>
          <w:bCs/>
        </w:rPr>
        <w:t>45、研发费用</w:t>
      </w:r>
      <w:bookmarkEnd w:id="258"/>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工资薪金及劳务费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100,098,232.57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84,722,163.59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折旧及摊销</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14,391,096.95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5,437,624.00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交通/差旅/会议费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2,533,896.49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1,930,213.51</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中介代理费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1,663,339.02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1,121,465.39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物料消耗费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58,185,076.05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47,133,470.11</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3,532,789.87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6,206,598.79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180,404,430.95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146,551,535.39</w:t>
            </w:r>
          </w:p>
        </w:tc>
      </w:tr>
    </w:tbl>
    <w:p w:rsidR="007F3A90" w:rsidRDefault="00CC38FA">
      <w:pPr>
        <w:pStyle w:val="3"/>
        <w:spacing w:line="280" w:lineRule="exact"/>
        <w:jc w:val="left"/>
        <w:rPr>
          <w:rFonts w:ascii="宋体" w:hAnsi="宋体" w:cs="宋体"/>
          <w:b/>
          <w:bCs/>
        </w:rPr>
      </w:pPr>
      <w:bookmarkStart w:id="259" w:name="_Toc989149"/>
      <w:r>
        <w:rPr>
          <w:rFonts w:ascii="宋体" w:hAnsi="宋体" w:cs="宋体"/>
          <w:b/>
          <w:bCs/>
        </w:rPr>
        <w:t>46、财务费用</w:t>
      </w:r>
      <w:bookmarkEnd w:id="259"/>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38,792,082.06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42,548,642.22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18,796,191.61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13,886,372.07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汇兑损益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-2,846,730.62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9,311,229.36</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手续费及其他</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3,625,596.84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4,003,254.52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20,774,756.67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41,976,754.03</w:t>
            </w:r>
          </w:p>
        </w:tc>
      </w:tr>
    </w:tbl>
    <w:p w:rsidR="007F3A90" w:rsidRDefault="00CC38FA">
      <w:pPr>
        <w:pStyle w:val="3"/>
        <w:spacing w:line="280" w:lineRule="exact"/>
        <w:jc w:val="left"/>
        <w:rPr>
          <w:rFonts w:ascii="宋体" w:hAnsi="宋体" w:cs="宋体"/>
          <w:b/>
          <w:bCs/>
        </w:rPr>
      </w:pPr>
      <w:bookmarkStart w:id="260" w:name="_Toc989150"/>
      <w:r>
        <w:rPr>
          <w:rFonts w:ascii="宋体" w:hAnsi="宋体" w:cs="宋体"/>
          <w:b/>
          <w:bCs/>
        </w:rPr>
        <w:t>47、其他收益</w:t>
      </w:r>
      <w:bookmarkEnd w:id="260"/>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产生其他收益的来源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lastRenderedPageBreak/>
              <w:t>与企业日常活动相关的政府补助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40,282,604.80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15,203,776.04</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债务重组收益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52,040.29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1,023,395.10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40,334,645.09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16,227,171.14</w:t>
            </w:r>
          </w:p>
        </w:tc>
      </w:tr>
    </w:tbl>
    <w:p w:rsidR="007F3A90" w:rsidRDefault="00CC38FA">
      <w:pPr>
        <w:pStyle w:val="3"/>
        <w:spacing w:line="280" w:lineRule="exact"/>
        <w:jc w:val="left"/>
        <w:rPr>
          <w:rFonts w:ascii="宋体" w:hAnsi="宋体" w:cs="宋体"/>
          <w:b/>
          <w:bCs/>
        </w:rPr>
      </w:pPr>
      <w:bookmarkStart w:id="261" w:name="_Toc989151"/>
      <w:r>
        <w:rPr>
          <w:rFonts w:ascii="宋体" w:hAnsi="宋体" w:cs="宋体"/>
          <w:b/>
          <w:bCs/>
        </w:rPr>
        <w:t>48、投资收益</w:t>
      </w:r>
      <w:bookmarkEnd w:id="261"/>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权益法核算的长期股权投资收益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1,762,186.39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1,163,190.42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处置长期股权投资产生的投资收益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21,487,442.27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其他权益工具投资在持有期间取得的股利收入</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14,400,000.00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债务重组收益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-236,631.42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-562,141.43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理财收益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9,608,510.35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7,630,995.36</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11,134,065.32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44,119,486.62</w:t>
            </w:r>
          </w:p>
        </w:tc>
      </w:tr>
    </w:tbl>
    <w:p w:rsidR="007F3A90" w:rsidRDefault="00CC38FA">
      <w:pPr>
        <w:pStyle w:val="3"/>
        <w:spacing w:line="280" w:lineRule="exact"/>
        <w:jc w:val="left"/>
        <w:rPr>
          <w:rFonts w:ascii="宋体" w:hAnsi="宋体" w:cs="宋体"/>
          <w:b/>
          <w:bCs/>
        </w:rPr>
      </w:pPr>
      <w:bookmarkStart w:id="262" w:name="_Toc989152"/>
      <w:r>
        <w:rPr>
          <w:rFonts w:ascii="宋体" w:hAnsi="宋体" w:cs="宋体"/>
          <w:b/>
          <w:bCs/>
        </w:rPr>
        <w:t>49、信用减值损失</w:t>
      </w:r>
      <w:bookmarkEnd w:id="262"/>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应收票据坏账损失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-327,946.18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-1,463,012.15</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应收账款坏账损失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17,608,997.00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-32,286,014.09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其他应收款坏账损失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5,604,862.78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-4,550,200.57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22,885,913.60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-38,299,226.81</w:t>
            </w:r>
          </w:p>
        </w:tc>
      </w:tr>
    </w:tbl>
    <w:p w:rsidR="007F3A90" w:rsidRDefault="00CC38FA">
      <w:pPr>
        <w:pStyle w:val="3"/>
        <w:spacing w:line="280" w:lineRule="exact"/>
        <w:jc w:val="left"/>
        <w:rPr>
          <w:rFonts w:ascii="宋体" w:hAnsi="宋体" w:cs="宋体"/>
          <w:b/>
          <w:bCs/>
        </w:rPr>
      </w:pPr>
      <w:bookmarkStart w:id="263" w:name="_Toc989153"/>
      <w:r>
        <w:rPr>
          <w:rFonts w:ascii="宋体" w:hAnsi="宋体" w:cs="宋体"/>
          <w:b/>
          <w:bCs/>
        </w:rPr>
        <w:t>50、资产减值损失</w:t>
      </w:r>
      <w:bookmarkEnd w:id="263"/>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652"/>
        <w:gridCol w:w="3119"/>
        <w:gridCol w:w="2868"/>
      </w:tblGrid>
      <w:tr w:rsidR="007F3A90" w:rsidTr="002D6811">
        <w:trPr>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86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7F3A90" w:rsidTr="002D6811">
        <w:trPr>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一、存货跌价损失及合同履约成本减值损失</w:t>
            </w:r>
          </w:p>
        </w:tc>
        <w:tc>
          <w:tcPr>
            <w:tcW w:w="311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-34,181,672.68</w:t>
            </w:r>
          </w:p>
        </w:tc>
        <w:tc>
          <w:tcPr>
            <w:tcW w:w="286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11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-34,181,672.68</w:t>
            </w:r>
          </w:p>
        </w:tc>
        <w:tc>
          <w:tcPr>
            <w:tcW w:w="28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7F3A90" w:rsidRDefault="00CC38FA">
      <w:pPr>
        <w:pStyle w:val="3"/>
        <w:spacing w:line="280" w:lineRule="exact"/>
        <w:jc w:val="left"/>
        <w:rPr>
          <w:rFonts w:ascii="宋体" w:hAnsi="宋体" w:cs="宋体"/>
          <w:b/>
          <w:bCs/>
        </w:rPr>
      </w:pPr>
      <w:bookmarkStart w:id="264" w:name="_Toc989154"/>
      <w:r>
        <w:rPr>
          <w:rFonts w:ascii="宋体" w:hAnsi="宋体" w:cs="宋体"/>
          <w:b/>
          <w:bCs/>
        </w:rPr>
        <w:t>51、资产处置收益</w:t>
      </w:r>
      <w:bookmarkEnd w:id="264"/>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652"/>
        <w:gridCol w:w="3119"/>
        <w:gridCol w:w="2868"/>
      </w:tblGrid>
      <w:tr w:rsidR="007F3A90" w:rsidTr="002D6811">
        <w:trPr>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资产处置收益的来源</w:t>
            </w:r>
          </w:p>
        </w:tc>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86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7F3A90" w:rsidTr="002D6811">
        <w:trPr>
          <w:trHeight w:val="240"/>
        </w:trPr>
        <w:tc>
          <w:tcPr>
            <w:tcW w:w="36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非流动资产处置收益合计</w:t>
            </w:r>
          </w:p>
        </w:tc>
        <w:tc>
          <w:tcPr>
            <w:tcW w:w="311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-1,533,998.40</w:t>
            </w:r>
          </w:p>
        </w:tc>
        <w:tc>
          <w:tcPr>
            <w:tcW w:w="28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-849,429.37</w:t>
            </w:r>
          </w:p>
        </w:tc>
      </w:tr>
      <w:tr w:rsidR="007F3A90" w:rsidTr="002D6811">
        <w:trPr>
          <w:trHeight w:val="240"/>
        </w:trPr>
        <w:tc>
          <w:tcPr>
            <w:tcW w:w="36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其中：固定资产处置收益</w:t>
            </w:r>
          </w:p>
        </w:tc>
        <w:tc>
          <w:tcPr>
            <w:tcW w:w="311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-1,533,998.40</w:t>
            </w:r>
          </w:p>
        </w:tc>
        <w:tc>
          <w:tcPr>
            <w:tcW w:w="28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-849,429.37</w:t>
            </w:r>
          </w:p>
        </w:tc>
      </w:tr>
    </w:tbl>
    <w:p w:rsidR="007F3A90" w:rsidRDefault="00CC38FA">
      <w:pPr>
        <w:pStyle w:val="3"/>
        <w:spacing w:line="280" w:lineRule="exact"/>
        <w:jc w:val="left"/>
        <w:rPr>
          <w:rFonts w:ascii="宋体" w:hAnsi="宋体" w:cs="宋体"/>
          <w:b/>
          <w:bCs/>
        </w:rPr>
      </w:pPr>
      <w:bookmarkStart w:id="265" w:name="_Toc989155"/>
      <w:r>
        <w:rPr>
          <w:rFonts w:ascii="宋体" w:hAnsi="宋体" w:cs="宋体"/>
          <w:b/>
          <w:bCs/>
        </w:rPr>
        <w:t>52、营业外收入</w:t>
      </w:r>
      <w:bookmarkEnd w:id="265"/>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235"/>
        <w:gridCol w:w="2410"/>
        <w:gridCol w:w="2585"/>
      </w:tblGrid>
      <w:tr w:rsidR="007F3A90" w:rsidTr="002D681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258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7F3A90" w:rsidTr="002D681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政府补助</w:t>
            </w:r>
          </w:p>
        </w:tc>
        <w:tc>
          <w:tcPr>
            <w:tcW w:w="22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4,333.83</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355,361.71</w:t>
            </w:r>
          </w:p>
        </w:tc>
        <w:tc>
          <w:tcPr>
            <w:tcW w:w="25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4,333.83</w:t>
            </w:r>
          </w:p>
        </w:tc>
      </w:tr>
      <w:tr w:rsidR="007F3A90" w:rsidTr="002D6811">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w:t>
            </w:r>
          </w:p>
        </w:tc>
        <w:tc>
          <w:tcPr>
            <w:tcW w:w="22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8,137,477.36</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1,069,347.69</w:t>
            </w:r>
          </w:p>
        </w:tc>
        <w:tc>
          <w:tcPr>
            <w:tcW w:w="25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8,137,477.36</w:t>
            </w:r>
          </w:p>
        </w:tc>
      </w:tr>
      <w:tr w:rsidR="007F3A90" w:rsidTr="002D681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2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8,141,811.19</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1,424,709.40</w:t>
            </w:r>
          </w:p>
        </w:tc>
        <w:tc>
          <w:tcPr>
            <w:tcW w:w="25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8,141,811.19</w:t>
            </w:r>
          </w:p>
        </w:tc>
      </w:tr>
    </w:tbl>
    <w:p w:rsidR="007F3A90" w:rsidRDefault="00CC38FA">
      <w:pPr>
        <w:pStyle w:val="3"/>
        <w:spacing w:line="280" w:lineRule="exact"/>
        <w:jc w:val="left"/>
        <w:rPr>
          <w:rFonts w:ascii="宋体" w:hAnsi="宋体" w:cs="宋体"/>
          <w:b/>
          <w:bCs/>
        </w:rPr>
      </w:pPr>
      <w:bookmarkStart w:id="266" w:name="_Toc989156"/>
      <w:r>
        <w:rPr>
          <w:rFonts w:ascii="宋体" w:hAnsi="宋体" w:cs="宋体"/>
          <w:b/>
          <w:bCs/>
        </w:rPr>
        <w:lastRenderedPageBreak/>
        <w:t>53、营业外支出</w:t>
      </w:r>
      <w:bookmarkEnd w:id="266"/>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235"/>
        <w:gridCol w:w="2410"/>
        <w:gridCol w:w="2585"/>
      </w:tblGrid>
      <w:tr w:rsidR="007F3A90" w:rsidTr="002D681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258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7F3A90" w:rsidTr="002D681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对外捐赠</w:t>
            </w:r>
          </w:p>
        </w:tc>
        <w:tc>
          <w:tcPr>
            <w:tcW w:w="22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37,222.75</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3,468.38</w:t>
            </w:r>
          </w:p>
        </w:tc>
        <w:tc>
          <w:tcPr>
            <w:tcW w:w="25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37,222.75</w:t>
            </w:r>
          </w:p>
        </w:tc>
      </w:tr>
      <w:tr w:rsidR="007F3A90" w:rsidTr="002D6811">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非流动资产毁损报废损失</w:t>
            </w:r>
          </w:p>
        </w:tc>
        <w:tc>
          <w:tcPr>
            <w:tcW w:w="22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1,845,725.18</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6,383,957.89</w:t>
            </w:r>
          </w:p>
        </w:tc>
        <w:tc>
          <w:tcPr>
            <w:tcW w:w="25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1,845,725.18</w:t>
            </w:r>
          </w:p>
        </w:tc>
      </w:tr>
      <w:tr w:rsidR="007F3A90" w:rsidTr="002D6811">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其中：固定资产报废损失</w:t>
            </w:r>
          </w:p>
        </w:tc>
        <w:tc>
          <w:tcPr>
            <w:tcW w:w="22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1,845,725.18</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6,383,957.89</w:t>
            </w:r>
          </w:p>
        </w:tc>
        <w:tc>
          <w:tcPr>
            <w:tcW w:w="25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1,845,725.18</w:t>
            </w:r>
          </w:p>
        </w:tc>
      </w:tr>
      <w:tr w:rsidR="007F3A90" w:rsidTr="002D6811">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w:t>
            </w:r>
          </w:p>
        </w:tc>
        <w:tc>
          <w:tcPr>
            <w:tcW w:w="22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5,453,218.10</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210,349.71</w:t>
            </w:r>
          </w:p>
        </w:tc>
        <w:tc>
          <w:tcPr>
            <w:tcW w:w="25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5,453,218.10</w:t>
            </w:r>
          </w:p>
        </w:tc>
      </w:tr>
      <w:tr w:rsidR="007F3A90" w:rsidTr="002D681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2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7,336,166.03</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6,597,775.98</w:t>
            </w:r>
          </w:p>
        </w:tc>
        <w:tc>
          <w:tcPr>
            <w:tcW w:w="25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7,336,166.03</w:t>
            </w:r>
          </w:p>
        </w:tc>
      </w:tr>
    </w:tbl>
    <w:p w:rsidR="007F3A90" w:rsidRDefault="00CC38FA">
      <w:pPr>
        <w:pStyle w:val="3"/>
        <w:spacing w:line="280" w:lineRule="exact"/>
        <w:jc w:val="left"/>
        <w:rPr>
          <w:rFonts w:ascii="宋体" w:hAnsi="宋体" w:cs="宋体"/>
          <w:b/>
          <w:bCs/>
        </w:rPr>
      </w:pPr>
      <w:bookmarkStart w:id="267" w:name="_Toc989157"/>
      <w:r>
        <w:rPr>
          <w:rFonts w:ascii="宋体" w:hAnsi="宋体" w:cs="宋体"/>
          <w:b/>
          <w:bCs/>
        </w:rPr>
        <w:t>54、所得税费用</w:t>
      </w:r>
      <w:bookmarkEnd w:id="267"/>
    </w:p>
    <w:p w:rsidR="007F3A90" w:rsidRDefault="00CC38FA">
      <w:pPr>
        <w:keepNext/>
        <w:keepLines/>
        <w:spacing w:before="300" w:after="300" w:line="280" w:lineRule="exact"/>
        <w:outlineLvl w:val="3"/>
        <w:rPr>
          <w:rFonts w:ascii="宋体" w:eastAsia="宋体" w:hAnsi="宋体" w:cs="宋体"/>
          <w:b/>
          <w:bCs/>
          <w:szCs w:val="21"/>
        </w:rPr>
      </w:pPr>
      <w:bookmarkStart w:id="268" w:name="_Toc989158"/>
      <w:r>
        <w:rPr>
          <w:rFonts w:ascii="宋体" w:eastAsia="宋体" w:hAnsi="宋体" w:cs="宋体"/>
          <w:b/>
          <w:bCs/>
          <w:szCs w:val="21"/>
        </w:rPr>
        <w:t>（1） 所得税费用表</w:t>
      </w:r>
      <w:bookmarkEnd w:id="268"/>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当期所得税费用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20,598,780.52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22,748,617.72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递延所得税费用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-7,193,584.86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-12,000,129.63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13,405,195.66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10,748,488.09</w:t>
            </w:r>
          </w:p>
        </w:tc>
      </w:tr>
    </w:tbl>
    <w:p w:rsidR="007F3A90" w:rsidRDefault="00CC38FA">
      <w:pPr>
        <w:keepNext/>
        <w:keepLines/>
        <w:spacing w:before="300" w:after="300" w:line="280" w:lineRule="exact"/>
        <w:outlineLvl w:val="3"/>
        <w:rPr>
          <w:rFonts w:ascii="宋体" w:eastAsia="宋体" w:hAnsi="宋体" w:cs="宋体"/>
          <w:b/>
          <w:bCs/>
          <w:szCs w:val="21"/>
        </w:rPr>
      </w:pPr>
      <w:bookmarkStart w:id="269" w:name="_Toc989159"/>
      <w:r>
        <w:rPr>
          <w:rFonts w:ascii="宋体" w:eastAsia="宋体" w:hAnsi="宋体" w:cs="宋体"/>
          <w:b/>
          <w:bCs/>
          <w:szCs w:val="21"/>
        </w:rPr>
        <w:t>（2） 会计利润与所得税费用调整过程</w:t>
      </w:r>
      <w:bookmarkEnd w:id="269"/>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5778"/>
        <w:gridCol w:w="3861"/>
      </w:tblGrid>
      <w:tr w:rsidR="007F3A90" w:rsidTr="002D6811">
        <w:trPr>
          <w:trHeight w:val="240"/>
        </w:trPr>
        <w:tc>
          <w:tcPr>
            <w:tcW w:w="577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6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r>
      <w:tr w:rsidR="007F3A90" w:rsidTr="002D6811">
        <w:trPr>
          <w:trHeight w:val="240"/>
        </w:trPr>
        <w:tc>
          <w:tcPr>
            <w:tcW w:w="577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利润总额</w:t>
            </w:r>
          </w:p>
        </w:tc>
        <w:tc>
          <w:tcPr>
            <w:tcW w:w="386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239,642,313.41</w:t>
            </w:r>
          </w:p>
        </w:tc>
      </w:tr>
      <w:tr w:rsidR="007F3A90" w:rsidTr="002D6811">
        <w:trPr>
          <w:trHeight w:val="240"/>
        </w:trPr>
        <w:tc>
          <w:tcPr>
            <w:tcW w:w="577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按法定/适用税率计算的所得税费用</w:t>
            </w:r>
          </w:p>
        </w:tc>
        <w:tc>
          <w:tcPr>
            <w:tcW w:w="386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35,946,347.01</w:t>
            </w:r>
          </w:p>
        </w:tc>
      </w:tr>
      <w:tr w:rsidR="007F3A90" w:rsidTr="002D6811">
        <w:trPr>
          <w:trHeight w:val="240"/>
        </w:trPr>
        <w:tc>
          <w:tcPr>
            <w:tcW w:w="577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子公司适用不同税率的影响</w:t>
            </w:r>
          </w:p>
        </w:tc>
        <w:tc>
          <w:tcPr>
            <w:tcW w:w="386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-2,614,592.70</w:t>
            </w:r>
          </w:p>
        </w:tc>
      </w:tr>
      <w:tr w:rsidR="007F3A90" w:rsidTr="002D6811">
        <w:trPr>
          <w:trHeight w:val="240"/>
        </w:trPr>
        <w:tc>
          <w:tcPr>
            <w:tcW w:w="577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不可抵扣的成本、费用和损失的影响</w:t>
            </w:r>
          </w:p>
        </w:tc>
        <w:tc>
          <w:tcPr>
            <w:tcW w:w="386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2,446,071.83</w:t>
            </w:r>
          </w:p>
        </w:tc>
      </w:tr>
      <w:tr w:rsidR="007F3A90" w:rsidTr="002D6811">
        <w:trPr>
          <w:trHeight w:val="240"/>
        </w:trPr>
        <w:tc>
          <w:tcPr>
            <w:tcW w:w="577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使用前期未确认递延所得税资产的可抵扣亏损的影响</w:t>
            </w:r>
          </w:p>
        </w:tc>
        <w:tc>
          <w:tcPr>
            <w:tcW w:w="386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-20,166,499.13</w:t>
            </w:r>
          </w:p>
        </w:tc>
      </w:tr>
      <w:tr w:rsidR="007F3A90" w:rsidTr="002D6811">
        <w:trPr>
          <w:trHeight w:val="240"/>
        </w:trPr>
        <w:tc>
          <w:tcPr>
            <w:tcW w:w="577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本期未确认递延所得税资产的可抵扣暂时性差异或可抵扣亏损的影响</w:t>
            </w:r>
          </w:p>
        </w:tc>
        <w:tc>
          <w:tcPr>
            <w:tcW w:w="386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4,330,139.13</w:t>
            </w:r>
          </w:p>
        </w:tc>
      </w:tr>
      <w:tr w:rsidR="007F3A90" w:rsidTr="002D6811">
        <w:trPr>
          <w:trHeight w:val="240"/>
        </w:trPr>
        <w:tc>
          <w:tcPr>
            <w:tcW w:w="577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权益法核算的合营企业和联营企业损益</w:t>
            </w:r>
          </w:p>
        </w:tc>
        <w:tc>
          <w:tcPr>
            <w:tcW w:w="386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267,556.96</w:t>
            </w:r>
          </w:p>
        </w:tc>
      </w:tr>
      <w:tr w:rsidR="007F3A90" w:rsidTr="002D6811">
        <w:trPr>
          <w:trHeight w:val="240"/>
        </w:trPr>
        <w:tc>
          <w:tcPr>
            <w:tcW w:w="577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研究开发费加成扣除的纳税影响（以“-”填列）</w:t>
            </w:r>
          </w:p>
        </w:tc>
        <w:tc>
          <w:tcPr>
            <w:tcW w:w="386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-6,803,827.44</w:t>
            </w:r>
          </w:p>
        </w:tc>
      </w:tr>
      <w:tr w:rsidR="007F3A90" w:rsidTr="002D6811">
        <w:trPr>
          <w:trHeight w:val="240"/>
        </w:trPr>
        <w:tc>
          <w:tcPr>
            <w:tcW w:w="577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所得税费用</w:t>
            </w:r>
          </w:p>
        </w:tc>
        <w:tc>
          <w:tcPr>
            <w:tcW w:w="386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13,405,195.66</w:t>
            </w:r>
          </w:p>
        </w:tc>
      </w:tr>
    </w:tbl>
    <w:p w:rsidR="007F3A90" w:rsidRDefault="00CC38FA">
      <w:pPr>
        <w:pStyle w:val="3"/>
        <w:spacing w:line="280" w:lineRule="exact"/>
        <w:jc w:val="left"/>
        <w:rPr>
          <w:rFonts w:ascii="宋体" w:hAnsi="宋体" w:cs="宋体"/>
          <w:b/>
          <w:bCs/>
        </w:rPr>
      </w:pPr>
      <w:bookmarkStart w:id="270" w:name="_Toc989160"/>
      <w:r>
        <w:rPr>
          <w:rFonts w:ascii="宋体" w:hAnsi="宋体" w:cs="宋体"/>
          <w:b/>
          <w:bCs/>
        </w:rPr>
        <w:t>55、其他综合收益</w:t>
      </w:r>
      <w:bookmarkEnd w:id="270"/>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详见附注七37</w:t>
      </w:r>
    </w:p>
    <w:p w:rsidR="007F3A90" w:rsidRDefault="00CC38FA">
      <w:pPr>
        <w:pStyle w:val="3"/>
        <w:spacing w:line="280" w:lineRule="exact"/>
        <w:jc w:val="left"/>
        <w:rPr>
          <w:rFonts w:ascii="宋体" w:hAnsi="宋体" w:cs="宋体"/>
          <w:b/>
          <w:bCs/>
        </w:rPr>
      </w:pPr>
      <w:bookmarkStart w:id="271" w:name="_Toc989161"/>
      <w:r>
        <w:rPr>
          <w:rFonts w:ascii="宋体" w:hAnsi="宋体" w:cs="宋体"/>
          <w:b/>
          <w:bCs/>
        </w:rPr>
        <w:t>56、现金流量表项目</w:t>
      </w:r>
      <w:bookmarkEnd w:id="271"/>
    </w:p>
    <w:p w:rsidR="007F3A90" w:rsidRDefault="00CC38FA">
      <w:pPr>
        <w:keepNext/>
        <w:keepLines/>
        <w:spacing w:before="300" w:after="300" w:line="280" w:lineRule="exact"/>
        <w:outlineLvl w:val="3"/>
        <w:rPr>
          <w:rFonts w:ascii="宋体" w:eastAsia="宋体" w:hAnsi="宋体" w:cs="宋体"/>
          <w:b/>
          <w:bCs/>
          <w:szCs w:val="21"/>
        </w:rPr>
      </w:pPr>
      <w:bookmarkStart w:id="272" w:name="_Toc989162"/>
      <w:r>
        <w:rPr>
          <w:rFonts w:ascii="宋体" w:eastAsia="宋体" w:hAnsi="宋体" w:cs="宋体"/>
          <w:b/>
          <w:bCs/>
          <w:szCs w:val="21"/>
        </w:rPr>
        <w:t>（1） 与经营活动有关的现金</w:t>
      </w:r>
      <w:bookmarkEnd w:id="272"/>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收到的其他与经营活动有关的现金</w:t>
      </w:r>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7,720,253.25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10,471,889.90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员工还款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2,051,988.45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2,996,474.92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lastRenderedPageBreak/>
              <w:t>保证金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612,570,002.54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654,831,282.44</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存款利息</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17,012,307.27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13,110,118.22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16,072,867.80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2,247,972.57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655,427,419.31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683,657,738.05</w:t>
            </w:r>
          </w:p>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支付的其他与经营活动有关的现金</w:t>
      </w:r>
    </w:p>
    <w:p w:rsidR="002D6811" w:rsidRDefault="002D6811">
      <w:pPr>
        <w:spacing w:before="40" w:after="40" w:line="240" w:lineRule="exact"/>
        <w:jc w:val="right"/>
        <w:rPr>
          <w:rFonts w:ascii="宋体" w:eastAsia="宋体" w:hAnsi="宋体" w:cs="宋体"/>
          <w:sz w:val="18"/>
          <w:szCs w:val="18"/>
        </w:rPr>
      </w:pPr>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保证金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1,048,203,349.14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354,248,820.19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销售、管理、研发等费用支出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148,100,928.44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125,084,569.42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26,007,485.96</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10,526,639.98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1,222,311,763.54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489,860,029.59</w:t>
            </w:r>
          </w:p>
        </w:tc>
      </w:tr>
    </w:tbl>
    <w:p w:rsidR="007F3A90" w:rsidRDefault="00CC38FA">
      <w:pPr>
        <w:keepNext/>
        <w:keepLines/>
        <w:spacing w:before="300" w:after="300" w:line="280" w:lineRule="exact"/>
        <w:outlineLvl w:val="3"/>
        <w:rPr>
          <w:rFonts w:ascii="宋体" w:eastAsia="宋体" w:hAnsi="宋体" w:cs="宋体"/>
          <w:b/>
          <w:bCs/>
          <w:szCs w:val="21"/>
        </w:rPr>
      </w:pPr>
      <w:bookmarkStart w:id="273" w:name="_Toc989163"/>
      <w:r>
        <w:rPr>
          <w:rFonts w:ascii="宋体" w:eastAsia="宋体" w:hAnsi="宋体" w:cs="宋体"/>
          <w:b/>
          <w:bCs/>
          <w:szCs w:val="21"/>
        </w:rPr>
        <w:t>（2） 与投资活动有关的现金</w:t>
      </w:r>
      <w:bookmarkEnd w:id="273"/>
    </w:p>
    <w:p w:rsidR="006F2C65" w:rsidRDefault="006F2C65">
      <w:pPr>
        <w:keepNext/>
        <w:keepLines/>
        <w:spacing w:before="300" w:after="300" w:line="280" w:lineRule="exact"/>
        <w:outlineLvl w:val="3"/>
        <w:rPr>
          <w:rFonts w:ascii="宋体" w:eastAsia="宋体" w:hAnsi="宋体" w:cs="宋体"/>
          <w:sz w:val="18"/>
          <w:szCs w:val="18"/>
        </w:rPr>
      </w:pPr>
      <w:bookmarkStart w:id="274" w:name="_Toc989164"/>
      <w:r>
        <w:rPr>
          <w:rFonts w:ascii="宋体" w:eastAsia="宋体" w:hAnsi="宋体" w:cs="宋体" w:hint="eastAsia"/>
          <w:sz w:val="18"/>
          <w:szCs w:val="18"/>
        </w:rPr>
        <w:t>无</w:t>
      </w:r>
    </w:p>
    <w:p w:rsidR="007F3A90" w:rsidRDefault="006F2C65">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（3） 与筹资活动有关的现金</w:t>
      </w:r>
      <w:bookmarkEnd w:id="274"/>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收到的其他与筹资活动有关的现金</w:t>
      </w:r>
    </w:p>
    <w:p w:rsidR="000457AA" w:rsidRDefault="000457AA">
      <w:pPr>
        <w:spacing w:before="100" w:after="100" w:line="240" w:lineRule="exact"/>
        <w:rPr>
          <w:rFonts w:ascii="宋体" w:eastAsia="宋体" w:hAnsi="宋体" w:cs="宋体"/>
          <w:sz w:val="18"/>
          <w:szCs w:val="18"/>
        </w:rPr>
      </w:pPr>
      <w:r>
        <w:rPr>
          <w:rFonts w:ascii="宋体" w:eastAsia="宋体" w:hAnsi="宋体" w:cs="宋体"/>
          <w:sz w:val="18"/>
          <w:szCs w:val="18"/>
        </w:rPr>
        <w:t>无</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支付的其他与筹资活动有关的现金</w:t>
      </w:r>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偿还租赁负债所支付的现金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11,556,922.00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11,556,922.00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筹资活动产生的各项负债变动情况</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pStyle w:val="3"/>
        <w:spacing w:line="280" w:lineRule="exact"/>
        <w:jc w:val="left"/>
        <w:rPr>
          <w:rFonts w:ascii="宋体" w:hAnsi="宋体" w:cs="宋体"/>
          <w:b/>
          <w:bCs/>
        </w:rPr>
      </w:pPr>
      <w:bookmarkStart w:id="275" w:name="_Toc989165"/>
      <w:r>
        <w:rPr>
          <w:rFonts w:ascii="宋体" w:hAnsi="宋体" w:cs="宋体"/>
          <w:b/>
          <w:bCs/>
        </w:rPr>
        <w:t>57、现金流量表补充资料</w:t>
      </w:r>
      <w:bookmarkEnd w:id="275"/>
    </w:p>
    <w:p w:rsidR="007F3A90" w:rsidRDefault="00CC38FA">
      <w:pPr>
        <w:keepNext/>
        <w:keepLines/>
        <w:spacing w:before="300" w:after="300" w:line="280" w:lineRule="exact"/>
        <w:outlineLvl w:val="3"/>
        <w:rPr>
          <w:rFonts w:ascii="宋体" w:eastAsia="宋体" w:hAnsi="宋体" w:cs="宋体"/>
          <w:b/>
          <w:bCs/>
          <w:szCs w:val="21"/>
        </w:rPr>
      </w:pPr>
      <w:bookmarkStart w:id="276" w:name="_Toc989166"/>
      <w:r>
        <w:rPr>
          <w:rFonts w:ascii="宋体" w:eastAsia="宋体" w:hAnsi="宋体" w:cs="宋体"/>
          <w:b/>
          <w:bCs/>
          <w:szCs w:val="21"/>
        </w:rPr>
        <w:t>（1） 现金流量表补充资料</w:t>
      </w:r>
      <w:bookmarkEnd w:id="276"/>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369"/>
        <w:gridCol w:w="3118"/>
        <w:gridCol w:w="3152"/>
      </w:tblGrid>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补充资料</w:t>
            </w:r>
          </w:p>
        </w:tc>
        <w:tc>
          <w:tcPr>
            <w:tcW w:w="311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本期金额</w:t>
            </w:r>
          </w:p>
        </w:tc>
        <w:tc>
          <w:tcPr>
            <w:tcW w:w="315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上期金额</w:t>
            </w:r>
          </w:p>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1．将净利润调节为经营活动现金流量：</w:t>
            </w:r>
          </w:p>
        </w:tc>
        <w:tc>
          <w:tcPr>
            <w:tcW w:w="311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315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净利润</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226,237,117.75</w:t>
            </w:r>
          </w:p>
        </w:tc>
        <w:tc>
          <w:tcPr>
            <w:tcW w:w="31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123,502,677.42</w:t>
            </w:r>
          </w:p>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加：资产减值准备</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11,295,759.08</w:t>
            </w:r>
          </w:p>
        </w:tc>
        <w:tc>
          <w:tcPr>
            <w:tcW w:w="31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38,299,226.81</w:t>
            </w:r>
          </w:p>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固定资产折旧、油气资产折耗、生产性生物资产折旧</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134,609,550.41</w:t>
            </w:r>
          </w:p>
        </w:tc>
        <w:tc>
          <w:tcPr>
            <w:tcW w:w="31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106,375,534.31</w:t>
            </w:r>
          </w:p>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使用权资产折旧</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6,759,713.92</w:t>
            </w:r>
          </w:p>
        </w:tc>
        <w:tc>
          <w:tcPr>
            <w:tcW w:w="31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5,410,500.84</w:t>
            </w:r>
          </w:p>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无形资产摊销</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15,726,117.74</w:t>
            </w:r>
          </w:p>
        </w:tc>
        <w:tc>
          <w:tcPr>
            <w:tcW w:w="31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9,013,454.95</w:t>
            </w:r>
          </w:p>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长期待摊费用摊销</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377,511.30</w:t>
            </w:r>
          </w:p>
        </w:tc>
        <w:tc>
          <w:tcPr>
            <w:tcW w:w="31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305,061.78</w:t>
            </w:r>
          </w:p>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处置固定资产、无形资产和其他长期资产的损失（收益以“－”号填列）</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1,533,998.40</w:t>
            </w:r>
          </w:p>
        </w:tc>
        <w:tc>
          <w:tcPr>
            <w:tcW w:w="31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849,429.37</w:t>
            </w:r>
          </w:p>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lastRenderedPageBreak/>
              <w:t>固定资产报废损失（收益以“－”号填列）</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1,845,725.18</w:t>
            </w:r>
          </w:p>
        </w:tc>
        <w:tc>
          <w:tcPr>
            <w:tcW w:w="31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6,383,957.89</w:t>
            </w:r>
          </w:p>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公允价值变动损失（收益以“－”号填列）</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15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财务费用（收益以“－”号填列）</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35,945,351.44</w:t>
            </w:r>
          </w:p>
        </w:tc>
        <w:tc>
          <w:tcPr>
            <w:tcW w:w="31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51,859,871.58</w:t>
            </w:r>
          </w:p>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投资损失（收益以“－”号填列）</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-11,134,065.32</w:t>
            </w:r>
          </w:p>
        </w:tc>
        <w:tc>
          <w:tcPr>
            <w:tcW w:w="31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-44,119,486.62</w:t>
            </w:r>
          </w:p>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递延所得税资产减少（增加以“－”号填列）</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-6,887,584.14</w:t>
            </w:r>
          </w:p>
        </w:tc>
        <w:tc>
          <w:tcPr>
            <w:tcW w:w="31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-11,615,271.37</w:t>
            </w:r>
          </w:p>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递延所得税负债增加（减少以“－”号填列）</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-277,541.35</w:t>
            </w:r>
          </w:p>
        </w:tc>
        <w:tc>
          <w:tcPr>
            <w:tcW w:w="31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-804,434.37</w:t>
            </w:r>
          </w:p>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存货的减少（增加以“－”号填列）</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-339,946,773.90</w:t>
            </w:r>
          </w:p>
        </w:tc>
        <w:tc>
          <w:tcPr>
            <w:tcW w:w="31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-414,110,732.86</w:t>
            </w:r>
          </w:p>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经营性应收项目的减少（增加以“－”号填列）</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-84,424,715.13</w:t>
            </w:r>
          </w:p>
        </w:tc>
        <w:tc>
          <w:tcPr>
            <w:tcW w:w="31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-88,573,026.03</w:t>
            </w:r>
          </w:p>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经营性应付项目的增加（减少以“－”号填列）</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210,011,773.01</w:t>
            </w:r>
          </w:p>
        </w:tc>
        <w:tc>
          <w:tcPr>
            <w:tcW w:w="31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377,465,918.52</w:t>
            </w:r>
          </w:p>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其他</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55,741,278.18</w:t>
            </w:r>
          </w:p>
        </w:tc>
        <w:tc>
          <w:tcPr>
            <w:tcW w:w="31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53,113,909.98</w:t>
            </w:r>
          </w:p>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经营活动产生的现金流量净额</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257,413,216.57</w:t>
            </w:r>
          </w:p>
        </w:tc>
        <w:tc>
          <w:tcPr>
            <w:tcW w:w="31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213,356,592.20</w:t>
            </w:r>
          </w:p>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2．不涉及现金收支的重大投资和筹资活动：</w:t>
            </w:r>
          </w:p>
        </w:tc>
        <w:tc>
          <w:tcPr>
            <w:tcW w:w="311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315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债务转为资本</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15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一年内到期的可转换公司债券</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15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融资租入固定资产</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15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3．现金及现金等价物净变动情况：</w:t>
            </w:r>
          </w:p>
        </w:tc>
        <w:tc>
          <w:tcPr>
            <w:tcW w:w="311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315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现金的期末余额</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1,077,259,041.65</w:t>
            </w:r>
          </w:p>
        </w:tc>
        <w:tc>
          <w:tcPr>
            <w:tcW w:w="31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1,095,406,162.36</w:t>
            </w:r>
          </w:p>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减：现金的期初余额</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1,654,296,535.56</w:t>
            </w:r>
          </w:p>
        </w:tc>
        <w:tc>
          <w:tcPr>
            <w:tcW w:w="31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1,711,471,764.13</w:t>
            </w:r>
          </w:p>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加：现金等价物的期末余额</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15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减：现金等价物的期初余额</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315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现金及现金等价物净增加额</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-577,037,493.91</w:t>
            </w:r>
          </w:p>
        </w:tc>
        <w:tc>
          <w:tcPr>
            <w:tcW w:w="31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-616,065,601.77</w:t>
            </w:r>
          </w:p>
        </w:tc>
      </w:tr>
    </w:tbl>
    <w:p w:rsidR="007F3A90" w:rsidRDefault="00CC38FA">
      <w:pPr>
        <w:keepNext/>
        <w:keepLines/>
        <w:spacing w:before="300" w:after="300" w:line="280" w:lineRule="exact"/>
        <w:outlineLvl w:val="3"/>
        <w:rPr>
          <w:rFonts w:ascii="宋体" w:eastAsia="宋体" w:hAnsi="宋体" w:cs="宋体"/>
          <w:b/>
          <w:bCs/>
          <w:szCs w:val="21"/>
        </w:rPr>
      </w:pPr>
      <w:bookmarkStart w:id="277" w:name="_Toc989167"/>
      <w:r>
        <w:rPr>
          <w:rFonts w:ascii="宋体" w:eastAsia="宋体" w:hAnsi="宋体" w:cs="宋体"/>
          <w:b/>
          <w:bCs/>
          <w:szCs w:val="21"/>
        </w:rPr>
        <w:t>（2） 本期收到的处置子公司的现金净额</w:t>
      </w:r>
      <w:bookmarkEnd w:id="277"/>
    </w:p>
    <w:p w:rsidR="00CC38FA" w:rsidRDefault="00CC38FA">
      <w:pPr>
        <w:pStyle w:val="a3"/>
        <w:divId w:val="1435856766"/>
        <w:rPr>
          <w:sz w:val="18"/>
          <w:szCs w:val="18"/>
        </w:rPr>
      </w:pPr>
      <w:r>
        <w:rPr>
          <w:rFonts w:hint="eastAsia"/>
          <w:sz w:val="18"/>
          <w:szCs w:val="18"/>
        </w:rPr>
        <w:t>无</w:t>
      </w:r>
    </w:p>
    <w:p w:rsidR="007F3A90" w:rsidRDefault="00CC38FA">
      <w:pPr>
        <w:keepNext/>
        <w:keepLines/>
        <w:spacing w:before="300" w:after="300" w:line="280" w:lineRule="exact"/>
        <w:outlineLvl w:val="3"/>
        <w:rPr>
          <w:rFonts w:ascii="宋体" w:eastAsia="宋体" w:hAnsi="宋体" w:cs="宋体"/>
          <w:b/>
          <w:bCs/>
          <w:szCs w:val="21"/>
        </w:rPr>
      </w:pPr>
      <w:bookmarkStart w:id="278" w:name="_Toc989168"/>
      <w:r>
        <w:rPr>
          <w:rFonts w:ascii="宋体" w:eastAsia="宋体" w:hAnsi="宋体" w:cs="宋体"/>
          <w:b/>
          <w:bCs/>
          <w:szCs w:val="21"/>
        </w:rPr>
        <w:t>（3） 现金和现金等价物的构成</w:t>
      </w:r>
      <w:bookmarkEnd w:id="278"/>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510"/>
        <w:gridCol w:w="3119"/>
        <w:gridCol w:w="3010"/>
      </w:tblGrid>
      <w:tr w:rsidR="007F3A90" w:rsidTr="002D6811">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0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rsidTr="002D6811">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一、现金</w:t>
            </w:r>
          </w:p>
        </w:tc>
        <w:tc>
          <w:tcPr>
            <w:tcW w:w="311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1,077,259,041.65</w:t>
            </w:r>
          </w:p>
        </w:tc>
        <w:tc>
          <w:tcPr>
            <w:tcW w:w="30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1,654,296,535.56</w:t>
            </w:r>
          </w:p>
        </w:tc>
      </w:tr>
      <w:tr w:rsidR="007F3A90" w:rsidTr="002D6811">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其中：库存现金</w:t>
            </w:r>
          </w:p>
        </w:tc>
        <w:tc>
          <w:tcPr>
            <w:tcW w:w="311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832,727.79</w:t>
            </w:r>
          </w:p>
        </w:tc>
        <w:tc>
          <w:tcPr>
            <w:tcW w:w="30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751,635.30</w:t>
            </w:r>
          </w:p>
        </w:tc>
      </w:tr>
      <w:tr w:rsidR="007F3A90" w:rsidTr="002D6811">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可随时用于支付的银行存款</w:t>
            </w:r>
          </w:p>
        </w:tc>
        <w:tc>
          <w:tcPr>
            <w:tcW w:w="311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1,071,149,146.96</w:t>
            </w:r>
          </w:p>
        </w:tc>
        <w:tc>
          <w:tcPr>
            <w:tcW w:w="30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1,653,016,136.48</w:t>
            </w:r>
          </w:p>
        </w:tc>
      </w:tr>
      <w:tr w:rsidR="007F3A90" w:rsidTr="002D6811">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可随时用于支付的其他货币资金</w:t>
            </w:r>
          </w:p>
        </w:tc>
        <w:tc>
          <w:tcPr>
            <w:tcW w:w="311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5,277,166.90</w:t>
            </w:r>
          </w:p>
        </w:tc>
        <w:tc>
          <w:tcPr>
            <w:tcW w:w="30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528,763.78</w:t>
            </w:r>
          </w:p>
        </w:tc>
      </w:tr>
      <w:tr w:rsidR="007F3A90" w:rsidTr="002D6811">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三、期末现金及现金等价物余额</w:t>
            </w:r>
          </w:p>
        </w:tc>
        <w:tc>
          <w:tcPr>
            <w:tcW w:w="311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1,077,259,041.65</w:t>
            </w:r>
          </w:p>
        </w:tc>
        <w:tc>
          <w:tcPr>
            <w:tcW w:w="30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1,654,296,535.56</w:t>
            </w:r>
          </w:p>
        </w:tc>
      </w:tr>
    </w:tbl>
    <w:p w:rsidR="007F3A90" w:rsidRDefault="00CC38FA">
      <w:pPr>
        <w:pStyle w:val="3"/>
        <w:spacing w:line="280" w:lineRule="exact"/>
        <w:jc w:val="left"/>
        <w:rPr>
          <w:rFonts w:ascii="宋体" w:hAnsi="宋体" w:cs="宋体"/>
          <w:b/>
          <w:bCs/>
        </w:rPr>
      </w:pPr>
      <w:bookmarkStart w:id="279" w:name="_Toc989169"/>
      <w:r>
        <w:rPr>
          <w:rFonts w:ascii="宋体" w:hAnsi="宋体" w:cs="宋体"/>
          <w:b/>
          <w:bCs/>
        </w:rPr>
        <w:lastRenderedPageBreak/>
        <w:t>58、外币货币性项目</w:t>
      </w:r>
      <w:bookmarkEnd w:id="279"/>
    </w:p>
    <w:p w:rsidR="007F3A90" w:rsidRDefault="00CC38FA">
      <w:pPr>
        <w:keepNext/>
        <w:keepLines/>
        <w:spacing w:before="300" w:after="300" w:line="280" w:lineRule="exact"/>
        <w:outlineLvl w:val="3"/>
        <w:rPr>
          <w:rFonts w:ascii="宋体" w:eastAsia="宋体" w:hAnsi="宋体" w:cs="宋体"/>
          <w:b/>
          <w:bCs/>
          <w:szCs w:val="21"/>
        </w:rPr>
      </w:pPr>
      <w:bookmarkStart w:id="280" w:name="_Toc989170"/>
      <w:r>
        <w:rPr>
          <w:rFonts w:ascii="宋体" w:eastAsia="宋体" w:hAnsi="宋体" w:cs="宋体"/>
          <w:b/>
          <w:bCs/>
          <w:szCs w:val="21"/>
        </w:rPr>
        <w:t>（1） 外币货币性项目</w:t>
      </w:r>
      <w:bookmarkEnd w:id="280"/>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7F3A90" w:rsidTr="002D681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期末外币余额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折算汇率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期末折算人民币余额</w:t>
            </w:r>
          </w:p>
        </w:tc>
      </w:tr>
      <w:tr w:rsidR="007F3A90" w:rsidTr="002D681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23,507,145.58</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 7.1268</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167,530,725.12</w:t>
            </w:r>
          </w:p>
        </w:tc>
      </w:tr>
      <w:tr w:rsidR="007F3A90" w:rsidTr="002D681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15,156,329.58</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 7.6617</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116,123,250.34</w:t>
            </w:r>
          </w:p>
        </w:tc>
      </w:tr>
      <w:tr w:rsidR="007F3A90" w:rsidTr="002D681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      日元</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 0.0447</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0.04</w:t>
            </w:r>
          </w:p>
        </w:tc>
      </w:tr>
      <w:tr w:rsidR="007F3A90" w:rsidTr="002D6811">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      英镑</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198,627.00</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 9.0430</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1,796,183.96</w:t>
            </w:r>
          </w:p>
        </w:tc>
      </w:tr>
      <w:tr w:rsidR="007F3A90" w:rsidTr="002D681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应收账款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15,199,017.75</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 7.1268</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108,320,359.70</w:t>
            </w:r>
          </w:p>
        </w:tc>
      </w:tr>
      <w:tr w:rsidR="007F3A90" w:rsidTr="002D681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6,947,026.46</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 7.6617</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53,226,032.63</w:t>
            </w:r>
          </w:p>
        </w:tc>
      </w:tr>
      <w:tr w:rsidR="007F3A90" w:rsidTr="002D681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      英镑</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18,298.81</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 9.0430</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165,476.14</w:t>
            </w:r>
          </w:p>
        </w:tc>
      </w:tr>
      <w:tr w:rsidR="007F3A90" w:rsidTr="002D6811">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      雷亚尔</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3,952,545.95</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 1.3224</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5,226,846.76</w:t>
            </w:r>
          </w:p>
        </w:tc>
      </w:tr>
      <w:tr w:rsidR="007F3A90" w:rsidTr="002D681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长期借款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bl>
    <w:p w:rsidR="007F3A90" w:rsidRDefault="00CC38FA">
      <w:pPr>
        <w:keepNext/>
        <w:keepLines/>
        <w:spacing w:before="300" w:after="300" w:line="280" w:lineRule="exact"/>
        <w:outlineLvl w:val="3"/>
        <w:rPr>
          <w:rFonts w:ascii="宋体" w:eastAsia="宋体" w:hAnsi="宋体" w:cs="宋体"/>
          <w:b/>
          <w:bCs/>
          <w:szCs w:val="21"/>
        </w:rPr>
      </w:pPr>
      <w:bookmarkStart w:id="281" w:name="_Toc989171"/>
      <w:r>
        <w:rPr>
          <w:rFonts w:ascii="宋体" w:eastAsia="宋体" w:hAnsi="宋体" w:cs="宋体"/>
          <w:b/>
          <w:bCs/>
          <w:szCs w:val="21"/>
        </w:rPr>
        <w:t>（2） 境外经营实体说明，包括对于重要的境外经营实体，应披露其境外主要经营地、记账本位币及选择依据，记账本位币发生变化的还应披露原因。</w:t>
      </w:r>
      <w:bookmarkEnd w:id="281"/>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42"/>
        <w:gridCol w:w="3969"/>
        <w:gridCol w:w="2303"/>
      </w:tblGrid>
      <w:tr w:rsidR="00CC38FA" w:rsidTr="00031125">
        <w:trPr>
          <w:divId w:val="1177112253"/>
          <w:trHeight w:val="238"/>
        </w:trPr>
        <w:tc>
          <w:tcPr>
            <w:tcW w:w="2942" w:type="dxa"/>
            <w:shd w:val="clear" w:color="auto" w:fill="D3D3D3"/>
            <w:noWrap/>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jc w:val="center"/>
              <w:rPr>
                <w:rFonts w:ascii="等线" w:eastAsia="等线" w:hAnsi="等线" w:cs="Times New Roman"/>
                <w:sz w:val="21"/>
                <w:szCs w:val="21"/>
              </w:rPr>
            </w:pPr>
            <w:r>
              <w:rPr>
                <w:rFonts w:cs="Times New Roman" w:hint="eastAsia"/>
                <w:sz w:val="18"/>
                <w:szCs w:val="18"/>
              </w:rPr>
              <w:t>名称</w:t>
            </w:r>
          </w:p>
        </w:tc>
        <w:tc>
          <w:tcPr>
            <w:tcW w:w="3969" w:type="dxa"/>
            <w:shd w:val="clear" w:color="auto" w:fill="D3D3D3"/>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jc w:val="center"/>
              <w:rPr>
                <w:rFonts w:ascii="等线" w:eastAsia="等线" w:hAnsi="等线" w:cs="Times New Roman"/>
                <w:sz w:val="21"/>
                <w:szCs w:val="21"/>
              </w:rPr>
            </w:pPr>
            <w:r>
              <w:rPr>
                <w:rFonts w:cs="Times New Roman" w:hint="eastAsia"/>
                <w:sz w:val="18"/>
                <w:szCs w:val="18"/>
              </w:rPr>
              <w:t>主要经营地</w:t>
            </w:r>
          </w:p>
        </w:tc>
        <w:tc>
          <w:tcPr>
            <w:tcW w:w="2303" w:type="dxa"/>
            <w:shd w:val="clear" w:color="auto" w:fill="D3D3D3"/>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jc w:val="center"/>
              <w:rPr>
                <w:rFonts w:ascii="等线" w:eastAsia="等线" w:hAnsi="等线" w:cs="Times New Roman"/>
                <w:sz w:val="21"/>
                <w:szCs w:val="21"/>
              </w:rPr>
            </w:pPr>
            <w:r>
              <w:rPr>
                <w:rFonts w:cs="Times New Roman" w:hint="eastAsia"/>
                <w:sz w:val="18"/>
                <w:szCs w:val="18"/>
              </w:rPr>
              <w:t>记账本位币</w:t>
            </w:r>
          </w:p>
        </w:tc>
      </w:tr>
      <w:tr w:rsidR="00CC38FA" w:rsidTr="00031125">
        <w:trPr>
          <w:divId w:val="1177112253"/>
          <w:trHeight w:val="238"/>
        </w:trPr>
        <w:tc>
          <w:tcPr>
            <w:tcW w:w="2942" w:type="dxa"/>
            <w:noWrap/>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rPr>
                <w:rFonts w:ascii="等线" w:eastAsia="等线" w:hAnsi="等线" w:cs="Times New Roman"/>
                <w:sz w:val="21"/>
                <w:szCs w:val="21"/>
              </w:rPr>
            </w:pPr>
            <w:r>
              <w:rPr>
                <w:rFonts w:cs="Times New Roman" w:hint="eastAsia"/>
                <w:sz w:val="18"/>
                <w:szCs w:val="18"/>
              </w:rPr>
              <w:t>软控（美洲）</w:t>
            </w:r>
          </w:p>
        </w:tc>
        <w:tc>
          <w:tcPr>
            <w:tcW w:w="3969" w:type="dxa"/>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rPr>
                <w:rFonts w:ascii="等线" w:eastAsia="等线" w:hAnsi="等线" w:cs="Times New Roman"/>
                <w:sz w:val="21"/>
                <w:szCs w:val="21"/>
              </w:rPr>
            </w:pPr>
            <w:r>
              <w:rPr>
                <w:rFonts w:cs="Times New Roman" w:hint="eastAsia"/>
                <w:sz w:val="18"/>
                <w:szCs w:val="18"/>
              </w:rPr>
              <w:t>美国特拉华州</w:t>
            </w:r>
          </w:p>
        </w:tc>
        <w:tc>
          <w:tcPr>
            <w:tcW w:w="2303" w:type="dxa"/>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rPr>
                <w:rFonts w:ascii="等线" w:eastAsia="等线" w:hAnsi="等线" w:cs="Times New Roman"/>
                <w:sz w:val="21"/>
                <w:szCs w:val="21"/>
              </w:rPr>
            </w:pPr>
            <w:r>
              <w:rPr>
                <w:rFonts w:cs="Times New Roman" w:hint="eastAsia"/>
                <w:sz w:val="18"/>
                <w:szCs w:val="18"/>
              </w:rPr>
              <w:t>美元</w:t>
            </w:r>
          </w:p>
        </w:tc>
      </w:tr>
      <w:tr w:rsidR="00CC38FA" w:rsidTr="00031125">
        <w:trPr>
          <w:divId w:val="1177112253"/>
          <w:trHeight w:val="238"/>
        </w:trPr>
        <w:tc>
          <w:tcPr>
            <w:tcW w:w="2942" w:type="dxa"/>
            <w:noWrap/>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rPr>
                <w:rFonts w:ascii="等线" w:eastAsia="等线" w:hAnsi="等线" w:cs="Times New Roman"/>
                <w:sz w:val="21"/>
                <w:szCs w:val="21"/>
              </w:rPr>
            </w:pPr>
            <w:r>
              <w:rPr>
                <w:rFonts w:cs="Times New Roman" w:hint="eastAsia"/>
                <w:sz w:val="18"/>
                <w:szCs w:val="18"/>
              </w:rPr>
              <w:t>WYKO</w:t>
            </w:r>
          </w:p>
        </w:tc>
        <w:tc>
          <w:tcPr>
            <w:tcW w:w="3969" w:type="dxa"/>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rPr>
                <w:rFonts w:ascii="等线" w:eastAsia="等线" w:hAnsi="等线" w:cs="Times New Roman"/>
                <w:sz w:val="21"/>
                <w:szCs w:val="21"/>
              </w:rPr>
            </w:pPr>
            <w:r>
              <w:rPr>
                <w:rFonts w:cs="Times New Roman" w:hint="eastAsia"/>
                <w:sz w:val="18"/>
                <w:szCs w:val="18"/>
              </w:rPr>
              <w:t>英国西米德兰兹郡</w:t>
            </w:r>
          </w:p>
        </w:tc>
        <w:tc>
          <w:tcPr>
            <w:tcW w:w="2303" w:type="dxa"/>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rPr>
                <w:rFonts w:ascii="等线" w:eastAsia="等线" w:hAnsi="等线" w:cs="Times New Roman"/>
                <w:sz w:val="21"/>
                <w:szCs w:val="21"/>
              </w:rPr>
            </w:pPr>
            <w:r>
              <w:rPr>
                <w:rFonts w:cs="Times New Roman" w:hint="eastAsia"/>
                <w:sz w:val="18"/>
                <w:szCs w:val="18"/>
              </w:rPr>
              <w:t>英镑</w:t>
            </w:r>
          </w:p>
        </w:tc>
      </w:tr>
      <w:tr w:rsidR="00CC38FA" w:rsidTr="00031125">
        <w:trPr>
          <w:divId w:val="1177112253"/>
          <w:trHeight w:val="238"/>
        </w:trPr>
        <w:tc>
          <w:tcPr>
            <w:tcW w:w="2942" w:type="dxa"/>
            <w:noWrap/>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rPr>
                <w:rFonts w:ascii="等线" w:eastAsia="等线" w:hAnsi="等线" w:cs="Times New Roman"/>
                <w:sz w:val="21"/>
                <w:szCs w:val="21"/>
              </w:rPr>
            </w:pPr>
            <w:r>
              <w:rPr>
                <w:rFonts w:cs="Times New Roman" w:hint="eastAsia"/>
                <w:sz w:val="18"/>
                <w:szCs w:val="18"/>
              </w:rPr>
              <w:t>Davian</w:t>
            </w:r>
          </w:p>
        </w:tc>
        <w:tc>
          <w:tcPr>
            <w:tcW w:w="3969" w:type="dxa"/>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rPr>
                <w:rFonts w:ascii="等线" w:eastAsia="等线" w:hAnsi="等线" w:cs="Times New Roman"/>
                <w:sz w:val="21"/>
                <w:szCs w:val="21"/>
              </w:rPr>
            </w:pPr>
            <w:r>
              <w:rPr>
                <w:rFonts w:cs="Times New Roman" w:hint="eastAsia"/>
                <w:sz w:val="18"/>
                <w:szCs w:val="18"/>
              </w:rPr>
              <w:t>美国田纳西州</w:t>
            </w:r>
          </w:p>
        </w:tc>
        <w:tc>
          <w:tcPr>
            <w:tcW w:w="2303" w:type="dxa"/>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rPr>
                <w:rFonts w:ascii="等线" w:eastAsia="等线" w:hAnsi="等线" w:cs="Times New Roman"/>
                <w:sz w:val="21"/>
                <w:szCs w:val="21"/>
              </w:rPr>
            </w:pPr>
            <w:r>
              <w:rPr>
                <w:rFonts w:cs="Times New Roman" w:hint="eastAsia"/>
                <w:sz w:val="18"/>
                <w:szCs w:val="18"/>
              </w:rPr>
              <w:t>美元</w:t>
            </w:r>
          </w:p>
        </w:tc>
      </w:tr>
      <w:tr w:rsidR="00CC38FA" w:rsidTr="00031125">
        <w:trPr>
          <w:divId w:val="1177112253"/>
          <w:trHeight w:val="238"/>
        </w:trPr>
        <w:tc>
          <w:tcPr>
            <w:tcW w:w="2942" w:type="dxa"/>
            <w:noWrap/>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rPr>
                <w:rFonts w:ascii="等线" w:eastAsia="等线" w:hAnsi="等线" w:cs="Times New Roman"/>
                <w:sz w:val="21"/>
                <w:szCs w:val="21"/>
              </w:rPr>
            </w:pPr>
            <w:r>
              <w:rPr>
                <w:rFonts w:cs="Times New Roman" w:hint="eastAsia"/>
                <w:sz w:val="18"/>
                <w:szCs w:val="18"/>
              </w:rPr>
              <w:t>软控欧研</w:t>
            </w:r>
          </w:p>
        </w:tc>
        <w:tc>
          <w:tcPr>
            <w:tcW w:w="3969" w:type="dxa"/>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rPr>
                <w:rFonts w:ascii="等线" w:eastAsia="等线" w:hAnsi="等线" w:cs="Times New Roman"/>
                <w:sz w:val="21"/>
                <w:szCs w:val="21"/>
              </w:rPr>
            </w:pPr>
            <w:r>
              <w:rPr>
                <w:rFonts w:cs="Times New Roman" w:hint="eastAsia"/>
                <w:sz w:val="18"/>
                <w:szCs w:val="18"/>
              </w:rPr>
              <w:t>斯洛伐克杜布尼萨市</w:t>
            </w:r>
          </w:p>
        </w:tc>
        <w:tc>
          <w:tcPr>
            <w:tcW w:w="2303" w:type="dxa"/>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rPr>
                <w:rFonts w:ascii="等线" w:eastAsia="等线" w:hAnsi="等线" w:cs="Times New Roman"/>
                <w:sz w:val="21"/>
                <w:szCs w:val="21"/>
              </w:rPr>
            </w:pPr>
            <w:r>
              <w:rPr>
                <w:rFonts w:cs="Times New Roman" w:hint="eastAsia"/>
                <w:sz w:val="18"/>
                <w:szCs w:val="18"/>
              </w:rPr>
              <w:t>欧元</w:t>
            </w:r>
          </w:p>
        </w:tc>
      </w:tr>
      <w:tr w:rsidR="00CC38FA" w:rsidTr="00031125">
        <w:trPr>
          <w:divId w:val="1177112253"/>
          <w:trHeight w:val="238"/>
        </w:trPr>
        <w:tc>
          <w:tcPr>
            <w:tcW w:w="2942" w:type="dxa"/>
            <w:noWrap/>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rPr>
                <w:rFonts w:ascii="等线" w:eastAsia="等线" w:hAnsi="等线" w:cs="Times New Roman"/>
                <w:sz w:val="21"/>
                <w:szCs w:val="21"/>
              </w:rPr>
            </w:pPr>
            <w:r>
              <w:rPr>
                <w:rFonts w:cs="Times New Roman" w:hint="eastAsia"/>
                <w:sz w:val="18"/>
                <w:szCs w:val="18"/>
              </w:rPr>
              <w:t>华中能源</w:t>
            </w:r>
          </w:p>
        </w:tc>
        <w:tc>
          <w:tcPr>
            <w:tcW w:w="3969" w:type="dxa"/>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rPr>
                <w:rFonts w:ascii="等线" w:eastAsia="等线" w:hAnsi="等线" w:cs="Times New Roman"/>
                <w:sz w:val="21"/>
                <w:szCs w:val="21"/>
              </w:rPr>
            </w:pPr>
            <w:r>
              <w:rPr>
                <w:rFonts w:cs="Times New Roman" w:hint="eastAsia"/>
                <w:sz w:val="18"/>
                <w:szCs w:val="18"/>
              </w:rPr>
              <w:t>柬埔寨桔井省斯努县</w:t>
            </w:r>
          </w:p>
        </w:tc>
        <w:tc>
          <w:tcPr>
            <w:tcW w:w="2303" w:type="dxa"/>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rPr>
                <w:rFonts w:ascii="等线" w:eastAsia="等线" w:hAnsi="等线" w:cs="Times New Roman"/>
                <w:sz w:val="21"/>
                <w:szCs w:val="21"/>
              </w:rPr>
            </w:pPr>
            <w:r>
              <w:rPr>
                <w:rFonts w:cs="Times New Roman" w:hint="eastAsia"/>
                <w:sz w:val="18"/>
                <w:szCs w:val="18"/>
              </w:rPr>
              <w:t>美元</w:t>
            </w:r>
          </w:p>
        </w:tc>
      </w:tr>
      <w:tr w:rsidR="00CC38FA" w:rsidTr="00031125">
        <w:trPr>
          <w:divId w:val="1177112253"/>
          <w:trHeight w:val="238"/>
        </w:trPr>
        <w:tc>
          <w:tcPr>
            <w:tcW w:w="2942" w:type="dxa"/>
            <w:noWrap/>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rPr>
                <w:rFonts w:ascii="等线" w:eastAsia="等线" w:hAnsi="等线" w:cs="Times New Roman"/>
                <w:sz w:val="21"/>
                <w:szCs w:val="21"/>
              </w:rPr>
            </w:pPr>
            <w:r>
              <w:rPr>
                <w:rFonts w:cs="Times New Roman" w:hint="eastAsia"/>
                <w:sz w:val="18"/>
                <w:szCs w:val="18"/>
              </w:rPr>
              <w:t>软控（香港）</w:t>
            </w:r>
          </w:p>
        </w:tc>
        <w:tc>
          <w:tcPr>
            <w:tcW w:w="3969" w:type="dxa"/>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rPr>
                <w:rFonts w:ascii="等线" w:eastAsia="等线" w:hAnsi="等线" w:cs="Times New Roman"/>
                <w:sz w:val="21"/>
                <w:szCs w:val="21"/>
              </w:rPr>
            </w:pPr>
            <w:r>
              <w:rPr>
                <w:rFonts w:cs="Times New Roman" w:hint="eastAsia"/>
                <w:sz w:val="18"/>
                <w:szCs w:val="18"/>
              </w:rPr>
              <w:t>香港观塘区</w:t>
            </w:r>
          </w:p>
        </w:tc>
        <w:tc>
          <w:tcPr>
            <w:tcW w:w="2303" w:type="dxa"/>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rPr>
                <w:rFonts w:ascii="等线" w:eastAsia="等线" w:hAnsi="等线" w:cs="Times New Roman"/>
                <w:sz w:val="21"/>
                <w:szCs w:val="21"/>
              </w:rPr>
            </w:pPr>
            <w:r>
              <w:rPr>
                <w:rFonts w:cs="Times New Roman" w:hint="eastAsia"/>
                <w:sz w:val="18"/>
                <w:szCs w:val="18"/>
              </w:rPr>
              <w:t>美元</w:t>
            </w:r>
          </w:p>
        </w:tc>
      </w:tr>
    </w:tbl>
    <w:p w:rsidR="007F3A90" w:rsidRDefault="00CC38FA">
      <w:pPr>
        <w:pStyle w:val="3"/>
        <w:spacing w:line="280" w:lineRule="exact"/>
        <w:jc w:val="left"/>
        <w:rPr>
          <w:rFonts w:ascii="宋体" w:hAnsi="宋体" w:cs="宋体"/>
          <w:b/>
          <w:bCs/>
        </w:rPr>
      </w:pPr>
      <w:bookmarkStart w:id="282" w:name="_Toc989172"/>
      <w:r>
        <w:rPr>
          <w:rFonts w:ascii="宋体" w:hAnsi="宋体" w:cs="宋体"/>
          <w:b/>
          <w:bCs/>
        </w:rPr>
        <w:t>59、租赁</w:t>
      </w:r>
      <w:bookmarkEnd w:id="282"/>
    </w:p>
    <w:p w:rsidR="007F3A90" w:rsidRDefault="00CC38FA">
      <w:pPr>
        <w:keepNext/>
        <w:keepLines/>
        <w:spacing w:before="300" w:after="300" w:line="280" w:lineRule="exact"/>
        <w:outlineLvl w:val="3"/>
        <w:rPr>
          <w:rFonts w:ascii="宋体" w:eastAsia="宋体" w:hAnsi="宋体" w:cs="宋体"/>
          <w:b/>
          <w:bCs/>
          <w:szCs w:val="21"/>
        </w:rPr>
      </w:pPr>
      <w:bookmarkStart w:id="283" w:name="_Toc989173"/>
      <w:r>
        <w:rPr>
          <w:rFonts w:ascii="宋体" w:eastAsia="宋体" w:hAnsi="宋体" w:cs="宋体"/>
          <w:b/>
          <w:bCs/>
          <w:szCs w:val="21"/>
        </w:rPr>
        <w:t>（1） 本公司作为承租方</w:t>
      </w:r>
      <w:bookmarkEnd w:id="283"/>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未纳入租赁负债计量的可变租赁付款额</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简化处理的短期租赁或低价值资产的租赁费用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涉及售后租回交易的情况</w:t>
      </w:r>
    </w:p>
    <w:p w:rsidR="00CC38FA" w:rsidRDefault="00CC38FA">
      <w:pPr>
        <w:pStyle w:val="a3"/>
        <w:divId w:val="1451851505"/>
        <w:rPr>
          <w:sz w:val="18"/>
          <w:szCs w:val="18"/>
        </w:rPr>
      </w:pPr>
      <w:r>
        <w:rPr>
          <w:rFonts w:hint="eastAsia"/>
          <w:sz w:val="18"/>
          <w:szCs w:val="18"/>
        </w:rPr>
        <w:t>无。</w:t>
      </w:r>
    </w:p>
    <w:p w:rsidR="007F3A90" w:rsidRDefault="00CC38FA">
      <w:pPr>
        <w:keepNext/>
        <w:keepLines/>
        <w:spacing w:before="300" w:after="300" w:line="280" w:lineRule="exact"/>
        <w:outlineLvl w:val="3"/>
        <w:rPr>
          <w:rFonts w:ascii="宋体" w:eastAsia="宋体" w:hAnsi="宋体" w:cs="宋体"/>
          <w:b/>
          <w:bCs/>
          <w:szCs w:val="21"/>
        </w:rPr>
      </w:pPr>
      <w:bookmarkStart w:id="284" w:name="_Toc989174"/>
      <w:r>
        <w:rPr>
          <w:rFonts w:ascii="宋体" w:eastAsia="宋体" w:hAnsi="宋体" w:cs="宋体"/>
          <w:b/>
          <w:bCs/>
          <w:szCs w:val="21"/>
        </w:rPr>
        <w:lastRenderedPageBreak/>
        <w:t>（2） 本公司作为出租方</w:t>
      </w:r>
      <w:bookmarkEnd w:id="284"/>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作为出租人的经营租赁</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作为出租人的融资租赁</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未来五年每年未折现租赁收款额</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未折现租赁收款额与租赁投资净额的调节表</w:t>
      </w:r>
    </w:p>
    <w:p w:rsidR="007F3A90" w:rsidRDefault="00CC38FA">
      <w:pPr>
        <w:keepNext/>
        <w:keepLines/>
        <w:spacing w:before="300" w:after="300" w:line="280" w:lineRule="exact"/>
        <w:outlineLvl w:val="3"/>
        <w:rPr>
          <w:rFonts w:ascii="宋体" w:eastAsia="宋体" w:hAnsi="宋体" w:cs="宋体"/>
          <w:b/>
          <w:bCs/>
          <w:szCs w:val="21"/>
        </w:rPr>
      </w:pPr>
      <w:bookmarkStart w:id="285" w:name="_Toc989175"/>
      <w:r>
        <w:rPr>
          <w:rFonts w:ascii="宋体" w:eastAsia="宋体" w:hAnsi="宋体" w:cs="宋体"/>
          <w:b/>
          <w:bCs/>
          <w:szCs w:val="21"/>
        </w:rPr>
        <w:t>（3） 作为生产商或经销商确认融资租赁销售损益</w:t>
      </w:r>
      <w:bookmarkEnd w:id="285"/>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pStyle w:val="2"/>
        <w:spacing w:before="300" w:after="300" w:line="320" w:lineRule="exact"/>
        <w:rPr>
          <w:rFonts w:ascii="宋体" w:eastAsia="宋体" w:hAnsi="宋体" w:cs="宋体"/>
          <w:b/>
          <w:bCs/>
          <w:sz w:val="24"/>
          <w:szCs w:val="24"/>
        </w:rPr>
      </w:pPr>
      <w:bookmarkStart w:id="286" w:name="_Toc989176"/>
      <w:r>
        <w:rPr>
          <w:rFonts w:ascii="宋体" w:eastAsia="宋体" w:hAnsi="宋体" w:cs="宋体"/>
          <w:b/>
          <w:bCs/>
          <w:sz w:val="24"/>
          <w:szCs w:val="24"/>
        </w:rPr>
        <w:t>八、研发支出</w:t>
      </w:r>
      <w:bookmarkEnd w:id="286"/>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工资薪金及劳务费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100,098,232.57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84,722,163.59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折旧及摊销</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14,391,096.95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5,437,624.00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交通/差旅/会议费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2,533,896.49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1,930,213.51</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中介代理费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1,663,339.02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1,121,465.39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物料消耗费</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58,185,076.05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47,133,470.11</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3,532,789.87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6,206,598.79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180,404,430.95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146,551,535.39</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其中：费用化研发支出</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180,404,430.95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146,551,535.39</w:t>
            </w:r>
          </w:p>
        </w:tc>
      </w:tr>
    </w:tbl>
    <w:p w:rsidR="007F3A90" w:rsidRDefault="00CC38FA">
      <w:pPr>
        <w:pStyle w:val="2"/>
        <w:spacing w:before="300" w:after="300" w:line="320" w:lineRule="exact"/>
        <w:rPr>
          <w:rFonts w:ascii="宋体" w:eastAsia="宋体" w:hAnsi="宋体" w:cs="宋体"/>
          <w:b/>
          <w:bCs/>
          <w:sz w:val="24"/>
          <w:szCs w:val="24"/>
        </w:rPr>
      </w:pPr>
      <w:bookmarkStart w:id="287" w:name="_Toc989177"/>
      <w:r>
        <w:rPr>
          <w:rFonts w:ascii="宋体" w:eastAsia="宋体" w:hAnsi="宋体" w:cs="宋体"/>
          <w:b/>
          <w:bCs/>
          <w:sz w:val="24"/>
          <w:szCs w:val="24"/>
        </w:rPr>
        <w:t>九、合并范围的变更</w:t>
      </w:r>
      <w:bookmarkEnd w:id="287"/>
    </w:p>
    <w:p w:rsidR="007F3A90" w:rsidRDefault="00CC38FA">
      <w:pPr>
        <w:pStyle w:val="3"/>
        <w:spacing w:line="280" w:lineRule="exact"/>
        <w:jc w:val="left"/>
        <w:rPr>
          <w:rFonts w:ascii="宋体" w:hAnsi="宋体" w:cs="宋体"/>
          <w:b/>
          <w:bCs/>
        </w:rPr>
      </w:pPr>
      <w:bookmarkStart w:id="288" w:name="_Toc989178"/>
      <w:r>
        <w:rPr>
          <w:rFonts w:ascii="宋体" w:hAnsi="宋体" w:cs="宋体"/>
          <w:b/>
          <w:bCs/>
        </w:rPr>
        <w:t>1、处置子公司</w:t>
      </w:r>
      <w:bookmarkEnd w:id="288"/>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本期是否存在丧失子公司控制权的交易或事项</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是否存在通过多次交易分步处置对子公司投资且在本期丧失控制权的情形</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7F3A90" w:rsidRDefault="00CC38FA">
      <w:pPr>
        <w:pStyle w:val="3"/>
        <w:spacing w:line="280" w:lineRule="exact"/>
        <w:jc w:val="left"/>
        <w:rPr>
          <w:rFonts w:ascii="宋体" w:hAnsi="宋体" w:cs="宋体"/>
          <w:b/>
          <w:bCs/>
        </w:rPr>
      </w:pPr>
      <w:bookmarkStart w:id="289" w:name="_Toc989179"/>
      <w:r>
        <w:rPr>
          <w:rFonts w:ascii="宋体" w:hAnsi="宋体" w:cs="宋体"/>
          <w:b/>
          <w:bCs/>
        </w:rPr>
        <w:t>2、其他原因的合并范围变动</w:t>
      </w:r>
      <w:bookmarkEnd w:id="289"/>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说明其他原因导致的合并范围变动（如，新设子公司、清算子公司等）及其相关情况：</w:t>
      </w:r>
    </w:p>
    <w:p w:rsidR="00CC38FA" w:rsidRDefault="00CC38FA">
      <w:pPr>
        <w:pStyle w:val="a3"/>
        <w:spacing w:before="0" w:beforeAutospacing="0" w:after="0" w:afterAutospacing="0"/>
        <w:ind w:firstLine="360"/>
        <w:divId w:val="15935031"/>
        <w:rPr>
          <w:rFonts w:ascii="等线" w:eastAsia="等线" w:hAnsi="等线"/>
          <w:sz w:val="21"/>
          <w:szCs w:val="21"/>
        </w:rPr>
      </w:pPr>
      <w:r>
        <w:rPr>
          <w:rFonts w:hint="eastAsia"/>
          <w:sz w:val="18"/>
          <w:szCs w:val="18"/>
        </w:rPr>
        <w:t>与上年相比本期新增合并单位2家，具体包括抚顺伊科思橡胶贸易有限公司、</w:t>
      </w:r>
      <w:r w:rsidR="00EE227B">
        <w:rPr>
          <w:rFonts w:hint="eastAsia"/>
          <w:sz w:val="18"/>
          <w:szCs w:val="18"/>
        </w:rPr>
        <w:t>軟</w:t>
      </w:r>
      <w:bookmarkStart w:id="290" w:name="_GoBack"/>
      <w:bookmarkEnd w:id="290"/>
      <w:r>
        <w:rPr>
          <w:rFonts w:hint="eastAsia"/>
          <w:sz w:val="18"/>
          <w:szCs w:val="18"/>
        </w:rPr>
        <w:t>控（香港）有限公司，均系本年新投资成立的公司。</w:t>
      </w:r>
    </w:p>
    <w:p w:rsidR="007F3A90" w:rsidRDefault="00CC38FA">
      <w:pPr>
        <w:pStyle w:val="2"/>
        <w:spacing w:before="300" w:after="300" w:line="320" w:lineRule="exact"/>
        <w:rPr>
          <w:rFonts w:ascii="宋体" w:eastAsia="宋体" w:hAnsi="宋体" w:cs="宋体"/>
          <w:b/>
          <w:bCs/>
          <w:sz w:val="24"/>
          <w:szCs w:val="24"/>
        </w:rPr>
      </w:pPr>
      <w:bookmarkStart w:id="291" w:name="_Toc989180"/>
      <w:r>
        <w:rPr>
          <w:rFonts w:ascii="宋体" w:eastAsia="宋体" w:hAnsi="宋体" w:cs="宋体"/>
          <w:b/>
          <w:bCs/>
          <w:sz w:val="24"/>
          <w:szCs w:val="24"/>
        </w:rPr>
        <w:lastRenderedPageBreak/>
        <w:t>十、在其他主体中的权益</w:t>
      </w:r>
      <w:bookmarkEnd w:id="291"/>
    </w:p>
    <w:p w:rsidR="007F3A90" w:rsidRDefault="00CC38FA">
      <w:pPr>
        <w:pStyle w:val="3"/>
        <w:spacing w:line="280" w:lineRule="exact"/>
        <w:jc w:val="left"/>
        <w:rPr>
          <w:rFonts w:ascii="宋体" w:hAnsi="宋体" w:cs="宋体"/>
          <w:b/>
          <w:bCs/>
        </w:rPr>
      </w:pPr>
      <w:bookmarkStart w:id="292" w:name="_Toc989181"/>
      <w:r>
        <w:rPr>
          <w:rFonts w:ascii="宋体" w:hAnsi="宋体" w:cs="宋体"/>
          <w:b/>
          <w:bCs/>
        </w:rPr>
        <w:t>1、在子公司中的权益</w:t>
      </w:r>
      <w:bookmarkEnd w:id="292"/>
    </w:p>
    <w:p w:rsidR="007F3A90" w:rsidRDefault="00CC38FA">
      <w:pPr>
        <w:keepNext/>
        <w:keepLines/>
        <w:spacing w:before="300" w:after="300" w:line="280" w:lineRule="exact"/>
        <w:outlineLvl w:val="3"/>
        <w:rPr>
          <w:rFonts w:ascii="宋体" w:eastAsia="宋体" w:hAnsi="宋体" w:cs="宋体"/>
          <w:b/>
          <w:bCs/>
          <w:sz w:val="18"/>
          <w:szCs w:val="18"/>
        </w:rPr>
      </w:pPr>
      <w:bookmarkStart w:id="293" w:name="_Toc989182"/>
      <w:r>
        <w:rPr>
          <w:rFonts w:ascii="宋体" w:eastAsia="宋体" w:hAnsi="宋体" w:cs="宋体"/>
          <w:b/>
          <w:bCs/>
          <w:sz w:val="18"/>
          <w:szCs w:val="18"/>
        </w:rPr>
        <w:t>（1） 企业集团的构成</w:t>
      </w:r>
      <w:bookmarkEnd w:id="293"/>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50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598"/>
        <w:gridCol w:w="1134"/>
        <w:gridCol w:w="1456"/>
        <w:gridCol w:w="954"/>
        <w:gridCol w:w="888"/>
        <w:gridCol w:w="851"/>
        <w:gridCol w:w="1417"/>
      </w:tblGrid>
      <w:tr w:rsidR="007F3A90" w:rsidTr="002D6811">
        <w:trPr>
          <w:trHeight w:val="240"/>
        </w:trPr>
        <w:tc>
          <w:tcPr>
            <w:tcW w:w="12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159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注册资本</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主要经营地</w:t>
            </w:r>
          </w:p>
        </w:tc>
        <w:tc>
          <w:tcPr>
            <w:tcW w:w="145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95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17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取得方式</w:t>
            </w:r>
          </w:p>
        </w:tc>
      </w:tr>
      <w:tr w:rsidR="007F3A90" w:rsidTr="002D6811">
        <w:trPr>
          <w:trHeight w:val="240"/>
        </w:trPr>
        <w:tc>
          <w:tcPr>
            <w:tcW w:w="120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598" w:type="dxa"/>
            <w:vMerge/>
            <w:tcBorders>
              <w:top w:val="single" w:sz="2" w:space="0" w:color="auto"/>
              <w:left w:val="single" w:sz="2" w:space="0" w:color="auto"/>
              <w:bottom w:val="single" w:sz="2" w:space="0" w:color="auto"/>
              <w:right w:val="single" w:sz="2" w:space="0" w:color="auto"/>
            </w:tcBorders>
            <w:vAlign w:val="center"/>
          </w:tcPr>
          <w:p w:rsidR="007F3A90" w:rsidRDefault="007F3A90"/>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45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95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8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直接</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间接</w:t>
            </w:r>
          </w:p>
        </w:tc>
        <w:tc>
          <w:tcPr>
            <w:tcW w:w="141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软控机电</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1,200,000,000.00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青岛市胶州市</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敬业机械</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北京</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北京市西城区</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非同一控制下企业合并</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敬业园</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5,000,000.00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天津</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天津市静海</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非同一控制下企业合并</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敬业机电</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9,500,000.00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北京</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北京市海淀区</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大连软控</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5,000,000.00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庄河</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庄河市光明山镇</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51.00%</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优享供应链</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5,000,000.00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青岛市胶州市</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批发零售</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计量检测</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3,000,000.00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青岛市胶州市</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70.00%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海威物联</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青岛市高新区</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70.00%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海科科技</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青岛市高新区</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联合科技</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160,000,000.00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潍坊</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潍坊市诸城市</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科捷自动化</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青岛市市北区</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非同一控制下企业合并</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深圳众源达</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2,000,000.00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深圳</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深圳市坪山区</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艾优信</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5,000,000.00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青岛市胶州市</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华控能源</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青岛市市北区</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51.00%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朗控清洁</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200,000.00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青岛市崂山区</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青岛睿诚</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青岛市市北区</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非同一控制下企业合并</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优尼斯通</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青岛市市北区</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智控零碳</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3,000,000.00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青岛市市北区</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华控赛联</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5,800,000.00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青岛市市北区</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菏泽智控</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5,000,000.00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菏泽</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菏泽市东明县</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德州智控</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13,000,000.00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德州</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德州市平原县</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华中能源</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10,518,012.17</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柬埔寨</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柬埔寨桔井省斯努县</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70.00%</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抚顺伊科思</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200,000,000.00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抚顺</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抚顺市东洲区</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非同一控制下企业合并</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盘锦伊科思</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420,000,000.00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盘锦</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盘锦市辽东湾新区</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益凯新材料</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276,200,000.00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青岛市黄岛区</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64.52%</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软控诸暨</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98,022,494.00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绍兴</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绍兴市诸暨市</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软控科技</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绍兴</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绍兴市诸暨市</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60.00%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软控欧研</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101,429.00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斯洛伐克杜布尼萨市</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斯洛伐克杜布尼萨市</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软控（美洲）</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63.59</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美国特拉华州</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美国特拉华州</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WYKO</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40,061,636.41</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英国西米德兰兹郡</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英国西米德兰兹郡</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Davian</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63.59</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美国田纳西州</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美国田纳西州</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非同一控制下企业合并</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青岛云纵</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青岛市市北区</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浙江叁晟</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绍兴</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绍兴市诸暨市</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服务业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F276DB" w:rsidP="00F276DB">
            <w:pPr>
              <w:spacing w:line="240" w:lineRule="exact"/>
              <w:rPr>
                <w:rFonts w:ascii="宋体" w:eastAsia="宋体" w:hAnsi="宋体" w:cs="宋体"/>
                <w:sz w:val="18"/>
                <w:szCs w:val="18"/>
              </w:rPr>
            </w:pPr>
            <w:r>
              <w:rPr>
                <w:rFonts w:ascii="宋体" w:eastAsia="宋体" w:hAnsi="宋体" w:cs="宋体"/>
                <w:sz w:val="18"/>
                <w:szCs w:val="18"/>
              </w:rPr>
              <w:lastRenderedPageBreak/>
              <w:t>伊科思贸易</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抚顺</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抚顺市东洲区</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批发零售</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r w:rsidR="007F3A90" w:rsidTr="002D681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软控（香港）</w:t>
            </w:r>
          </w:p>
        </w:tc>
        <w:tc>
          <w:tcPr>
            <w:tcW w:w="159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35,518,000.00</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香港</w:t>
            </w:r>
          </w:p>
        </w:tc>
        <w:tc>
          <w:tcPr>
            <w:tcW w:w="145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香港观塘区</w:t>
            </w:r>
          </w:p>
        </w:tc>
        <w:tc>
          <w:tcPr>
            <w:tcW w:w="95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88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设立</w:t>
            </w:r>
          </w:p>
        </w:tc>
      </w:tr>
    </w:tbl>
    <w:p w:rsidR="007F3A90" w:rsidRDefault="00CC38FA">
      <w:pPr>
        <w:keepNext/>
        <w:keepLines/>
        <w:spacing w:before="300" w:after="300" w:line="280" w:lineRule="exact"/>
        <w:outlineLvl w:val="3"/>
        <w:rPr>
          <w:rFonts w:ascii="宋体" w:eastAsia="宋体" w:hAnsi="宋体" w:cs="宋体"/>
          <w:b/>
          <w:bCs/>
          <w:sz w:val="18"/>
          <w:szCs w:val="18"/>
        </w:rPr>
      </w:pPr>
      <w:bookmarkStart w:id="294" w:name="_Toc989183"/>
      <w:r>
        <w:rPr>
          <w:rFonts w:ascii="宋体" w:eastAsia="宋体" w:hAnsi="宋体" w:cs="宋体"/>
          <w:b/>
          <w:bCs/>
          <w:sz w:val="18"/>
          <w:szCs w:val="18"/>
        </w:rPr>
        <w:t>（2） 重要的非全资子公司</w:t>
      </w:r>
      <w:bookmarkEnd w:id="294"/>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少数股东持股比例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本期归属于少数股东的损益</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本期向少数股东宣告分派的股利</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期末少数股东权益余额</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华控能源</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49.00%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3,735,259.25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1,470,000.00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67,581,385.51</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益凯新材料</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35.48%</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1,312,775.47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119,108,148.39</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软控科技</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40.00%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14,343,323.54</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63,647,407.81</w:t>
            </w:r>
          </w:p>
        </w:tc>
      </w:tr>
    </w:tbl>
    <w:p w:rsidR="007F3A90" w:rsidRDefault="00CC38FA">
      <w:pPr>
        <w:keepNext/>
        <w:keepLines/>
        <w:spacing w:before="300" w:after="300" w:line="280" w:lineRule="exact"/>
        <w:outlineLvl w:val="3"/>
        <w:rPr>
          <w:rFonts w:ascii="宋体" w:eastAsia="宋体" w:hAnsi="宋体" w:cs="宋体"/>
          <w:b/>
          <w:bCs/>
          <w:sz w:val="18"/>
          <w:szCs w:val="18"/>
        </w:rPr>
      </w:pPr>
      <w:bookmarkStart w:id="295" w:name="_Toc989184"/>
      <w:r>
        <w:rPr>
          <w:rFonts w:ascii="宋体" w:eastAsia="宋体" w:hAnsi="宋体" w:cs="宋体"/>
          <w:b/>
          <w:bCs/>
          <w:sz w:val="18"/>
          <w:szCs w:val="18"/>
        </w:rPr>
        <w:t>（3） 重要非全资子公司的主要财务信息</w:t>
      </w:r>
      <w:bookmarkEnd w:id="295"/>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1"/>
        <w:gridCol w:w="741"/>
        <w:gridCol w:w="741"/>
        <w:gridCol w:w="741"/>
        <w:gridCol w:w="741"/>
        <w:gridCol w:w="741"/>
        <w:gridCol w:w="744"/>
        <w:gridCol w:w="741"/>
        <w:gridCol w:w="741"/>
        <w:gridCol w:w="741"/>
        <w:gridCol w:w="741"/>
        <w:gridCol w:w="741"/>
        <w:gridCol w:w="744"/>
      </w:tblGrid>
      <w:tr w:rsidR="007F3A90">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444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44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非流动资产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资产合计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非流动负债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负债合计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非流动资产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资产合计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非流动负债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负债合计</w:t>
            </w:r>
          </w:p>
        </w:tc>
      </w:tr>
      <w:tr w:rsidR="007F3A90">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华控能源</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312,339,237.82</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126,004,663.24</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438,343,901.06</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269,366,098.33</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23,757,666.00</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293,123,764.33</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298,947,312.01</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126,267,144.22</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425,214,456.23</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260,223,419.84</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25,152,058.21</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285,375,478.05</w:t>
            </w:r>
          </w:p>
        </w:tc>
      </w:tr>
      <w:tr w:rsidR="007F3A90">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益凯新材料</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852,515,339.96</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1,457,284,164.28</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2,309,799,504.24</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1,003,558,584.12</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912,432,440.73</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1,915,991,024.85</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502,593,991.17</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1,464,198,630.74</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1,966,792,621.91</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826,383,900.23</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788,657,840.73</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1,615,041,740.96</w:t>
            </w:r>
          </w:p>
        </w:tc>
      </w:tr>
      <w:tr w:rsidR="007F3A90">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软控科技</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1,705,714,050.13</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27,888,466.32</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1,733,602,516.45</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1,553,565,799.53</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20,388,653.07</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1,573,954,452.60</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1,694,984,106.77</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30,122,072.00</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1,725,106,178.77</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1,587,973,761.68</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14,952,260.51</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1,602,926,022.19</w:t>
            </w:r>
          </w:p>
        </w:tc>
      </w:tr>
    </w:tbl>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7F3A90">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7F3A90">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净利润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综合收益总额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经营活动现金流量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净利润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综合收益总额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经营活动现金流量</w:t>
            </w:r>
          </w:p>
        </w:tc>
      </w:tr>
      <w:tr w:rsidR="007F3A9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华控能源</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54,584,620.37</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7,622,978.07</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7,622,978.07</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-2,226,682.66</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77,069,685.47</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12,618,128.51</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12,618,128.51</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-3,503,291.79</w:t>
            </w:r>
          </w:p>
        </w:tc>
      </w:tr>
      <w:tr w:rsidR="007F3A9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益凯新材料</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597,156,938.68</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37,000,435.94</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37,000,435.94</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237,154,849.30</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433,219,215.72</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14,684,082.35</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14,684,082.35</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98,384,533.84</w:t>
            </w:r>
          </w:p>
        </w:tc>
      </w:tr>
      <w:tr w:rsidR="007F3A9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软控科技</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277,299,210.63</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35,858,308.84</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35,858,308.84</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-59,431,322.89</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235,262,023.82</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33,525,079.72</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33,525,079.72</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42,663,595.33</w:t>
            </w:r>
          </w:p>
        </w:tc>
      </w:tr>
    </w:tbl>
    <w:p w:rsidR="007F3A90" w:rsidRDefault="00CC38FA">
      <w:pPr>
        <w:pStyle w:val="3"/>
        <w:spacing w:line="280" w:lineRule="exact"/>
        <w:jc w:val="left"/>
        <w:rPr>
          <w:rFonts w:ascii="宋体" w:hAnsi="宋体" w:cs="宋体"/>
          <w:b/>
          <w:bCs/>
        </w:rPr>
      </w:pPr>
      <w:bookmarkStart w:id="296" w:name="_Toc989185"/>
      <w:r>
        <w:rPr>
          <w:rFonts w:ascii="宋体" w:hAnsi="宋体" w:cs="宋体"/>
          <w:b/>
          <w:bCs/>
        </w:rPr>
        <w:t>2、在子公司的所有者权益份额发生变化且仍控制子公司的交易</w:t>
      </w:r>
      <w:bookmarkEnd w:id="296"/>
    </w:p>
    <w:p w:rsidR="007F3A90" w:rsidRDefault="00CC38FA">
      <w:pPr>
        <w:keepNext/>
        <w:keepLines/>
        <w:spacing w:before="300" w:after="300" w:line="280" w:lineRule="exact"/>
        <w:outlineLvl w:val="3"/>
        <w:rPr>
          <w:rFonts w:ascii="宋体" w:eastAsia="宋体" w:hAnsi="宋体" w:cs="宋体"/>
          <w:b/>
          <w:bCs/>
          <w:sz w:val="18"/>
          <w:szCs w:val="18"/>
        </w:rPr>
      </w:pPr>
      <w:bookmarkStart w:id="297" w:name="_Toc989186"/>
      <w:r>
        <w:rPr>
          <w:rFonts w:ascii="宋体" w:eastAsia="宋体" w:hAnsi="宋体" w:cs="宋体"/>
          <w:b/>
          <w:bCs/>
          <w:sz w:val="18"/>
          <w:szCs w:val="18"/>
        </w:rPr>
        <w:t>（1） 在子公司所有者权益份额发生变化的情况说明</w:t>
      </w:r>
      <w:bookmarkEnd w:id="297"/>
    </w:p>
    <w:p w:rsidR="00CC38FA" w:rsidRDefault="00CC38FA">
      <w:pPr>
        <w:pStyle w:val="a3"/>
        <w:divId w:val="613439796"/>
        <w:rPr>
          <w:sz w:val="18"/>
          <w:szCs w:val="18"/>
        </w:rPr>
      </w:pPr>
      <w:r>
        <w:rPr>
          <w:rFonts w:hint="eastAsia"/>
          <w:sz w:val="18"/>
          <w:szCs w:val="18"/>
        </w:rPr>
        <w:t>无。</w:t>
      </w:r>
    </w:p>
    <w:p w:rsidR="007F3A90" w:rsidRDefault="00CC38FA">
      <w:pPr>
        <w:pStyle w:val="3"/>
        <w:spacing w:line="280" w:lineRule="exact"/>
        <w:jc w:val="left"/>
        <w:rPr>
          <w:rFonts w:ascii="宋体" w:hAnsi="宋体" w:cs="宋体"/>
          <w:b/>
          <w:bCs/>
        </w:rPr>
      </w:pPr>
      <w:bookmarkStart w:id="298" w:name="_Toc989187"/>
      <w:r>
        <w:rPr>
          <w:rFonts w:ascii="宋体" w:hAnsi="宋体" w:cs="宋体"/>
          <w:b/>
          <w:bCs/>
        </w:rPr>
        <w:lastRenderedPageBreak/>
        <w:t>3、在合营安排或联营企业中的权益</w:t>
      </w:r>
      <w:bookmarkEnd w:id="298"/>
    </w:p>
    <w:p w:rsidR="007F3A90" w:rsidRDefault="00CC38FA">
      <w:pPr>
        <w:keepNext/>
        <w:keepLines/>
        <w:spacing w:before="300" w:after="300" w:line="280" w:lineRule="exact"/>
        <w:outlineLvl w:val="3"/>
        <w:rPr>
          <w:rFonts w:ascii="宋体" w:eastAsia="宋体" w:hAnsi="宋体" w:cs="宋体"/>
          <w:b/>
          <w:bCs/>
          <w:szCs w:val="21"/>
        </w:rPr>
      </w:pPr>
      <w:bookmarkStart w:id="299" w:name="_Toc989188"/>
      <w:r>
        <w:rPr>
          <w:rFonts w:ascii="宋体" w:eastAsia="宋体" w:hAnsi="宋体" w:cs="宋体"/>
          <w:b/>
          <w:bCs/>
          <w:szCs w:val="21"/>
        </w:rPr>
        <w:t>（1） 重要的合营企业或联营企业</w:t>
      </w:r>
      <w:bookmarkEnd w:id="299"/>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68"/>
        <w:gridCol w:w="1275"/>
        <w:gridCol w:w="1701"/>
        <w:gridCol w:w="1276"/>
        <w:gridCol w:w="1134"/>
        <w:gridCol w:w="992"/>
        <w:gridCol w:w="1593"/>
      </w:tblGrid>
      <w:tr w:rsidR="007F3A90" w:rsidTr="002D6811">
        <w:trPr>
          <w:trHeight w:val="240"/>
        </w:trPr>
        <w:tc>
          <w:tcPr>
            <w:tcW w:w="166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合营企业或联营企业名称</w:t>
            </w:r>
          </w:p>
        </w:tc>
        <w:tc>
          <w:tcPr>
            <w:tcW w:w="127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主要经营地</w:t>
            </w:r>
          </w:p>
        </w:tc>
        <w:tc>
          <w:tcPr>
            <w:tcW w:w="17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212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5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对合营企业或联营企业投资的会计处理方法</w:t>
            </w:r>
          </w:p>
        </w:tc>
      </w:tr>
      <w:tr w:rsidR="007F3A90" w:rsidTr="002D6811">
        <w:trPr>
          <w:trHeight w:val="240"/>
        </w:trPr>
        <w:tc>
          <w:tcPr>
            <w:tcW w:w="166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27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70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直接</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间接</w:t>
            </w:r>
          </w:p>
        </w:tc>
        <w:tc>
          <w:tcPr>
            <w:tcW w:w="15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rsidTr="002D6811">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四川凯力威科技股份有限公司</w:t>
            </w:r>
          </w:p>
        </w:tc>
        <w:tc>
          <w:tcPr>
            <w:tcW w:w="127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简阳</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简阳市工业园区</w:t>
            </w:r>
          </w:p>
        </w:tc>
        <w:tc>
          <w:tcPr>
            <w:tcW w:w="12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制造业</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20.00%</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权益法</w:t>
            </w:r>
          </w:p>
        </w:tc>
      </w:tr>
      <w:tr w:rsidR="007F3A90" w:rsidTr="002D6811">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青岛华商汇通控股有限公司</w:t>
            </w:r>
          </w:p>
        </w:tc>
        <w:tc>
          <w:tcPr>
            <w:tcW w:w="127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青岛市市北区</w:t>
            </w:r>
          </w:p>
        </w:tc>
        <w:tc>
          <w:tcPr>
            <w:tcW w:w="12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投资</w:t>
            </w: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30.00%</w:t>
            </w: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权益法</w:t>
            </w:r>
          </w:p>
        </w:tc>
      </w:tr>
    </w:tbl>
    <w:p w:rsidR="007F3A90" w:rsidRDefault="00CC38FA">
      <w:pPr>
        <w:keepNext/>
        <w:keepLines/>
        <w:spacing w:before="300" w:after="300" w:line="280" w:lineRule="exact"/>
        <w:outlineLvl w:val="3"/>
        <w:rPr>
          <w:rFonts w:ascii="宋体" w:eastAsia="宋体" w:hAnsi="宋体" w:cs="宋体"/>
          <w:b/>
          <w:bCs/>
          <w:szCs w:val="21"/>
        </w:rPr>
      </w:pPr>
      <w:bookmarkStart w:id="300" w:name="_Toc989189"/>
      <w:r>
        <w:rPr>
          <w:rFonts w:ascii="宋体" w:eastAsia="宋体" w:hAnsi="宋体" w:cs="宋体"/>
          <w:b/>
          <w:bCs/>
          <w:szCs w:val="21"/>
        </w:rPr>
        <w:t>（2） 重要联营企业的主要财务信息</w:t>
      </w:r>
      <w:bookmarkEnd w:id="300"/>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F3A90" w:rsidTr="002D6811">
        <w:trPr>
          <w:trHeight w:val="240"/>
        </w:trPr>
        <w:tc>
          <w:tcPr>
            <w:tcW w:w="192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7F3A90" w:rsidTr="002D6811">
        <w:trPr>
          <w:trHeight w:val="240"/>
        </w:trPr>
        <w:tc>
          <w:tcPr>
            <w:tcW w:w="192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center"/>
              <w:rPr>
                <w:rFonts w:ascii="宋体" w:eastAsia="宋体" w:hAnsi="宋体" w:cs="宋体"/>
                <w:sz w:val="18"/>
                <w:szCs w:val="18"/>
              </w:rPr>
            </w:pPr>
            <w:r>
              <w:rPr>
                <w:rFonts w:ascii="宋体" w:eastAsia="宋体" w:hAnsi="宋体" w:cs="宋体"/>
                <w:sz w:val="18"/>
                <w:szCs w:val="18"/>
              </w:rPr>
              <w:t>四川凯力威科技股份有限公司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center"/>
              <w:rPr>
                <w:rFonts w:ascii="宋体" w:eastAsia="宋体" w:hAnsi="宋体" w:cs="宋体"/>
                <w:sz w:val="18"/>
                <w:szCs w:val="18"/>
              </w:rPr>
            </w:pPr>
            <w:r>
              <w:rPr>
                <w:rFonts w:ascii="宋体" w:eastAsia="宋体" w:hAnsi="宋体" w:cs="宋体"/>
                <w:sz w:val="18"/>
                <w:szCs w:val="18"/>
              </w:rPr>
              <w:t>青岛华商汇通控股有限公司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center"/>
              <w:rPr>
                <w:rFonts w:ascii="宋体" w:eastAsia="宋体" w:hAnsi="宋体" w:cs="宋体"/>
                <w:sz w:val="18"/>
                <w:szCs w:val="18"/>
              </w:rPr>
            </w:pPr>
            <w:r>
              <w:rPr>
                <w:rFonts w:ascii="宋体" w:eastAsia="宋体" w:hAnsi="宋体" w:cs="宋体"/>
                <w:sz w:val="18"/>
                <w:szCs w:val="18"/>
              </w:rPr>
              <w:t>四川凯力威科技股份有限公司</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center"/>
              <w:rPr>
                <w:rFonts w:ascii="宋体" w:eastAsia="宋体" w:hAnsi="宋体" w:cs="宋体"/>
                <w:sz w:val="18"/>
                <w:szCs w:val="18"/>
              </w:rPr>
            </w:pPr>
            <w:r>
              <w:rPr>
                <w:rFonts w:ascii="宋体" w:eastAsia="宋体" w:hAnsi="宋体" w:cs="宋体"/>
                <w:sz w:val="18"/>
                <w:szCs w:val="18"/>
              </w:rPr>
              <w:t>青岛华商汇通控股有限公司</w:t>
            </w:r>
          </w:p>
        </w:tc>
      </w:tr>
      <w:tr w:rsidR="007F3A90" w:rsidTr="002D681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382,526,817.26</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10,913,389.26</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432,004,310.27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13,104,871.03</w:t>
            </w:r>
          </w:p>
        </w:tc>
      </w:tr>
      <w:tr w:rsidR="007F3A90" w:rsidTr="002D681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489,958,227.56</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192,134,391.56</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503,745,303.55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192,134,391.56</w:t>
            </w:r>
          </w:p>
        </w:tc>
      </w:tr>
      <w:tr w:rsidR="007F3A90" w:rsidTr="002D681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资产合计</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872,485,044.82</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203,047,780.82</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935,749,613.82</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205,239,262.59</w:t>
            </w:r>
          </w:p>
        </w:tc>
      </w:tr>
      <w:tr w:rsidR="007F3A90" w:rsidTr="002D681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602,427,084.95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674,556,402.65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2,099,740.00</w:t>
            </w:r>
          </w:p>
        </w:tc>
      </w:tr>
      <w:tr w:rsidR="007F3A90" w:rsidTr="002D681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602,427,084.95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674,556,402.65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2,099,740.00</w:t>
            </w:r>
          </w:p>
        </w:tc>
      </w:tr>
      <w:tr w:rsidR="007F3A90" w:rsidTr="002D681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少数股东权益</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归属于母公司股东权益</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270,057,959.87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203,047,780.82</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261,193,211.17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203,139,522.59</w:t>
            </w:r>
          </w:p>
        </w:tc>
      </w:tr>
      <w:tr w:rsidR="007F3A90" w:rsidTr="002D681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按持股比例计算的净资产份额</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54,011,591.97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60,914,334.25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52,238,642.23</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60,941,856.78</w:t>
            </w:r>
          </w:p>
        </w:tc>
      </w:tr>
      <w:tr w:rsidR="007F3A90" w:rsidTr="002D681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调整事项</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--商誉</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对联营企业权益投资的账面价值</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53,939,314.16</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64,732,409.06</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52,166,364.42</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64,746,581.59</w:t>
            </w:r>
          </w:p>
        </w:tc>
      </w:tr>
      <w:tr w:rsidR="007F3A90" w:rsidTr="002D681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存在公开报价的联营企业权益投资的公允价值</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476,971,373.51</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511,388,074.61</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8,864,748.71</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-47,241.77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5,604,104.09</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130,940.45</w:t>
            </w:r>
          </w:p>
        </w:tc>
      </w:tr>
      <w:tr w:rsidR="007F3A90" w:rsidTr="002D681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终止经营的净利润</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其他综合收益</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8,864,748.71</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-47,241.77</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5,604,104.09</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130,940.45</w:t>
            </w:r>
          </w:p>
        </w:tc>
      </w:tr>
      <w:tr w:rsidR="007F3A90" w:rsidTr="002D6811">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本年度收到的来自联营企业的股利</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bl>
    <w:p w:rsidR="007F3A90" w:rsidRDefault="00CC38FA">
      <w:pPr>
        <w:pStyle w:val="2"/>
        <w:spacing w:before="300" w:after="300" w:line="320" w:lineRule="exact"/>
        <w:rPr>
          <w:rFonts w:ascii="宋体" w:eastAsia="宋体" w:hAnsi="宋体" w:cs="宋体"/>
          <w:b/>
          <w:bCs/>
          <w:sz w:val="24"/>
          <w:szCs w:val="24"/>
        </w:rPr>
      </w:pPr>
      <w:bookmarkStart w:id="301" w:name="_Toc989190"/>
      <w:r>
        <w:rPr>
          <w:rFonts w:ascii="宋体" w:eastAsia="宋体" w:hAnsi="宋体" w:cs="宋体"/>
          <w:b/>
          <w:bCs/>
          <w:sz w:val="24"/>
          <w:szCs w:val="24"/>
        </w:rPr>
        <w:lastRenderedPageBreak/>
        <w:t>十一、政府补助</w:t>
      </w:r>
      <w:bookmarkEnd w:id="301"/>
    </w:p>
    <w:p w:rsidR="007F3A90" w:rsidRDefault="00CC38FA">
      <w:pPr>
        <w:pStyle w:val="3"/>
        <w:spacing w:line="280" w:lineRule="exact"/>
        <w:jc w:val="left"/>
        <w:rPr>
          <w:rFonts w:ascii="宋体" w:hAnsi="宋体" w:cs="宋体"/>
          <w:b/>
          <w:bCs/>
        </w:rPr>
      </w:pPr>
      <w:bookmarkStart w:id="302" w:name="_Toc989191"/>
      <w:r>
        <w:rPr>
          <w:rFonts w:ascii="宋体" w:hAnsi="宋体" w:cs="宋体"/>
          <w:b/>
          <w:bCs/>
        </w:rPr>
        <w:t>1、报告期末按应收金额确认的政府补助</w:t>
      </w:r>
      <w:bookmarkEnd w:id="302"/>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未能在预计时点收到预计金额的政府补助的原因</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pStyle w:val="3"/>
        <w:spacing w:line="280" w:lineRule="exact"/>
        <w:jc w:val="left"/>
        <w:rPr>
          <w:rFonts w:ascii="宋体" w:hAnsi="宋体" w:cs="宋体"/>
          <w:b/>
          <w:bCs/>
        </w:rPr>
      </w:pPr>
      <w:bookmarkStart w:id="303" w:name="_Toc989192"/>
      <w:r>
        <w:rPr>
          <w:rFonts w:ascii="宋体" w:hAnsi="宋体" w:cs="宋体"/>
          <w:b/>
          <w:bCs/>
        </w:rPr>
        <w:t>2、涉及政府补助的负债项目</w:t>
      </w:r>
      <w:bookmarkEnd w:id="303"/>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pStyle w:val="3"/>
        <w:spacing w:line="280" w:lineRule="exact"/>
        <w:jc w:val="left"/>
        <w:rPr>
          <w:rFonts w:ascii="宋体" w:hAnsi="宋体" w:cs="宋体"/>
          <w:b/>
          <w:bCs/>
        </w:rPr>
      </w:pPr>
      <w:bookmarkStart w:id="304" w:name="_Toc989193"/>
      <w:r>
        <w:rPr>
          <w:rFonts w:ascii="宋体" w:hAnsi="宋体" w:cs="宋体"/>
          <w:b/>
          <w:bCs/>
        </w:rPr>
        <w:t>3、计入当期损益的政府补助</w:t>
      </w:r>
      <w:bookmarkEnd w:id="304"/>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会计科目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40,282,604.80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15,203,776.04</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营业外收入</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4,333.83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355,361.71</w:t>
            </w:r>
          </w:p>
        </w:tc>
      </w:tr>
    </w:tbl>
    <w:p w:rsidR="007F3A90" w:rsidRDefault="00CC38FA">
      <w:pPr>
        <w:pStyle w:val="2"/>
        <w:spacing w:before="300" w:after="300" w:line="320" w:lineRule="exact"/>
        <w:rPr>
          <w:rFonts w:ascii="宋体" w:eastAsia="宋体" w:hAnsi="宋体" w:cs="宋体"/>
          <w:b/>
          <w:bCs/>
          <w:sz w:val="24"/>
          <w:szCs w:val="24"/>
        </w:rPr>
      </w:pPr>
      <w:bookmarkStart w:id="305" w:name="_Toc989194"/>
      <w:r>
        <w:rPr>
          <w:rFonts w:ascii="宋体" w:eastAsia="宋体" w:hAnsi="宋体" w:cs="宋体"/>
          <w:b/>
          <w:bCs/>
          <w:sz w:val="24"/>
          <w:szCs w:val="24"/>
        </w:rPr>
        <w:t>十二、与金融工具相关的风险</w:t>
      </w:r>
      <w:bookmarkEnd w:id="305"/>
    </w:p>
    <w:p w:rsidR="007F3A90" w:rsidRDefault="00CC38FA">
      <w:pPr>
        <w:pStyle w:val="3"/>
        <w:spacing w:line="280" w:lineRule="exact"/>
        <w:jc w:val="left"/>
        <w:rPr>
          <w:rFonts w:ascii="宋体" w:hAnsi="宋体" w:cs="宋体"/>
          <w:b/>
          <w:bCs/>
        </w:rPr>
      </w:pPr>
      <w:bookmarkStart w:id="306" w:name="_Toc989195"/>
      <w:r>
        <w:rPr>
          <w:rFonts w:ascii="宋体" w:hAnsi="宋体" w:cs="宋体"/>
          <w:b/>
          <w:bCs/>
        </w:rPr>
        <w:t>1、金融工具产生的各类风险</w:t>
      </w:r>
      <w:bookmarkEnd w:id="306"/>
    </w:p>
    <w:p w:rsidR="00CC38FA" w:rsidRDefault="00CC38FA">
      <w:pPr>
        <w:pStyle w:val="a3"/>
        <w:spacing w:before="0" w:beforeAutospacing="0" w:after="0" w:afterAutospacing="0"/>
        <w:ind w:firstLine="360"/>
        <w:divId w:val="1071973743"/>
        <w:rPr>
          <w:rFonts w:ascii="等线" w:eastAsia="等线" w:hAnsi="等线"/>
          <w:sz w:val="21"/>
          <w:szCs w:val="21"/>
        </w:rPr>
      </w:pPr>
      <w:r>
        <w:rPr>
          <w:rFonts w:hint="eastAsia"/>
          <w:sz w:val="18"/>
          <w:szCs w:val="18"/>
        </w:rPr>
        <w:t>本公司的主要金融工具包括股权投资、应收账款、应付账款等，各项金融工具的详细</w:t>
      </w:r>
      <w:r w:rsidRPr="002D6811">
        <w:rPr>
          <w:rFonts w:hint="eastAsia"/>
          <w:color w:val="000000" w:themeColor="text1"/>
          <w:sz w:val="18"/>
          <w:szCs w:val="18"/>
        </w:rPr>
        <w:t>情况说明见本附注相</w:t>
      </w:r>
      <w:r>
        <w:rPr>
          <w:rFonts w:hint="eastAsia"/>
          <w:sz w:val="18"/>
          <w:szCs w:val="18"/>
        </w:rPr>
        <w:t>关项目。与这些金融工具有关的风险，以及本公司为降低这些风险所采取的风险管理政策如下所述。本公司管理层对这些风险敞口进行管理和监控以确保将上述风险控制在限定的范围之内。</w:t>
      </w:r>
    </w:p>
    <w:p w:rsidR="00CC38FA" w:rsidRDefault="00CC38FA">
      <w:pPr>
        <w:pStyle w:val="a3"/>
        <w:spacing w:before="0" w:beforeAutospacing="0" w:after="0" w:afterAutospacing="0"/>
        <w:ind w:firstLine="360"/>
        <w:divId w:val="1071973743"/>
        <w:rPr>
          <w:rFonts w:ascii="等线" w:eastAsia="等线" w:hAnsi="等线"/>
          <w:sz w:val="21"/>
          <w:szCs w:val="21"/>
        </w:rPr>
      </w:pPr>
      <w:r>
        <w:rPr>
          <w:rFonts w:hint="eastAsia"/>
          <w:sz w:val="18"/>
          <w:szCs w:val="18"/>
        </w:rPr>
        <w:t>本公司采用敏感性分析技术分析风险变量的合理、可能变化对当期损益或股东权益可能产生的影响。由于任何风险变量很少孤立地发生变化，而变量之间存在的相关性对某一风险变量的变化的最终影响金额将产生重大作用，因此下述内容是在假设每一变量的变化是在独立的情况下进行的。</w:t>
      </w:r>
    </w:p>
    <w:p w:rsidR="00CC38FA" w:rsidRDefault="00CC38FA">
      <w:pPr>
        <w:pStyle w:val="a3"/>
        <w:spacing w:before="0" w:beforeAutospacing="0" w:after="0" w:afterAutospacing="0"/>
        <w:ind w:firstLine="360"/>
        <w:divId w:val="1071973743"/>
        <w:rPr>
          <w:rFonts w:ascii="等线" w:eastAsia="等线" w:hAnsi="等线"/>
          <w:sz w:val="21"/>
          <w:szCs w:val="21"/>
        </w:rPr>
      </w:pPr>
      <w:r>
        <w:rPr>
          <w:rFonts w:hint="eastAsia"/>
          <w:sz w:val="18"/>
          <w:szCs w:val="18"/>
        </w:rPr>
        <w:t>1、 风险管理目标和政策</w:t>
      </w:r>
    </w:p>
    <w:p w:rsidR="00CC38FA" w:rsidRDefault="00CC38FA">
      <w:pPr>
        <w:pStyle w:val="a3"/>
        <w:spacing w:before="0" w:beforeAutospacing="0" w:after="0" w:afterAutospacing="0"/>
        <w:ind w:firstLine="360"/>
        <w:divId w:val="1071973743"/>
        <w:rPr>
          <w:rFonts w:ascii="等线" w:eastAsia="等线" w:hAnsi="等线"/>
          <w:sz w:val="21"/>
          <w:szCs w:val="21"/>
        </w:rPr>
      </w:pPr>
      <w:r>
        <w:rPr>
          <w:rFonts w:hint="eastAsia"/>
          <w:sz w:val="18"/>
          <w:szCs w:val="18"/>
        </w:rPr>
        <w:t>本公司从事风险管理的目标是在风险和收益之间取得适当的平衡，力求降低金融风险对本公司财务业绩的不利影响。基于该风险管理目标，本公司已制定风险管理政策以辨别和分析本公司所面临的风险，设定适当的风险可接受水平并设计相应的内部控制程序，以监控本公司的风险水平。本公司会定期审阅这些风险管理政策及有关内部控制系统，以适应市场情况或本公司经营活动的改变。本公司的内部审计部门也定期或随机检查内部控制系统的执行是否符合风险管理政策。</w:t>
      </w:r>
    </w:p>
    <w:p w:rsidR="00CC38FA" w:rsidRDefault="00CC38FA">
      <w:pPr>
        <w:pStyle w:val="a3"/>
        <w:spacing w:before="0" w:beforeAutospacing="0" w:after="0" w:afterAutospacing="0"/>
        <w:divId w:val="1071973743"/>
        <w:rPr>
          <w:rFonts w:ascii="等线" w:eastAsia="等线" w:hAnsi="等线"/>
          <w:sz w:val="21"/>
          <w:szCs w:val="21"/>
        </w:rPr>
      </w:pPr>
      <w:r>
        <w:rPr>
          <w:rFonts w:hint="eastAsia"/>
          <w:sz w:val="18"/>
          <w:szCs w:val="18"/>
        </w:rPr>
        <w:t>本公司的金融工具导致的主要风险是是信用风险及流动性风险。</w:t>
      </w:r>
    </w:p>
    <w:p w:rsidR="00CC38FA" w:rsidRDefault="00CC38FA">
      <w:pPr>
        <w:pStyle w:val="a3"/>
        <w:spacing w:before="0" w:beforeAutospacing="0" w:after="0" w:afterAutospacing="0"/>
        <w:ind w:firstLine="360"/>
        <w:divId w:val="1071973743"/>
        <w:rPr>
          <w:rFonts w:ascii="等线" w:eastAsia="等线" w:hAnsi="等线"/>
          <w:sz w:val="21"/>
          <w:szCs w:val="21"/>
        </w:rPr>
      </w:pPr>
      <w:r>
        <w:rPr>
          <w:rFonts w:hint="eastAsia"/>
          <w:sz w:val="18"/>
          <w:szCs w:val="18"/>
        </w:rPr>
        <w:t>（1）信用风险</w:t>
      </w:r>
    </w:p>
    <w:p w:rsidR="00CC38FA" w:rsidRDefault="00CC38FA">
      <w:pPr>
        <w:pStyle w:val="a3"/>
        <w:spacing w:before="0" w:beforeAutospacing="0" w:after="0" w:afterAutospacing="0"/>
        <w:ind w:firstLine="360"/>
        <w:divId w:val="1071973743"/>
        <w:rPr>
          <w:rFonts w:ascii="等线" w:eastAsia="等线" w:hAnsi="等线"/>
          <w:sz w:val="21"/>
          <w:szCs w:val="21"/>
        </w:rPr>
      </w:pPr>
      <w:r>
        <w:rPr>
          <w:rFonts w:hint="eastAsia"/>
          <w:sz w:val="18"/>
          <w:szCs w:val="18"/>
        </w:rPr>
        <w:t>信用风险，是指金融工具的一方不履行义务，造成另一方发生财务损失的风险。</w:t>
      </w:r>
    </w:p>
    <w:p w:rsidR="00CC38FA" w:rsidRDefault="00CC38FA">
      <w:pPr>
        <w:pStyle w:val="a3"/>
        <w:spacing w:before="0" w:beforeAutospacing="0" w:after="0" w:afterAutospacing="0"/>
        <w:ind w:firstLine="360"/>
        <w:divId w:val="1071973743"/>
        <w:rPr>
          <w:rFonts w:ascii="等线" w:eastAsia="等线" w:hAnsi="等线"/>
          <w:sz w:val="21"/>
          <w:szCs w:val="21"/>
        </w:rPr>
      </w:pPr>
      <w:r>
        <w:rPr>
          <w:rFonts w:hint="eastAsia"/>
          <w:sz w:val="18"/>
          <w:szCs w:val="18"/>
        </w:rPr>
        <w:t>本公司对信用风险按组合分类进行管理。信用风险主要产生于银行存款和应收款项等。</w:t>
      </w:r>
    </w:p>
    <w:p w:rsidR="00CC38FA" w:rsidRDefault="00CC38FA">
      <w:pPr>
        <w:pStyle w:val="a3"/>
        <w:spacing w:before="0" w:beforeAutospacing="0" w:after="0" w:afterAutospacing="0"/>
        <w:ind w:firstLine="360"/>
        <w:divId w:val="1071973743"/>
        <w:rPr>
          <w:rFonts w:ascii="等线" w:eastAsia="等线" w:hAnsi="等线"/>
          <w:sz w:val="21"/>
          <w:szCs w:val="21"/>
        </w:rPr>
      </w:pPr>
      <w:r>
        <w:rPr>
          <w:rFonts w:hint="eastAsia"/>
          <w:sz w:val="18"/>
          <w:szCs w:val="18"/>
        </w:rPr>
        <w:t>本公司银行存款主要存放于国有银行和其它大中型上市银行，本公司预期银行存款不存在重大的信用风险。</w:t>
      </w:r>
    </w:p>
    <w:p w:rsidR="00CC38FA" w:rsidRDefault="00CC38FA">
      <w:pPr>
        <w:pStyle w:val="a3"/>
        <w:spacing w:before="0" w:beforeAutospacing="0" w:after="0" w:afterAutospacing="0"/>
        <w:ind w:firstLine="360"/>
        <w:divId w:val="1071973743"/>
        <w:rPr>
          <w:rFonts w:ascii="等线" w:eastAsia="等线" w:hAnsi="等线"/>
          <w:sz w:val="21"/>
          <w:szCs w:val="21"/>
        </w:rPr>
      </w:pPr>
      <w:r>
        <w:rPr>
          <w:rFonts w:hint="eastAsia"/>
          <w:sz w:val="18"/>
          <w:szCs w:val="18"/>
        </w:rPr>
        <w:t>对于应收款项，本公司设定相关政策以控制信用风险敞口。本公司基于对债务人的财务状况、外部评级、从第三方获取担保的可能性、信用记录及其它因素诸如目前市场状况等评估债务人的信用资质并设置相应欠款额度与信用期限。本公司会定期对债务人信用记录进行监控，对于信用记录不良的债务人，本公司会采用书面催款、缩短信用期或取消信用期等方式，以确保本公司的整体信用风险在可控的范围内。</w:t>
      </w:r>
    </w:p>
    <w:p w:rsidR="00CC38FA" w:rsidRDefault="00CC38FA">
      <w:pPr>
        <w:pStyle w:val="a3"/>
        <w:spacing w:before="0" w:beforeAutospacing="0" w:after="0" w:afterAutospacing="0"/>
        <w:ind w:firstLine="360"/>
        <w:divId w:val="1071973743"/>
        <w:rPr>
          <w:rFonts w:ascii="等线" w:eastAsia="等线" w:hAnsi="等线"/>
          <w:sz w:val="21"/>
          <w:szCs w:val="21"/>
        </w:rPr>
      </w:pPr>
      <w:r>
        <w:rPr>
          <w:rFonts w:hint="eastAsia"/>
          <w:sz w:val="18"/>
          <w:szCs w:val="18"/>
        </w:rPr>
        <w:lastRenderedPageBreak/>
        <w:t>本公司所承受的最大信用风险敞口为资产负债表中每项金融资产的账面金额。本公司没有提供任何其他可能令本公司承受信用风险的担保。</w:t>
      </w:r>
    </w:p>
    <w:p w:rsidR="00CC38FA" w:rsidRDefault="00CC38FA">
      <w:pPr>
        <w:pStyle w:val="a3"/>
        <w:spacing w:before="0" w:beforeAutospacing="0" w:after="0" w:afterAutospacing="0"/>
        <w:ind w:firstLine="360"/>
        <w:divId w:val="1071973743"/>
        <w:rPr>
          <w:rFonts w:ascii="等线" w:eastAsia="等线" w:hAnsi="等线"/>
          <w:sz w:val="21"/>
          <w:szCs w:val="21"/>
        </w:rPr>
      </w:pPr>
      <w:r>
        <w:rPr>
          <w:rFonts w:hint="eastAsia"/>
          <w:sz w:val="18"/>
          <w:szCs w:val="18"/>
        </w:rPr>
        <w:t>（2）流动风险</w:t>
      </w:r>
    </w:p>
    <w:p w:rsidR="00CC38FA" w:rsidRDefault="00CC38FA">
      <w:pPr>
        <w:pStyle w:val="a3"/>
        <w:spacing w:before="0" w:beforeAutospacing="0" w:after="0" w:afterAutospacing="0"/>
        <w:ind w:firstLine="360"/>
        <w:divId w:val="1071973743"/>
        <w:rPr>
          <w:rFonts w:ascii="等线" w:eastAsia="等线" w:hAnsi="等线"/>
          <w:sz w:val="21"/>
          <w:szCs w:val="21"/>
        </w:rPr>
      </w:pPr>
      <w:r>
        <w:rPr>
          <w:rFonts w:hint="eastAsia"/>
          <w:sz w:val="18"/>
          <w:szCs w:val="18"/>
        </w:rPr>
        <w:t>流动性风险，是指本公司在履行以交付现金或其他金融资产的方式结算的义务时发生资金短缺的风险。</w:t>
      </w:r>
    </w:p>
    <w:p w:rsidR="00CC38FA" w:rsidRDefault="00CC38FA">
      <w:pPr>
        <w:pStyle w:val="a3"/>
        <w:spacing w:before="0" w:beforeAutospacing="0" w:after="0" w:afterAutospacing="0"/>
        <w:ind w:firstLine="360"/>
        <w:divId w:val="1071973743"/>
        <w:rPr>
          <w:rFonts w:ascii="等线" w:eastAsia="等线" w:hAnsi="等线"/>
          <w:sz w:val="21"/>
          <w:szCs w:val="21"/>
        </w:rPr>
      </w:pPr>
      <w:r>
        <w:rPr>
          <w:rFonts w:hint="eastAsia"/>
          <w:sz w:val="18"/>
          <w:szCs w:val="18"/>
        </w:rPr>
        <w:t>管理流动风险时，本公司保持管理层认为充分的现金及现金等价物并对其进行监控，以满足本公司经营需要，并降低现金流量波动的影响。</w:t>
      </w:r>
    </w:p>
    <w:p w:rsidR="00CC38FA" w:rsidRDefault="00CC38FA">
      <w:pPr>
        <w:pStyle w:val="a3"/>
        <w:spacing w:before="0" w:beforeAutospacing="0" w:after="0" w:afterAutospacing="0"/>
        <w:ind w:firstLine="360"/>
        <w:divId w:val="1071973743"/>
        <w:rPr>
          <w:rFonts w:ascii="等线" w:eastAsia="等线" w:hAnsi="等线"/>
          <w:sz w:val="21"/>
          <w:szCs w:val="21"/>
        </w:rPr>
      </w:pPr>
      <w:r>
        <w:rPr>
          <w:rFonts w:hint="eastAsia"/>
          <w:sz w:val="18"/>
          <w:szCs w:val="18"/>
        </w:rPr>
        <w:t>本公司通过经营业务产生的资金来筹措营运资金。</w:t>
      </w:r>
    </w:p>
    <w:p w:rsidR="00CC38FA" w:rsidRDefault="00CC38FA">
      <w:pPr>
        <w:pStyle w:val="a3"/>
        <w:spacing w:before="0" w:beforeAutospacing="0" w:after="0" w:afterAutospacing="0"/>
        <w:ind w:firstLine="360"/>
        <w:divId w:val="1071973743"/>
        <w:rPr>
          <w:rFonts w:ascii="等线" w:eastAsia="等线" w:hAnsi="等线"/>
          <w:sz w:val="21"/>
          <w:szCs w:val="21"/>
        </w:rPr>
      </w:pPr>
      <w:r>
        <w:rPr>
          <w:rFonts w:hint="eastAsia"/>
          <w:sz w:val="18"/>
          <w:szCs w:val="18"/>
        </w:rPr>
        <w:t>2、 资本管理</w:t>
      </w:r>
    </w:p>
    <w:p w:rsidR="00CC38FA" w:rsidRDefault="00CC38FA">
      <w:pPr>
        <w:pStyle w:val="a3"/>
        <w:spacing w:before="0" w:beforeAutospacing="0" w:after="0" w:afterAutospacing="0"/>
        <w:ind w:firstLine="360"/>
        <w:divId w:val="1071973743"/>
        <w:rPr>
          <w:rFonts w:ascii="等线" w:eastAsia="等线" w:hAnsi="等线"/>
          <w:sz w:val="21"/>
          <w:szCs w:val="21"/>
        </w:rPr>
      </w:pPr>
      <w:r>
        <w:rPr>
          <w:rFonts w:hint="eastAsia"/>
          <w:sz w:val="18"/>
          <w:szCs w:val="18"/>
        </w:rPr>
        <w:t>本公司资本管理政策的目标是为了保障本公司能够持续经营，从而为股东提供回报，并使其他利益相关者获益，同时维持最佳的资本结构以降低资本成本。</w:t>
      </w:r>
    </w:p>
    <w:p w:rsidR="00CC38FA" w:rsidRDefault="00CC38FA">
      <w:pPr>
        <w:pStyle w:val="a3"/>
        <w:spacing w:before="0" w:beforeAutospacing="0" w:after="0" w:afterAutospacing="0"/>
        <w:ind w:firstLine="360"/>
        <w:divId w:val="1071973743"/>
        <w:rPr>
          <w:rFonts w:ascii="等线" w:eastAsia="等线" w:hAnsi="等线"/>
          <w:sz w:val="21"/>
          <w:szCs w:val="21"/>
        </w:rPr>
      </w:pPr>
      <w:r>
        <w:rPr>
          <w:rFonts w:hint="eastAsia"/>
          <w:sz w:val="18"/>
          <w:szCs w:val="18"/>
        </w:rPr>
        <w:t>为了维持或调整资本结构，本公司可能会调整支付给股东的股利金额、向股东返还资本、发行新股或出售资产以减低债务。</w:t>
      </w:r>
    </w:p>
    <w:p w:rsidR="007F3A90" w:rsidRDefault="00CC38FA">
      <w:pPr>
        <w:pStyle w:val="3"/>
        <w:spacing w:line="280" w:lineRule="exact"/>
        <w:jc w:val="left"/>
        <w:rPr>
          <w:rFonts w:ascii="宋体" w:hAnsi="宋体" w:cs="宋体"/>
          <w:b/>
          <w:bCs/>
        </w:rPr>
      </w:pPr>
      <w:bookmarkStart w:id="307" w:name="_Toc989196"/>
      <w:r>
        <w:rPr>
          <w:rFonts w:ascii="宋体" w:hAnsi="宋体" w:cs="宋体"/>
          <w:b/>
          <w:bCs/>
        </w:rPr>
        <w:t>2、套期</w:t>
      </w:r>
      <w:bookmarkEnd w:id="307"/>
    </w:p>
    <w:p w:rsidR="007F3A90" w:rsidRDefault="00CC38FA">
      <w:pPr>
        <w:keepNext/>
        <w:keepLines/>
        <w:spacing w:before="300" w:after="300" w:line="280" w:lineRule="exact"/>
        <w:outlineLvl w:val="4"/>
        <w:rPr>
          <w:rFonts w:ascii="宋体" w:eastAsia="宋体" w:hAnsi="宋体" w:cs="宋体"/>
          <w:b/>
          <w:bCs/>
          <w:sz w:val="18"/>
          <w:szCs w:val="18"/>
        </w:rPr>
      </w:pPr>
      <w:bookmarkStart w:id="308" w:name="_Toc989197"/>
      <w:r>
        <w:rPr>
          <w:rFonts w:ascii="宋体" w:eastAsia="宋体" w:hAnsi="宋体" w:cs="宋体"/>
          <w:b/>
          <w:bCs/>
          <w:sz w:val="18"/>
          <w:szCs w:val="18"/>
        </w:rPr>
        <w:t>（1） 公司开展套期业务进行风险管理</w:t>
      </w:r>
      <w:bookmarkEnd w:id="308"/>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keepNext/>
        <w:keepLines/>
        <w:spacing w:before="300" w:after="300" w:line="280" w:lineRule="exact"/>
        <w:outlineLvl w:val="4"/>
        <w:rPr>
          <w:rFonts w:ascii="宋体" w:eastAsia="宋体" w:hAnsi="宋体" w:cs="宋体"/>
          <w:b/>
          <w:bCs/>
          <w:sz w:val="18"/>
          <w:szCs w:val="18"/>
        </w:rPr>
      </w:pPr>
      <w:bookmarkStart w:id="309" w:name="_Toc989198"/>
      <w:r>
        <w:rPr>
          <w:rFonts w:ascii="宋体" w:eastAsia="宋体" w:hAnsi="宋体" w:cs="宋体"/>
          <w:b/>
          <w:bCs/>
          <w:sz w:val="18"/>
          <w:szCs w:val="18"/>
        </w:rPr>
        <w:t>（2） 公司开展符合条件套期业务并应用套期会计</w:t>
      </w:r>
      <w:bookmarkEnd w:id="309"/>
    </w:p>
    <w:p w:rsidR="007F3A90" w:rsidRDefault="00CC38FA">
      <w:pPr>
        <w:keepNext/>
        <w:keepLines/>
        <w:spacing w:before="300" w:after="300" w:line="280" w:lineRule="exact"/>
        <w:outlineLvl w:val="3"/>
        <w:rPr>
          <w:rFonts w:ascii="宋体" w:eastAsia="宋体" w:hAnsi="宋体" w:cs="宋体"/>
          <w:b/>
          <w:bCs/>
          <w:sz w:val="18"/>
          <w:szCs w:val="18"/>
        </w:rPr>
      </w:pPr>
      <w:bookmarkStart w:id="310" w:name="_Toc989199"/>
      <w:r>
        <w:rPr>
          <w:rFonts w:ascii="宋体" w:eastAsia="宋体" w:hAnsi="宋体" w:cs="宋体"/>
          <w:b/>
          <w:bCs/>
          <w:sz w:val="18"/>
          <w:szCs w:val="18"/>
        </w:rPr>
        <w:t>（3） 公司开展套期业务进行风险管理、预期能实现风险管理目标但未应用套期会计</w:t>
      </w:r>
      <w:bookmarkEnd w:id="310"/>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pStyle w:val="3"/>
        <w:spacing w:line="280" w:lineRule="exact"/>
        <w:jc w:val="left"/>
        <w:rPr>
          <w:rFonts w:ascii="宋体" w:hAnsi="宋体" w:cs="宋体"/>
          <w:b/>
          <w:bCs/>
        </w:rPr>
      </w:pPr>
      <w:bookmarkStart w:id="311" w:name="_Toc989200"/>
      <w:r>
        <w:rPr>
          <w:rFonts w:ascii="宋体" w:hAnsi="宋体" w:cs="宋体"/>
          <w:b/>
          <w:bCs/>
        </w:rPr>
        <w:t>3、金融资产</w:t>
      </w:r>
      <w:bookmarkEnd w:id="311"/>
    </w:p>
    <w:p w:rsidR="007F3A90" w:rsidRDefault="00CC38FA">
      <w:pPr>
        <w:keepNext/>
        <w:keepLines/>
        <w:spacing w:before="300" w:after="300" w:line="280" w:lineRule="exact"/>
        <w:outlineLvl w:val="3"/>
        <w:rPr>
          <w:rFonts w:ascii="宋体" w:eastAsia="宋体" w:hAnsi="宋体" w:cs="宋体"/>
          <w:b/>
          <w:bCs/>
          <w:sz w:val="18"/>
          <w:szCs w:val="18"/>
        </w:rPr>
      </w:pPr>
      <w:bookmarkStart w:id="312" w:name="_Toc989201"/>
      <w:r>
        <w:rPr>
          <w:rFonts w:ascii="宋体" w:eastAsia="宋体" w:hAnsi="宋体" w:cs="宋体"/>
          <w:b/>
          <w:bCs/>
          <w:sz w:val="18"/>
          <w:szCs w:val="18"/>
        </w:rPr>
        <w:t>（1） 转移方式分类</w:t>
      </w:r>
      <w:bookmarkEnd w:id="312"/>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keepNext/>
        <w:keepLines/>
        <w:spacing w:before="300" w:after="300" w:line="280" w:lineRule="exact"/>
        <w:outlineLvl w:val="3"/>
        <w:rPr>
          <w:rFonts w:ascii="宋体" w:eastAsia="宋体" w:hAnsi="宋体" w:cs="宋体"/>
          <w:b/>
          <w:bCs/>
          <w:sz w:val="18"/>
          <w:szCs w:val="18"/>
        </w:rPr>
      </w:pPr>
      <w:bookmarkStart w:id="313" w:name="_Toc989202"/>
      <w:r>
        <w:rPr>
          <w:rFonts w:ascii="宋体" w:eastAsia="宋体" w:hAnsi="宋体" w:cs="宋体"/>
          <w:b/>
          <w:bCs/>
          <w:sz w:val="18"/>
          <w:szCs w:val="18"/>
        </w:rPr>
        <w:t>（2） 因转移而终止确认的金融资产</w:t>
      </w:r>
      <w:bookmarkEnd w:id="313"/>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keepNext/>
        <w:keepLines/>
        <w:spacing w:before="300" w:after="300" w:line="280" w:lineRule="exact"/>
        <w:outlineLvl w:val="3"/>
        <w:rPr>
          <w:rFonts w:ascii="宋体" w:eastAsia="宋体" w:hAnsi="宋体" w:cs="宋体"/>
          <w:b/>
          <w:bCs/>
          <w:sz w:val="18"/>
          <w:szCs w:val="18"/>
        </w:rPr>
      </w:pPr>
      <w:bookmarkStart w:id="314" w:name="_Toc989203"/>
      <w:r>
        <w:rPr>
          <w:rFonts w:ascii="宋体" w:eastAsia="宋体" w:hAnsi="宋体" w:cs="宋体"/>
          <w:b/>
          <w:bCs/>
          <w:sz w:val="18"/>
          <w:szCs w:val="18"/>
        </w:rPr>
        <w:t>（3） 继续涉入的资产转移金融资产</w:t>
      </w:r>
      <w:bookmarkEnd w:id="314"/>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pStyle w:val="2"/>
        <w:spacing w:before="300" w:after="300" w:line="320" w:lineRule="exact"/>
        <w:rPr>
          <w:rFonts w:ascii="宋体" w:eastAsia="宋体" w:hAnsi="宋体" w:cs="宋体"/>
          <w:b/>
          <w:bCs/>
          <w:sz w:val="24"/>
          <w:szCs w:val="24"/>
        </w:rPr>
      </w:pPr>
      <w:bookmarkStart w:id="315" w:name="_Toc989204"/>
      <w:r>
        <w:rPr>
          <w:rFonts w:ascii="宋体" w:eastAsia="宋体" w:hAnsi="宋体" w:cs="宋体"/>
          <w:b/>
          <w:bCs/>
          <w:sz w:val="24"/>
          <w:szCs w:val="24"/>
        </w:rPr>
        <w:t>十三、公允价值的披露</w:t>
      </w:r>
      <w:bookmarkEnd w:id="315"/>
    </w:p>
    <w:p w:rsidR="007F3A90" w:rsidRDefault="00CC38FA">
      <w:pPr>
        <w:pStyle w:val="3"/>
        <w:spacing w:line="280" w:lineRule="exact"/>
        <w:jc w:val="left"/>
        <w:rPr>
          <w:rFonts w:ascii="宋体" w:hAnsi="宋体" w:cs="宋体"/>
          <w:b/>
          <w:bCs/>
        </w:rPr>
      </w:pPr>
      <w:bookmarkStart w:id="316" w:name="_Toc989205"/>
      <w:r>
        <w:rPr>
          <w:rFonts w:ascii="宋体" w:hAnsi="宋体" w:cs="宋体"/>
          <w:b/>
          <w:bCs/>
        </w:rPr>
        <w:t>1、以公允价值计量的资产和负债的期末公允价值</w:t>
      </w:r>
      <w:bookmarkEnd w:id="316"/>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7F3A90">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7711"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期末公允价值</w:t>
            </w:r>
          </w:p>
        </w:tc>
      </w:tr>
      <w:tr w:rsidR="007F3A90">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第一层次公允价值计量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第二层次公允价值计量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第三层次公允价值计量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一、持续的公允价值计量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（一）交易性金融资产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1,396,034,804.90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1,396,034,804.90</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1.以公允价值计量且其变动计入当期损益的金融资产</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1,396,034,804.90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1,396,034,804.90</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（4）银行理财产品</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1,396,034,804.90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1,396,034,804.90</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（三）其他权益工具投资</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20,419,205.95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422,682,853.95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443,102,059.90</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（六）应收款项融资</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156,150,232.08</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156,150,232.08</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持续以公允价值计量的资产总额</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20,419,205.95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1,396,034,804.90</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578,833,086.03</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1,995,287,096.88</w:t>
            </w:r>
          </w:p>
        </w:tc>
      </w:tr>
      <w:tr w:rsidR="007F3A9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二、非持续的公允价值计量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7F3A90" w:rsidRDefault="00CC38FA">
      <w:pPr>
        <w:pStyle w:val="3"/>
        <w:spacing w:line="280" w:lineRule="exact"/>
        <w:jc w:val="left"/>
        <w:rPr>
          <w:rFonts w:ascii="宋体" w:hAnsi="宋体" w:cs="宋体"/>
          <w:b/>
          <w:bCs/>
        </w:rPr>
      </w:pPr>
      <w:bookmarkStart w:id="317" w:name="_Toc989206"/>
      <w:r>
        <w:rPr>
          <w:rFonts w:ascii="宋体" w:hAnsi="宋体" w:cs="宋体"/>
          <w:b/>
          <w:bCs/>
        </w:rPr>
        <w:t>2、持续和非持续第三层次公允价值计量项目，采用的估值技术和重要参数的定性及定量信息</w:t>
      </w:r>
      <w:bookmarkEnd w:id="317"/>
    </w:p>
    <w:p w:rsidR="00CC38FA" w:rsidRDefault="00CC38FA">
      <w:pPr>
        <w:pStyle w:val="a3"/>
        <w:spacing w:before="0" w:beforeAutospacing="0" w:after="0" w:afterAutospacing="0" w:line="400" w:lineRule="atLeast"/>
        <w:ind w:firstLine="400"/>
        <w:jc w:val="both"/>
        <w:divId w:val="1777288796"/>
      </w:pPr>
      <w:r>
        <w:rPr>
          <w:rFonts w:hint="eastAsia"/>
          <w:sz w:val="18"/>
          <w:szCs w:val="18"/>
        </w:rPr>
        <w:t>持续和非持续第三层次公允价值计量项目，采用的估值技术和重要参数的定性及定量信息对于不存在活跃市场交易的其他权益工具投资，公司对其他权益工具投资的和交易性金融资产的权益工具投资单位即不控制、共同控制，也不具有重大影响，系非上市或挂牌流通的企业股权，因用以确定公允价值的近期信息不足，因此本公司均采用成本计量。</w:t>
      </w:r>
    </w:p>
    <w:p w:rsidR="007F3A90" w:rsidRDefault="00CC38FA">
      <w:pPr>
        <w:pStyle w:val="2"/>
        <w:spacing w:before="300" w:after="300" w:line="320" w:lineRule="exact"/>
        <w:rPr>
          <w:rFonts w:ascii="宋体" w:eastAsia="宋体" w:hAnsi="宋体" w:cs="宋体"/>
          <w:b/>
          <w:bCs/>
          <w:sz w:val="24"/>
          <w:szCs w:val="24"/>
        </w:rPr>
      </w:pPr>
      <w:bookmarkStart w:id="318" w:name="_Toc989207"/>
      <w:r>
        <w:rPr>
          <w:rFonts w:ascii="宋体" w:eastAsia="宋体" w:hAnsi="宋体" w:cs="宋体"/>
          <w:b/>
          <w:bCs/>
          <w:sz w:val="24"/>
          <w:szCs w:val="24"/>
        </w:rPr>
        <w:t>十四、关联方及关联交易</w:t>
      </w:r>
      <w:bookmarkEnd w:id="318"/>
    </w:p>
    <w:p w:rsidR="007F3A90" w:rsidRDefault="00CC38FA">
      <w:pPr>
        <w:pStyle w:val="3"/>
        <w:spacing w:line="280" w:lineRule="exact"/>
        <w:jc w:val="left"/>
        <w:rPr>
          <w:rFonts w:ascii="宋体" w:hAnsi="宋体" w:cs="宋体"/>
          <w:b/>
          <w:bCs/>
        </w:rPr>
      </w:pPr>
      <w:bookmarkStart w:id="319" w:name="_Toc989208"/>
      <w:r>
        <w:rPr>
          <w:rFonts w:ascii="宋体" w:hAnsi="宋体" w:cs="宋体"/>
          <w:b/>
          <w:bCs/>
        </w:rPr>
        <w:t>1、本公司的母公司情况</w:t>
      </w:r>
      <w:bookmarkEnd w:id="319"/>
    </w:p>
    <w:p w:rsidR="00CC38FA" w:rsidRDefault="00CC38FA">
      <w:pPr>
        <w:pStyle w:val="a3"/>
        <w:spacing w:beforeAutospacing="0" w:afterAutospacing="0" w:line="240" w:lineRule="atLeast"/>
        <w:divId w:val="807212508"/>
        <w:rPr>
          <w:rFonts w:ascii="等线" w:eastAsia="等线" w:hAnsi="等线"/>
          <w:sz w:val="21"/>
          <w:szCs w:val="21"/>
        </w:rPr>
      </w:pPr>
      <w:r>
        <w:rPr>
          <w:rFonts w:hint="eastAsia"/>
          <w:sz w:val="18"/>
          <w:szCs w:val="18"/>
        </w:rPr>
        <w:t>本企业的母公司情况的说明</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02"/>
        <w:gridCol w:w="2186"/>
        <w:gridCol w:w="2186"/>
        <w:gridCol w:w="2352"/>
      </w:tblGrid>
      <w:tr w:rsidR="00CC38FA" w:rsidTr="00031125">
        <w:trPr>
          <w:divId w:val="807212508"/>
          <w:trHeight w:val="397"/>
        </w:trPr>
        <w:tc>
          <w:tcPr>
            <w:tcW w:w="2802" w:type="dxa"/>
            <w:shd w:val="clear" w:color="auto" w:fill="D3D3D3"/>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jc w:val="center"/>
              <w:rPr>
                <w:rFonts w:ascii="等线" w:eastAsia="等线" w:hAnsi="等线" w:cs="Times New Roman"/>
                <w:sz w:val="21"/>
                <w:szCs w:val="21"/>
              </w:rPr>
            </w:pPr>
            <w:r>
              <w:rPr>
                <w:rFonts w:cs="Times New Roman" w:hint="eastAsia"/>
                <w:sz w:val="18"/>
                <w:szCs w:val="18"/>
              </w:rPr>
              <w:t>控股股东名称</w:t>
            </w:r>
          </w:p>
        </w:tc>
        <w:tc>
          <w:tcPr>
            <w:tcW w:w="2186" w:type="dxa"/>
            <w:shd w:val="clear" w:color="auto" w:fill="D3D3D3"/>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jc w:val="center"/>
              <w:rPr>
                <w:rFonts w:ascii="等线" w:eastAsia="等线" w:hAnsi="等线" w:cs="Times New Roman"/>
                <w:sz w:val="21"/>
                <w:szCs w:val="21"/>
              </w:rPr>
            </w:pPr>
            <w:r>
              <w:rPr>
                <w:rFonts w:cs="Times New Roman" w:hint="eastAsia"/>
                <w:sz w:val="18"/>
                <w:szCs w:val="18"/>
              </w:rPr>
              <w:t>对本公司持股比例%</w:t>
            </w:r>
          </w:p>
        </w:tc>
        <w:tc>
          <w:tcPr>
            <w:tcW w:w="2186" w:type="dxa"/>
            <w:shd w:val="clear" w:color="auto" w:fill="D3D3D3"/>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jc w:val="center"/>
              <w:rPr>
                <w:rFonts w:ascii="等线" w:eastAsia="等线" w:hAnsi="等线" w:cs="Times New Roman"/>
                <w:sz w:val="21"/>
                <w:szCs w:val="21"/>
              </w:rPr>
            </w:pPr>
            <w:r>
              <w:rPr>
                <w:rFonts w:cs="Times New Roman" w:hint="eastAsia"/>
                <w:sz w:val="18"/>
                <w:szCs w:val="18"/>
              </w:rPr>
              <w:t>对本公司表决权比例%</w:t>
            </w:r>
          </w:p>
        </w:tc>
        <w:tc>
          <w:tcPr>
            <w:tcW w:w="2352" w:type="dxa"/>
            <w:shd w:val="clear" w:color="auto" w:fill="D3D3D3"/>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jc w:val="center"/>
              <w:rPr>
                <w:rFonts w:ascii="等线" w:eastAsia="等线" w:hAnsi="等线" w:cs="Times New Roman"/>
                <w:sz w:val="21"/>
                <w:szCs w:val="21"/>
              </w:rPr>
            </w:pPr>
            <w:r>
              <w:rPr>
                <w:rFonts w:cs="Times New Roman" w:hint="eastAsia"/>
                <w:sz w:val="18"/>
                <w:szCs w:val="18"/>
              </w:rPr>
              <w:t>与本公司关系</w:t>
            </w:r>
          </w:p>
        </w:tc>
      </w:tr>
      <w:tr w:rsidR="00CC38FA" w:rsidTr="00031125">
        <w:trPr>
          <w:divId w:val="807212508"/>
          <w:trHeight w:val="397"/>
        </w:trPr>
        <w:tc>
          <w:tcPr>
            <w:tcW w:w="2802" w:type="dxa"/>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jc w:val="center"/>
              <w:rPr>
                <w:rFonts w:ascii="等线" w:eastAsia="等线" w:hAnsi="等线" w:cs="Times New Roman"/>
                <w:sz w:val="21"/>
                <w:szCs w:val="21"/>
              </w:rPr>
            </w:pPr>
            <w:r>
              <w:rPr>
                <w:rFonts w:cs="Times New Roman" w:hint="eastAsia"/>
                <w:sz w:val="18"/>
                <w:szCs w:val="18"/>
              </w:rPr>
              <w:t>袁仲雪</w:t>
            </w:r>
          </w:p>
        </w:tc>
        <w:tc>
          <w:tcPr>
            <w:tcW w:w="2186" w:type="dxa"/>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jc w:val="center"/>
              <w:rPr>
                <w:rFonts w:ascii="等线" w:eastAsia="等线" w:hAnsi="等线" w:cs="Times New Roman"/>
                <w:sz w:val="21"/>
                <w:szCs w:val="21"/>
              </w:rPr>
            </w:pPr>
            <w:r>
              <w:rPr>
                <w:rFonts w:cs="Times New Roman" w:hint="eastAsia"/>
                <w:sz w:val="18"/>
                <w:szCs w:val="18"/>
              </w:rPr>
              <w:t>14.33</w:t>
            </w:r>
          </w:p>
        </w:tc>
        <w:tc>
          <w:tcPr>
            <w:tcW w:w="2186" w:type="dxa"/>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jc w:val="center"/>
              <w:rPr>
                <w:rFonts w:ascii="等线" w:eastAsia="等线" w:hAnsi="等线" w:cs="Times New Roman"/>
                <w:sz w:val="21"/>
                <w:szCs w:val="21"/>
              </w:rPr>
            </w:pPr>
            <w:r>
              <w:rPr>
                <w:rFonts w:cs="Times New Roman" w:hint="eastAsia"/>
                <w:sz w:val="18"/>
                <w:szCs w:val="18"/>
              </w:rPr>
              <w:t>14.33</w:t>
            </w:r>
          </w:p>
        </w:tc>
        <w:tc>
          <w:tcPr>
            <w:tcW w:w="2352" w:type="dxa"/>
            <w:tcMar>
              <w:top w:w="0" w:type="dxa"/>
              <w:left w:w="28" w:type="dxa"/>
              <w:bottom w:w="0" w:type="dxa"/>
              <w:right w:w="28" w:type="dxa"/>
            </w:tcMar>
            <w:vAlign w:val="center"/>
            <w:hideMark/>
          </w:tcPr>
          <w:p w:rsidR="00CC38FA" w:rsidRDefault="00CC38FA">
            <w:pPr>
              <w:pStyle w:val="a3"/>
              <w:spacing w:before="0" w:beforeAutospacing="0" w:after="0" w:afterAutospacing="0" w:line="240" w:lineRule="atLeast"/>
              <w:jc w:val="center"/>
              <w:rPr>
                <w:rFonts w:ascii="等线" w:eastAsia="等线" w:hAnsi="等线" w:cs="Times New Roman"/>
                <w:sz w:val="21"/>
                <w:szCs w:val="21"/>
              </w:rPr>
            </w:pPr>
            <w:r>
              <w:rPr>
                <w:rFonts w:cs="Times New Roman" w:hint="eastAsia"/>
                <w:sz w:val="18"/>
                <w:szCs w:val="18"/>
              </w:rPr>
              <w:t>控股股东、实际控制人</w:t>
            </w:r>
          </w:p>
        </w:tc>
      </w:tr>
    </w:tbl>
    <w:p w:rsidR="00CC38FA" w:rsidRDefault="00CC38FA">
      <w:pPr>
        <w:pStyle w:val="a3"/>
        <w:spacing w:before="0" w:beforeAutospacing="0" w:after="0" w:afterAutospacing="0"/>
        <w:divId w:val="807212508"/>
        <w:rPr>
          <w:rFonts w:ascii="等线" w:eastAsia="等线" w:hAnsi="等线"/>
          <w:sz w:val="21"/>
          <w:szCs w:val="21"/>
        </w:rPr>
      </w:pPr>
      <w:r>
        <w:rPr>
          <w:rFonts w:hint="eastAsia"/>
          <w:sz w:val="18"/>
          <w:szCs w:val="18"/>
        </w:rPr>
        <w:t>说明：</w:t>
      </w:r>
    </w:p>
    <w:p w:rsidR="00CC38FA" w:rsidRDefault="00CC38FA">
      <w:pPr>
        <w:pStyle w:val="a3"/>
        <w:spacing w:before="0" w:beforeAutospacing="0" w:after="0" w:afterAutospacing="0"/>
        <w:ind w:firstLine="360"/>
        <w:divId w:val="807212508"/>
        <w:rPr>
          <w:rFonts w:ascii="等线" w:eastAsia="等线" w:hAnsi="等线"/>
          <w:sz w:val="21"/>
          <w:szCs w:val="21"/>
        </w:rPr>
      </w:pPr>
      <w:r>
        <w:rPr>
          <w:rFonts w:hint="eastAsia"/>
          <w:sz w:val="18"/>
          <w:szCs w:val="18"/>
        </w:rPr>
        <w:t>公司控股股东袁仲雪先生及其控股的青岛瑞元鼎辉控股有限公司共持有公司股份150,725,486股，占公司股份总数的14.86%。</w:t>
      </w:r>
    </w:p>
    <w:p w:rsidR="00CC38FA" w:rsidRDefault="00CC38FA">
      <w:pPr>
        <w:pStyle w:val="a3"/>
        <w:spacing w:before="0" w:beforeAutospacing="0" w:after="0" w:afterAutospacing="0"/>
        <w:ind w:firstLine="360"/>
        <w:divId w:val="807212508"/>
        <w:rPr>
          <w:rFonts w:ascii="等线" w:eastAsia="等线" w:hAnsi="等线"/>
          <w:sz w:val="21"/>
          <w:szCs w:val="21"/>
        </w:rPr>
      </w:pPr>
      <w:r>
        <w:rPr>
          <w:rFonts w:hint="eastAsia"/>
          <w:sz w:val="18"/>
          <w:szCs w:val="18"/>
        </w:rPr>
        <w:t>2024年6月22日董事会公告袁仲雪先生将所持有本公司的部分股份予以质押，质押开始日2024年6月20日，质押到期日2027年6月2日，质权人青岛农村商业银行股份有限公司李沧支行，质押股份累计数量为115,000,000股，占其所持股份比例为79.14%，占公司总股本比例为11.34%。</w:t>
      </w:r>
    </w:p>
    <w:p w:rsidR="00CC38FA" w:rsidRDefault="00CC38FA">
      <w:pPr>
        <w:pStyle w:val="a3"/>
        <w:spacing w:before="0" w:beforeAutospacing="0" w:after="0" w:afterAutospacing="0"/>
        <w:ind w:firstLine="360"/>
        <w:divId w:val="807212508"/>
        <w:rPr>
          <w:rFonts w:ascii="等线" w:eastAsia="等线" w:hAnsi="等线"/>
          <w:sz w:val="21"/>
          <w:szCs w:val="21"/>
        </w:rPr>
      </w:pPr>
      <w:r>
        <w:rPr>
          <w:rFonts w:hint="eastAsia"/>
          <w:sz w:val="18"/>
          <w:szCs w:val="18"/>
        </w:rPr>
        <w:t>本企业最终控制方是袁仲雪。</w:t>
      </w:r>
    </w:p>
    <w:p w:rsidR="007F3A90" w:rsidRDefault="00CC38FA">
      <w:pPr>
        <w:pStyle w:val="3"/>
        <w:spacing w:line="280" w:lineRule="exact"/>
        <w:jc w:val="left"/>
        <w:rPr>
          <w:rFonts w:ascii="宋体" w:hAnsi="宋体" w:cs="宋体"/>
          <w:b/>
          <w:bCs/>
        </w:rPr>
      </w:pPr>
      <w:bookmarkStart w:id="320" w:name="_Toc989209"/>
      <w:r>
        <w:rPr>
          <w:rFonts w:ascii="宋体" w:hAnsi="宋体" w:cs="宋体"/>
          <w:b/>
          <w:bCs/>
        </w:rPr>
        <w:t>2、本企业的子公司情况</w:t>
      </w:r>
      <w:bookmarkEnd w:id="320"/>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本企业子公司的情况详见附注十、1、在子公司中的权益。</w:t>
      </w:r>
    </w:p>
    <w:p w:rsidR="007F3A90" w:rsidRDefault="00CC38FA">
      <w:pPr>
        <w:pStyle w:val="3"/>
        <w:spacing w:line="280" w:lineRule="exact"/>
        <w:jc w:val="left"/>
        <w:rPr>
          <w:rFonts w:ascii="宋体" w:hAnsi="宋体" w:cs="宋体"/>
          <w:b/>
          <w:bCs/>
        </w:rPr>
      </w:pPr>
      <w:bookmarkStart w:id="321" w:name="_Toc989210"/>
      <w:r>
        <w:rPr>
          <w:rFonts w:ascii="宋体" w:hAnsi="宋体" w:cs="宋体"/>
          <w:b/>
          <w:bCs/>
        </w:rPr>
        <w:t>3、本企业合营和联营企业情况</w:t>
      </w:r>
      <w:bookmarkEnd w:id="321"/>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本企业重要的合营或联营企业详见附注十、3、在合营安排或联营企业中的权益。</w:t>
      </w:r>
    </w:p>
    <w:p w:rsidR="007F3A90" w:rsidRDefault="00CC38FA">
      <w:pPr>
        <w:pStyle w:val="3"/>
        <w:spacing w:line="280" w:lineRule="exact"/>
        <w:jc w:val="left"/>
        <w:rPr>
          <w:rFonts w:ascii="宋体" w:hAnsi="宋体" w:cs="宋体"/>
          <w:b/>
          <w:bCs/>
        </w:rPr>
      </w:pPr>
      <w:bookmarkStart w:id="322" w:name="_Toc989211"/>
      <w:r>
        <w:rPr>
          <w:rFonts w:ascii="宋体" w:hAnsi="宋体" w:cs="宋体"/>
          <w:b/>
          <w:bCs/>
        </w:rPr>
        <w:lastRenderedPageBreak/>
        <w:t>4、其他关联方情况</w:t>
      </w:r>
      <w:bookmarkEnd w:id="32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7F3A9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其他关联方名称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其他关联方与本企业关系</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怡维怡橡胶研究院有限公司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实际控制人控制的法人组织</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赛轮集团股份有限公司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赛轮金宇轮胎销售有限公司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赛轮国际轮胎有限公司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赛轮（越南）有限公司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赛轮（东营）轮胎股份有限公司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山东赛轮金宇轮胎销售有限公司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赛轮金宇集团（香港）有限公司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赛轮（沈阳）轮胎有限公司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ACTR COMPANY LIMITED</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沈阳亨通能源有限公司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赛轮（潍坊）轮胎有限公司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CART TIRE CO., LTD.</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诸城涌安橡胶科技有限公司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青岛普元栋盛商业发展有限公司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赛轮轮胎销售有限公司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赛轮集团（香港）有限公司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青岛青维科技发展有限公司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联营企业</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四川凯力威科技股份有限公司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联营企业</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青岛纵联工业技术有限公司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联营企业</w:t>
            </w:r>
          </w:p>
        </w:tc>
      </w:tr>
      <w:tr w:rsidR="007F3A9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青岛华商汇通控股有限公司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联营企业</w:t>
            </w:r>
          </w:p>
        </w:tc>
      </w:tr>
    </w:tbl>
    <w:p w:rsidR="007F3A90" w:rsidRDefault="00CC38FA">
      <w:pPr>
        <w:pStyle w:val="3"/>
        <w:spacing w:line="280" w:lineRule="exact"/>
        <w:jc w:val="left"/>
        <w:rPr>
          <w:rFonts w:ascii="宋体" w:hAnsi="宋体" w:cs="宋体"/>
          <w:b/>
          <w:bCs/>
        </w:rPr>
      </w:pPr>
      <w:bookmarkStart w:id="323" w:name="_Toc989212"/>
      <w:r>
        <w:rPr>
          <w:rFonts w:ascii="宋体" w:hAnsi="宋体" w:cs="宋体"/>
          <w:b/>
          <w:bCs/>
        </w:rPr>
        <w:t>5、关联交易情况</w:t>
      </w:r>
      <w:bookmarkEnd w:id="323"/>
    </w:p>
    <w:p w:rsidR="007F3A90" w:rsidRDefault="00CC38FA">
      <w:pPr>
        <w:keepNext/>
        <w:keepLines/>
        <w:spacing w:before="300" w:after="300" w:line="280" w:lineRule="exact"/>
        <w:outlineLvl w:val="3"/>
        <w:rPr>
          <w:rFonts w:ascii="宋体" w:eastAsia="宋体" w:hAnsi="宋体" w:cs="宋体"/>
          <w:b/>
          <w:bCs/>
          <w:szCs w:val="21"/>
        </w:rPr>
      </w:pPr>
      <w:bookmarkStart w:id="324" w:name="_Toc989213"/>
      <w:r>
        <w:rPr>
          <w:rFonts w:ascii="宋体" w:eastAsia="宋体" w:hAnsi="宋体" w:cs="宋体"/>
          <w:b/>
          <w:bCs/>
          <w:szCs w:val="21"/>
        </w:rPr>
        <w:t>（1） 购销商品、提供和接受劳务的关联交易</w:t>
      </w:r>
      <w:bookmarkEnd w:id="324"/>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采购商品/接受劳务情况表</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763"/>
        <w:gridCol w:w="1451"/>
      </w:tblGrid>
      <w:tr w:rsidR="007F3A90" w:rsidTr="002D681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关联交易内容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获批的交易额度</w:t>
            </w:r>
          </w:p>
        </w:tc>
        <w:tc>
          <w:tcPr>
            <w:tcW w:w="176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是否超过交易额度</w:t>
            </w:r>
          </w:p>
        </w:tc>
        <w:tc>
          <w:tcPr>
            <w:tcW w:w="145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7F3A90" w:rsidTr="002D6811">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赛轮集团股份有限公司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材料费、产品、服务费</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3,714,211.28</w:t>
            </w:r>
          </w:p>
        </w:tc>
        <w:tc>
          <w:tcPr>
            <w:tcW w:w="160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7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7,398,594.48</w:t>
            </w:r>
          </w:p>
        </w:tc>
      </w:tr>
      <w:tr w:rsidR="007F3A90" w:rsidTr="002D6811">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赛轮（东营）轮胎股份有限公司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材料费</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662,733.05</w:t>
            </w:r>
          </w:p>
        </w:tc>
        <w:tc>
          <w:tcPr>
            <w:tcW w:w="160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7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608,391.43</w:t>
            </w:r>
          </w:p>
        </w:tc>
      </w:tr>
      <w:tr w:rsidR="007F3A90" w:rsidTr="002D6811">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赛轮香港销售公司</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材料费</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4,599,138.81</w:t>
            </w:r>
          </w:p>
        </w:tc>
        <w:tc>
          <w:tcPr>
            <w:tcW w:w="160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7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7F3A90" w:rsidTr="002D6811">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诸城涌安橡胶科技有限公司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材料费</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17,020.32</w:t>
            </w:r>
          </w:p>
        </w:tc>
        <w:tc>
          <w:tcPr>
            <w:tcW w:w="160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7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5,023.76</w:t>
            </w:r>
          </w:p>
        </w:tc>
      </w:tr>
      <w:tr w:rsidR="007F3A90" w:rsidTr="002D6811">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青岛普元栋盛商业发展有限公司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水电费</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114,407.03</w:t>
            </w:r>
          </w:p>
        </w:tc>
        <w:tc>
          <w:tcPr>
            <w:tcW w:w="160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7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181,894.57</w:t>
            </w:r>
          </w:p>
        </w:tc>
      </w:tr>
      <w:tr w:rsidR="007F3A90" w:rsidTr="002D6811">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青岛纵联工业技术有限公司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材料费</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6,915,033.15</w:t>
            </w:r>
          </w:p>
        </w:tc>
        <w:tc>
          <w:tcPr>
            <w:tcW w:w="160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76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3,563,147.35</w:t>
            </w:r>
          </w:p>
        </w:tc>
      </w:tr>
    </w:tbl>
    <w:p w:rsidR="007F3A90" w:rsidRDefault="00CC38FA">
      <w:pPr>
        <w:spacing w:before="100" w:after="40" w:line="240" w:lineRule="exact"/>
        <w:rPr>
          <w:rFonts w:ascii="宋体" w:eastAsia="宋体" w:hAnsi="宋体" w:cs="宋体"/>
          <w:sz w:val="18"/>
          <w:szCs w:val="18"/>
        </w:rPr>
      </w:pPr>
      <w:r>
        <w:rPr>
          <w:rFonts w:ascii="宋体" w:eastAsia="宋体" w:hAnsi="宋体" w:cs="宋体"/>
          <w:sz w:val="18"/>
          <w:szCs w:val="18"/>
        </w:rPr>
        <w:t>出售商品/提供劳务情况表</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802"/>
        <w:gridCol w:w="2835"/>
        <w:gridCol w:w="2126"/>
        <w:gridCol w:w="1876"/>
      </w:tblGrid>
      <w:tr w:rsidR="007F3A90" w:rsidTr="002D6811">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关联交易内容</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7F3A90" w:rsidTr="002D6811">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赛轮集团股份有限公司</w:t>
            </w:r>
          </w:p>
        </w:tc>
        <w:tc>
          <w:tcPr>
            <w:tcW w:w="28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产品、材料、水电费、服务费</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951,909,591.63</w:t>
            </w:r>
          </w:p>
        </w:tc>
        <w:tc>
          <w:tcPr>
            <w:tcW w:w="1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260,073,675.22</w:t>
            </w:r>
          </w:p>
        </w:tc>
      </w:tr>
      <w:tr w:rsidR="007F3A90" w:rsidTr="002D6811">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赛轮（东营）轮胎股份有限公司</w:t>
            </w:r>
          </w:p>
        </w:tc>
        <w:tc>
          <w:tcPr>
            <w:tcW w:w="28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产品、材料费</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224,787,987.06</w:t>
            </w:r>
          </w:p>
        </w:tc>
        <w:tc>
          <w:tcPr>
            <w:tcW w:w="1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138,159,449.96</w:t>
            </w:r>
          </w:p>
        </w:tc>
      </w:tr>
      <w:tr w:rsidR="007F3A90" w:rsidTr="002D6811">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赛轮（沈阳）轮胎有限公司</w:t>
            </w:r>
          </w:p>
        </w:tc>
        <w:tc>
          <w:tcPr>
            <w:tcW w:w="28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产品、材料费</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60,271,118.94</w:t>
            </w:r>
          </w:p>
        </w:tc>
        <w:tc>
          <w:tcPr>
            <w:tcW w:w="1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101,932,746.04</w:t>
            </w:r>
          </w:p>
        </w:tc>
      </w:tr>
      <w:tr w:rsidR="007F3A90" w:rsidTr="002D6811">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诸城涌安橡胶科技有限公司</w:t>
            </w:r>
          </w:p>
        </w:tc>
        <w:tc>
          <w:tcPr>
            <w:tcW w:w="28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产品、材料费</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55,981,184.23</w:t>
            </w:r>
          </w:p>
        </w:tc>
        <w:tc>
          <w:tcPr>
            <w:tcW w:w="1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44,116,896.13</w:t>
            </w:r>
          </w:p>
        </w:tc>
      </w:tr>
      <w:tr w:rsidR="007F3A90" w:rsidTr="002D6811">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沈阳亨通能源有限公司</w:t>
            </w:r>
          </w:p>
        </w:tc>
        <w:tc>
          <w:tcPr>
            <w:tcW w:w="28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产品、材料费</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20,299.56</w:t>
            </w:r>
          </w:p>
        </w:tc>
        <w:tc>
          <w:tcPr>
            <w:tcW w:w="1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56,780.53</w:t>
            </w:r>
          </w:p>
        </w:tc>
      </w:tr>
      <w:tr w:rsidR="007F3A90" w:rsidTr="002D6811">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lastRenderedPageBreak/>
              <w:t>赛轮香港销售公司</w:t>
            </w:r>
          </w:p>
        </w:tc>
        <w:tc>
          <w:tcPr>
            <w:tcW w:w="28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产品费</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481,761.42</w:t>
            </w:r>
          </w:p>
        </w:tc>
        <w:tc>
          <w:tcPr>
            <w:tcW w:w="1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7F3A90" w:rsidTr="002D6811">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ACTR COMPANY LIMITED</w:t>
            </w:r>
          </w:p>
        </w:tc>
        <w:tc>
          <w:tcPr>
            <w:tcW w:w="28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产品、服务费</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1,751,103.98</w:t>
            </w:r>
          </w:p>
        </w:tc>
        <w:tc>
          <w:tcPr>
            <w:tcW w:w="1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932,620.45</w:t>
            </w:r>
          </w:p>
        </w:tc>
      </w:tr>
      <w:tr w:rsidR="007F3A90" w:rsidTr="002D6811">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CART TIRE CO.,LTD</w:t>
            </w:r>
          </w:p>
        </w:tc>
        <w:tc>
          <w:tcPr>
            <w:tcW w:w="28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产品费</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192,555,026.78</w:t>
            </w:r>
          </w:p>
        </w:tc>
        <w:tc>
          <w:tcPr>
            <w:tcW w:w="1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239,798,551.23</w:t>
            </w:r>
          </w:p>
        </w:tc>
      </w:tr>
      <w:tr w:rsidR="007F3A90" w:rsidTr="002D6811">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赛轮（越南）有限公司</w:t>
            </w:r>
          </w:p>
        </w:tc>
        <w:tc>
          <w:tcPr>
            <w:tcW w:w="28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产品、材料费</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90,483,397.06</w:t>
            </w:r>
          </w:p>
        </w:tc>
        <w:tc>
          <w:tcPr>
            <w:tcW w:w="1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142,472,207.21</w:t>
            </w:r>
          </w:p>
        </w:tc>
      </w:tr>
      <w:tr w:rsidR="007F3A90" w:rsidTr="002D6811">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四川凯力威科技股份有限公司</w:t>
            </w:r>
          </w:p>
        </w:tc>
        <w:tc>
          <w:tcPr>
            <w:tcW w:w="283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产品、材料费</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317,300.88</w:t>
            </w:r>
          </w:p>
        </w:tc>
        <w:tc>
          <w:tcPr>
            <w:tcW w:w="1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863,097.35</w:t>
            </w:r>
          </w:p>
        </w:tc>
      </w:tr>
    </w:tbl>
    <w:p w:rsidR="007F3A90" w:rsidRDefault="00CC38FA">
      <w:pPr>
        <w:keepNext/>
        <w:keepLines/>
        <w:spacing w:before="300" w:after="300" w:line="280" w:lineRule="exact"/>
        <w:outlineLvl w:val="3"/>
        <w:rPr>
          <w:rFonts w:ascii="宋体" w:eastAsia="宋体" w:hAnsi="宋体" w:cs="宋体"/>
          <w:b/>
          <w:bCs/>
          <w:szCs w:val="21"/>
        </w:rPr>
      </w:pPr>
      <w:bookmarkStart w:id="325" w:name="_Toc989214"/>
      <w:r>
        <w:rPr>
          <w:rFonts w:ascii="宋体" w:eastAsia="宋体" w:hAnsi="宋体" w:cs="宋体"/>
          <w:b/>
          <w:bCs/>
          <w:szCs w:val="21"/>
        </w:rPr>
        <w:t>（2） 关联受托管理/承包及委托管理/出包情况</w:t>
      </w:r>
      <w:bookmarkEnd w:id="325"/>
    </w:p>
    <w:p w:rsidR="00CC38FA" w:rsidRDefault="00CC38FA">
      <w:pPr>
        <w:pStyle w:val="a3"/>
        <w:divId w:val="795677269"/>
        <w:rPr>
          <w:sz w:val="18"/>
          <w:szCs w:val="18"/>
        </w:rPr>
      </w:pPr>
      <w:r>
        <w:rPr>
          <w:rFonts w:hint="eastAsia"/>
          <w:sz w:val="18"/>
          <w:szCs w:val="18"/>
        </w:rPr>
        <w:t>无</w:t>
      </w:r>
    </w:p>
    <w:p w:rsidR="007F3A90" w:rsidRDefault="00CC38FA">
      <w:pPr>
        <w:keepNext/>
        <w:keepLines/>
        <w:spacing w:before="300" w:after="300" w:line="280" w:lineRule="exact"/>
        <w:outlineLvl w:val="3"/>
        <w:rPr>
          <w:rFonts w:ascii="宋体" w:eastAsia="宋体" w:hAnsi="宋体" w:cs="宋体"/>
          <w:b/>
          <w:bCs/>
          <w:szCs w:val="21"/>
        </w:rPr>
      </w:pPr>
      <w:bookmarkStart w:id="326" w:name="_Toc989215"/>
      <w:r>
        <w:rPr>
          <w:rFonts w:ascii="宋体" w:eastAsia="宋体" w:hAnsi="宋体" w:cs="宋体"/>
          <w:b/>
          <w:bCs/>
          <w:szCs w:val="21"/>
        </w:rPr>
        <w:t>（3） 关联租赁情况</w:t>
      </w:r>
      <w:bookmarkEnd w:id="326"/>
    </w:p>
    <w:p w:rsidR="00CC38FA" w:rsidRDefault="00CC38FA">
      <w:pPr>
        <w:pStyle w:val="a3"/>
        <w:divId w:val="1167282205"/>
        <w:rPr>
          <w:sz w:val="18"/>
          <w:szCs w:val="18"/>
        </w:rPr>
      </w:pPr>
      <w:r>
        <w:rPr>
          <w:rFonts w:hint="eastAsia"/>
          <w:sz w:val="18"/>
          <w:szCs w:val="18"/>
        </w:rPr>
        <w:t>无</w:t>
      </w:r>
    </w:p>
    <w:p w:rsidR="007F3A90" w:rsidRDefault="00CC38FA">
      <w:pPr>
        <w:keepNext/>
        <w:keepLines/>
        <w:spacing w:before="300" w:after="300" w:line="280" w:lineRule="exact"/>
        <w:outlineLvl w:val="3"/>
        <w:rPr>
          <w:rFonts w:ascii="宋体" w:eastAsia="宋体" w:hAnsi="宋体" w:cs="宋体"/>
          <w:b/>
          <w:bCs/>
          <w:szCs w:val="21"/>
        </w:rPr>
      </w:pPr>
      <w:bookmarkStart w:id="327" w:name="_Toc989216"/>
      <w:r>
        <w:rPr>
          <w:rFonts w:ascii="宋体" w:eastAsia="宋体" w:hAnsi="宋体" w:cs="宋体"/>
          <w:b/>
          <w:bCs/>
          <w:szCs w:val="21"/>
        </w:rPr>
        <w:t>（4） 关联担保情况</w:t>
      </w:r>
      <w:bookmarkEnd w:id="327"/>
    </w:p>
    <w:p w:rsidR="00CC38FA" w:rsidRDefault="00CC38FA">
      <w:pPr>
        <w:pStyle w:val="a3"/>
        <w:divId w:val="268247123"/>
        <w:rPr>
          <w:sz w:val="18"/>
          <w:szCs w:val="18"/>
        </w:rPr>
      </w:pPr>
      <w:r>
        <w:rPr>
          <w:rFonts w:hint="eastAsia"/>
          <w:sz w:val="18"/>
          <w:szCs w:val="18"/>
        </w:rPr>
        <w:t>无</w:t>
      </w:r>
    </w:p>
    <w:p w:rsidR="007F3A90" w:rsidRDefault="00CC38FA">
      <w:pPr>
        <w:keepNext/>
        <w:keepLines/>
        <w:spacing w:before="300" w:after="300" w:line="280" w:lineRule="exact"/>
        <w:outlineLvl w:val="3"/>
        <w:rPr>
          <w:rFonts w:ascii="宋体" w:eastAsia="宋体" w:hAnsi="宋体" w:cs="宋体"/>
          <w:b/>
          <w:bCs/>
          <w:szCs w:val="21"/>
        </w:rPr>
      </w:pPr>
      <w:bookmarkStart w:id="328" w:name="_Toc989217"/>
      <w:r>
        <w:rPr>
          <w:rFonts w:ascii="宋体" w:eastAsia="宋体" w:hAnsi="宋体" w:cs="宋体"/>
          <w:b/>
          <w:bCs/>
          <w:szCs w:val="21"/>
        </w:rPr>
        <w:t>（5） 关联方资金拆借</w:t>
      </w:r>
      <w:bookmarkEnd w:id="328"/>
    </w:p>
    <w:p w:rsidR="009631DD" w:rsidRDefault="009631DD" w:rsidP="009631DD">
      <w:pPr>
        <w:pStyle w:val="a3"/>
        <w:rPr>
          <w:sz w:val="18"/>
          <w:szCs w:val="18"/>
        </w:rPr>
      </w:pPr>
      <w:bookmarkStart w:id="329" w:name="_Toc989218"/>
      <w:r>
        <w:rPr>
          <w:rFonts w:hint="eastAsia"/>
          <w:sz w:val="18"/>
          <w:szCs w:val="18"/>
        </w:rPr>
        <w:t>无</w:t>
      </w:r>
    </w:p>
    <w:p w:rsidR="007F3A90" w:rsidRDefault="00CC38FA">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（6） 关联方资产转让、债务重组情况</w:t>
      </w:r>
      <w:bookmarkEnd w:id="329"/>
    </w:p>
    <w:p w:rsidR="009631DD" w:rsidRDefault="009631DD" w:rsidP="009631DD">
      <w:pPr>
        <w:pStyle w:val="a3"/>
        <w:rPr>
          <w:sz w:val="18"/>
          <w:szCs w:val="18"/>
        </w:rPr>
      </w:pPr>
      <w:r>
        <w:rPr>
          <w:rFonts w:hint="eastAsia"/>
          <w:sz w:val="18"/>
          <w:szCs w:val="18"/>
        </w:rPr>
        <w:t>无</w:t>
      </w:r>
    </w:p>
    <w:p w:rsidR="007F3A90" w:rsidRDefault="00CC38FA">
      <w:pPr>
        <w:keepNext/>
        <w:keepLines/>
        <w:spacing w:before="300" w:after="300" w:line="280" w:lineRule="exact"/>
        <w:outlineLvl w:val="3"/>
        <w:rPr>
          <w:rFonts w:ascii="宋体" w:eastAsia="宋体" w:hAnsi="宋体" w:cs="宋体"/>
          <w:b/>
          <w:bCs/>
          <w:szCs w:val="21"/>
        </w:rPr>
      </w:pPr>
      <w:bookmarkStart w:id="330" w:name="_Toc989219"/>
      <w:r>
        <w:rPr>
          <w:rFonts w:ascii="宋体" w:eastAsia="宋体" w:hAnsi="宋体" w:cs="宋体"/>
          <w:b/>
          <w:bCs/>
          <w:szCs w:val="21"/>
        </w:rPr>
        <w:t>（7） 关键管理人员报酬</w:t>
      </w:r>
      <w:bookmarkEnd w:id="330"/>
    </w:p>
    <w:p w:rsidR="009631DD" w:rsidRDefault="009631DD" w:rsidP="009631DD">
      <w:pPr>
        <w:pStyle w:val="a3"/>
        <w:rPr>
          <w:sz w:val="18"/>
          <w:szCs w:val="18"/>
        </w:rPr>
      </w:pPr>
      <w:r>
        <w:rPr>
          <w:rFonts w:hint="eastAsia"/>
          <w:sz w:val="18"/>
          <w:szCs w:val="18"/>
        </w:rPr>
        <w:t>无</w:t>
      </w:r>
    </w:p>
    <w:p w:rsidR="007F3A90" w:rsidRDefault="00CC38FA">
      <w:pPr>
        <w:keepNext/>
        <w:keepLines/>
        <w:spacing w:before="300" w:after="300" w:line="280" w:lineRule="exact"/>
        <w:outlineLvl w:val="3"/>
        <w:rPr>
          <w:rFonts w:ascii="宋体" w:eastAsia="宋体" w:hAnsi="宋体" w:cs="宋体"/>
          <w:b/>
          <w:bCs/>
          <w:szCs w:val="21"/>
        </w:rPr>
      </w:pPr>
      <w:bookmarkStart w:id="331" w:name="_Toc989220"/>
      <w:r>
        <w:rPr>
          <w:rFonts w:ascii="宋体" w:eastAsia="宋体" w:hAnsi="宋体" w:cs="宋体"/>
          <w:b/>
          <w:bCs/>
          <w:szCs w:val="21"/>
        </w:rPr>
        <w:t>（8） 其他关联交易</w:t>
      </w:r>
      <w:bookmarkEnd w:id="331"/>
    </w:p>
    <w:p w:rsidR="00CC38FA" w:rsidRDefault="00CC38FA">
      <w:pPr>
        <w:pStyle w:val="a3"/>
        <w:divId w:val="410591234"/>
        <w:rPr>
          <w:sz w:val="18"/>
          <w:szCs w:val="18"/>
        </w:rPr>
      </w:pPr>
      <w:r>
        <w:rPr>
          <w:rFonts w:hint="eastAsia"/>
          <w:sz w:val="18"/>
          <w:szCs w:val="18"/>
        </w:rPr>
        <w:t>无</w:t>
      </w:r>
    </w:p>
    <w:p w:rsidR="007F3A90" w:rsidRDefault="00CC38FA">
      <w:pPr>
        <w:pStyle w:val="3"/>
        <w:spacing w:line="280" w:lineRule="exact"/>
        <w:jc w:val="left"/>
        <w:rPr>
          <w:rFonts w:ascii="宋体" w:hAnsi="宋体" w:cs="宋体"/>
          <w:b/>
          <w:bCs/>
        </w:rPr>
      </w:pPr>
      <w:bookmarkStart w:id="332" w:name="_Toc989221"/>
      <w:r>
        <w:rPr>
          <w:rFonts w:ascii="宋体" w:hAnsi="宋体" w:cs="宋体"/>
          <w:b/>
          <w:bCs/>
        </w:rPr>
        <w:t>6、关联方应收应付款项</w:t>
      </w:r>
      <w:bookmarkEnd w:id="332"/>
    </w:p>
    <w:p w:rsidR="007F3A90" w:rsidRDefault="00CC38FA">
      <w:pPr>
        <w:keepNext/>
        <w:keepLines/>
        <w:spacing w:before="300" w:after="300" w:line="280" w:lineRule="exact"/>
        <w:outlineLvl w:val="3"/>
        <w:rPr>
          <w:rFonts w:ascii="宋体" w:eastAsia="宋体" w:hAnsi="宋体" w:cs="宋体"/>
          <w:b/>
          <w:bCs/>
          <w:szCs w:val="21"/>
        </w:rPr>
      </w:pPr>
      <w:bookmarkStart w:id="333" w:name="_Toc989222"/>
      <w:r>
        <w:rPr>
          <w:rFonts w:ascii="宋体" w:eastAsia="宋体" w:hAnsi="宋体" w:cs="宋体"/>
          <w:b/>
          <w:bCs/>
          <w:szCs w:val="21"/>
        </w:rPr>
        <w:t>（1） 应收项目</w:t>
      </w:r>
      <w:bookmarkEnd w:id="333"/>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42"/>
        <w:gridCol w:w="2552"/>
        <w:gridCol w:w="1559"/>
        <w:gridCol w:w="1418"/>
        <w:gridCol w:w="1559"/>
        <w:gridCol w:w="1309"/>
      </w:tblGrid>
      <w:tr w:rsidR="007F3A90" w:rsidTr="002D6811">
        <w:trPr>
          <w:trHeight w:val="240"/>
        </w:trPr>
        <w:tc>
          <w:tcPr>
            <w:tcW w:w="124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项目名称</w:t>
            </w:r>
          </w:p>
        </w:tc>
        <w:tc>
          <w:tcPr>
            <w:tcW w:w="255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297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286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rsidTr="002D6811">
        <w:trPr>
          <w:trHeight w:val="240"/>
        </w:trPr>
        <w:tc>
          <w:tcPr>
            <w:tcW w:w="124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255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0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r>
      <w:tr w:rsidR="007F3A90" w:rsidTr="002D6811">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应收账款</w:t>
            </w:r>
          </w:p>
        </w:tc>
        <w:tc>
          <w:tcPr>
            <w:tcW w:w="25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赛轮集团股份有限公司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219,544,977.74</w:t>
            </w: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4,390,899.56</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61,414,735.81</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6,497,315.41</w:t>
            </w:r>
          </w:p>
        </w:tc>
      </w:tr>
      <w:tr w:rsidR="007F3A90" w:rsidTr="002D6811">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应收账款</w:t>
            </w:r>
          </w:p>
        </w:tc>
        <w:tc>
          <w:tcPr>
            <w:tcW w:w="25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赛轮（东营）轮胎股份有限公司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48,525,182.09</w:t>
            </w: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970,503.64</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96,045,771.47</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5,049,783.82</w:t>
            </w:r>
          </w:p>
        </w:tc>
      </w:tr>
      <w:tr w:rsidR="007F3A90" w:rsidTr="002D6811">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应收账款</w:t>
            </w:r>
          </w:p>
        </w:tc>
        <w:tc>
          <w:tcPr>
            <w:tcW w:w="25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赛轮（沈阳）轮胎有限公司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22,691,047.55</w:t>
            </w: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633,802.67</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35,061,179.78</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2,264,385.97</w:t>
            </w:r>
          </w:p>
        </w:tc>
      </w:tr>
      <w:tr w:rsidR="007F3A90" w:rsidTr="002D6811">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应收账款</w:t>
            </w:r>
          </w:p>
        </w:tc>
        <w:tc>
          <w:tcPr>
            <w:tcW w:w="25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ACTR</w:t>
            </w:r>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COMPANY LIMITED</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542,476.28</w:t>
            </w: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10,849.53</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208,257.18</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4,165.14</w:t>
            </w:r>
          </w:p>
        </w:tc>
      </w:tr>
      <w:tr w:rsidR="007F3A90" w:rsidTr="002D6811">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应收账款</w:t>
            </w:r>
          </w:p>
        </w:tc>
        <w:tc>
          <w:tcPr>
            <w:tcW w:w="25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赛轮(越南)有限公司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47,220,529.84</w:t>
            </w: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944,410.60</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37,648,411.31</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752,968.23</w:t>
            </w:r>
          </w:p>
        </w:tc>
      </w:tr>
      <w:tr w:rsidR="007F3A90" w:rsidTr="002D6811">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应收账款</w:t>
            </w:r>
          </w:p>
        </w:tc>
        <w:tc>
          <w:tcPr>
            <w:tcW w:w="25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四川凯力威科技股份有限公</w:t>
            </w:r>
            <w:r>
              <w:rPr>
                <w:rFonts w:ascii="宋体" w:eastAsia="宋体" w:hAnsi="宋体" w:cs="宋体"/>
                <w:sz w:val="18"/>
                <w:szCs w:val="18"/>
              </w:rPr>
              <w:lastRenderedPageBreak/>
              <w:t>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lastRenderedPageBreak/>
              <w:t>1,564,028.97</w:t>
            </w: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31,280.58</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1,919,338.70</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38,386.77</w:t>
            </w:r>
          </w:p>
        </w:tc>
      </w:tr>
      <w:tr w:rsidR="007F3A90" w:rsidTr="002D6811">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lastRenderedPageBreak/>
              <w:t>应收账款</w:t>
            </w:r>
          </w:p>
        </w:tc>
        <w:tc>
          <w:tcPr>
            <w:tcW w:w="25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怡维怡橡胶研究院有限公司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4,300.00</w:t>
            </w: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430.00</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4,300.00</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215.00</w:t>
            </w:r>
          </w:p>
        </w:tc>
      </w:tr>
      <w:tr w:rsidR="007F3A90" w:rsidTr="002D6811">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应收账款</w:t>
            </w:r>
          </w:p>
        </w:tc>
        <w:tc>
          <w:tcPr>
            <w:tcW w:w="25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沈阳亨通能源有限公司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17,797.56</w:t>
            </w: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355.95</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10,857.11</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217.14</w:t>
            </w:r>
          </w:p>
        </w:tc>
      </w:tr>
      <w:tr w:rsidR="007F3A90" w:rsidTr="002D6811">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应收账款</w:t>
            </w:r>
          </w:p>
        </w:tc>
        <w:tc>
          <w:tcPr>
            <w:tcW w:w="25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青岛纵联工业技术有限公司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0.64</w:t>
            </w: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0.06</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925,711.54</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342,251.01</w:t>
            </w:r>
          </w:p>
        </w:tc>
      </w:tr>
      <w:tr w:rsidR="007F3A90" w:rsidTr="002D6811">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应收账款</w:t>
            </w:r>
          </w:p>
        </w:tc>
        <w:tc>
          <w:tcPr>
            <w:tcW w:w="25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CART</w:t>
            </w:r>
            <w:r w:rsidR="002D6811">
              <w:rPr>
                <w:rFonts w:ascii="宋体" w:eastAsia="宋体" w:hAnsi="宋体" w:cs="宋体" w:hint="eastAsia"/>
                <w:sz w:val="18"/>
                <w:szCs w:val="18"/>
              </w:rPr>
              <w:t xml:space="preserve"> </w:t>
            </w:r>
            <w:r>
              <w:rPr>
                <w:rFonts w:ascii="宋体" w:eastAsia="宋体" w:hAnsi="宋体" w:cs="宋体"/>
                <w:sz w:val="18"/>
                <w:szCs w:val="18"/>
              </w:rPr>
              <w:t>TIRE CO., LTD.</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31,687,304.59</w:t>
            </w: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633,746.09</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152,335,690.78</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3,046,713.81</w:t>
            </w:r>
          </w:p>
        </w:tc>
      </w:tr>
      <w:tr w:rsidR="007F3A90" w:rsidTr="002D6811">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应收账款</w:t>
            </w:r>
          </w:p>
        </w:tc>
        <w:tc>
          <w:tcPr>
            <w:tcW w:w="25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诸城涌安橡胶科技有限公司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23,475,284.77</w:t>
            </w: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469,505.69</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6,252,050.40</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245,041.01</w:t>
            </w:r>
          </w:p>
        </w:tc>
      </w:tr>
      <w:tr w:rsidR="007F3A90" w:rsidTr="002D6811">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应收账款</w:t>
            </w:r>
          </w:p>
        </w:tc>
        <w:tc>
          <w:tcPr>
            <w:tcW w:w="25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赛轮轮胎销售有限公司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384,390.40</w:t>
            </w: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7,687.81</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预付款项</w:t>
            </w:r>
          </w:p>
        </w:tc>
        <w:tc>
          <w:tcPr>
            <w:tcW w:w="25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赛轮集团股份有限公司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0.64</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预付款项</w:t>
            </w:r>
          </w:p>
        </w:tc>
        <w:tc>
          <w:tcPr>
            <w:tcW w:w="25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赛轮（东营）轮胎股份有限公司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11,679.94</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预付款项</w:t>
            </w:r>
          </w:p>
        </w:tc>
        <w:tc>
          <w:tcPr>
            <w:tcW w:w="25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青岛纵联工业技术有限公司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44,572.02</w:t>
            </w: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27,202.12</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其他应收款</w:t>
            </w:r>
          </w:p>
        </w:tc>
        <w:tc>
          <w:tcPr>
            <w:tcW w:w="25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青岛纵联工业技术有限公司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100,000.00</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50,000.00</w:t>
            </w:r>
          </w:p>
        </w:tc>
      </w:tr>
      <w:tr w:rsidR="007F3A90" w:rsidTr="002D6811">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其他应收款</w:t>
            </w:r>
          </w:p>
        </w:tc>
        <w:tc>
          <w:tcPr>
            <w:tcW w:w="255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赛轮集团股份有限公司</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500,000.00</w:t>
            </w:r>
          </w:p>
        </w:tc>
        <w:tc>
          <w:tcPr>
            <w:tcW w:w="130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500,000.00</w:t>
            </w:r>
          </w:p>
        </w:tc>
      </w:tr>
    </w:tbl>
    <w:p w:rsidR="007F3A90" w:rsidRDefault="00CC38FA">
      <w:pPr>
        <w:keepNext/>
        <w:keepLines/>
        <w:spacing w:before="300" w:after="300" w:line="280" w:lineRule="exact"/>
        <w:outlineLvl w:val="3"/>
        <w:rPr>
          <w:rFonts w:ascii="宋体" w:eastAsia="宋体" w:hAnsi="宋体" w:cs="宋体"/>
          <w:b/>
          <w:bCs/>
          <w:szCs w:val="21"/>
        </w:rPr>
      </w:pPr>
      <w:bookmarkStart w:id="334" w:name="_Toc989223"/>
      <w:r>
        <w:rPr>
          <w:rFonts w:ascii="宋体" w:eastAsia="宋体" w:hAnsi="宋体" w:cs="宋体"/>
          <w:b/>
          <w:bCs/>
          <w:szCs w:val="21"/>
        </w:rPr>
        <w:t>（2） 应付项目</w:t>
      </w:r>
      <w:bookmarkEnd w:id="334"/>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68"/>
        <w:gridCol w:w="3260"/>
        <w:gridCol w:w="2301"/>
        <w:gridCol w:w="2410"/>
      </w:tblGrid>
      <w:tr w:rsidR="007F3A90" w:rsidTr="002D6811">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项目名称</w:t>
            </w:r>
          </w:p>
        </w:tc>
        <w:tc>
          <w:tcPr>
            <w:tcW w:w="326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230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7F3A90" w:rsidTr="002D6811">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应付账款</w:t>
            </w:r>
          </w:p>
        </w:tc>
        <w:tc>
          <w:tcPr>
            <w:tcW w:w="32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赛轮集团股份有限公司</w:t>
            </w:r>
          </w:p>
        </w:tc>
        <w:tc>
          <w:tcPr>
            <w:tcW w:w="23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3,777,421.84</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2,282,197.43</w:t>
            </w:r>
          </w:p>
        </w:tc>
      </w:tr>
      <w:tr w:rsidR="007F3A90" w:rsidTr="002D6811">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应付账款</w:t>
            </w:r>
          </w:p>
        </w:tc>
        <w:tc>
          <w:tcPr>
            <w:tcW w:w="32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青岛纵联工业技术有限公司</w:t>
            </w:r>
          </w:p>
        </w:tc>
        <w:tc>
          <w:tcPr>
            <w:tcW w:w="23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7,264,073.23</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9,602,581.23</w:t>
            </w:r>
          </w:p>
        </w:tc>
      </w:tr>
      <w:tr w:rsidR="007F3A90" w:rsidTr="002D6811">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应付账款</w:t>
            </w:r>
          </w:p>
        </w:tc>
        <w:tc>
          <w:tcPr>
            <w:tcW w:w="32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赛轮（东营）轮胎股份有限公司</w:t>
            </w:r>
          </w:p>
        </w:tc>
        <w:tc>
          <w:tcPr>
            <w:tcW w:w="23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723,676.80</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137,634.00</w:t>
            </w:r>
          </w:p>
        </w:tc>
      </w:tr>
      <w:tr w:rsidR="007F3A90" w:rsidTr="002D6811">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其他应付款</w:t>
            </w:r>
          </w:p>
        </w:tc>
        <w:tc>
          <w:tcPr>
            <w:tcW w:w="32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赛轮集团股份有限公司</w:t>
            </w:r>
          </w:p>
        </w:tc>
        <w:tc>
          <w:tcPr>
            <w:tcW w:w="23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157,203.11</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2D6811">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其他应付款</w:t>
            </w:r>
          </w:p>
        </w:tc>
        <w:tc>
          <w:tcPr>
            <w:tcW w:w="32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怡维怡橡胶研究院有限公司</w:t>
            </w:r>
          </w:p>
        </w:tc>
        <w:tc>
          <w:tcPr>
            <w:tcW w:w="23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5,152.73</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5,152.73</w:t>
            </w:r>
          </w:p>
        </w:tc>
      </w:tr>
      <w:tr w:rsidR="007F3A90" w:rsidTr="002D6811">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预收款项</w:t>
            </w:r>
          </w:p>
        </w:tc>
        <w:tc>
          <w:tcPr>
            <w:tcW w:w="32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赛轮集团股份有限公司</w:t>
            </w:r>
          </w:p>
        </w:tc>
        <w:tc>
          <w:tcPr>
            <w:tcW w:w="23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15,702,604.71</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297,567,176.41</w:t>
            </w:r>
          </w:p>
        </w:tc>
      </w:tr>
      <w:tr w:rsidR="007F3A90" w:rsidTr="002D6811">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预收款项</w:t>
            </w:r>
          </w:p>
        </w:tc>
        <w:tc>
          <w:tcPr>
            <w:tcW w:w="32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赛轮（东营）轮胎股份有限公司</w:t>
            </w:r>
          </w:p>
        </w:tc>
        <w:tc>
          <w:tcPr>
            <w:tcW w:w="23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2,705,186.99</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1,090,100.00</w:t>
            </w:r>
          </w:p>
        </w:tc>
      </w:tr>
      <w:tr w:rsidR="007F3A90" w:rsidTr="002D6811">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预收款项</w:t>
            </w:r>
          </w:p>
        </w:tc>
        <w:tc>
          <w:tcPr>
            <w:tcW w:w="32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CART</w:t>
            </w:r>
            <w:r w:rsidR="002D6811">
              <w:rPr>
                <w:rFonts w:ascii="宋体" w:eastAsia="宋体" w:hAnsi="宋体" w:cs="宋体" w:hint="eastAsia"/>
                <w:sz w:val="18"/>
                <w:szCs w:val="18"/>
              </w:rPr>
              <w:t xml:space="preserve"> </w:t>
            </w:r>
            <w:r>
              <w:rPr>
                <w:rFonts w:ascii="宋体" w:eastAsia="宋体" w:hAnsi="宋体" w:cs="宋体"/>
                <w:sz w:val="18"/>
                <w:szCs w:val="18"/>
              </w:rPr>
              <w:t>TIRE CO.,LTD.</w:t>
            </w:r>
          </w:p>
        </w:tc>
        <w:tc>
          <w:tcPr>
            <w:tcW w:w="23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87,229,528.09</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40,942,207.96</w:t>
            </w:r>
          </w:p>
        </w:tc>
      </w:tr>
      <w:tr w:rsidR="007F3A90" w:rsidTr="002D6811">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预收款项</w:t>
            </w:r>
          </w:p>
        </w:tc>
        <w:tc>
          <w:tcPr>
            <w:tcW w:w="32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赛轮（越南）有限公司</w:t>
            </w:r>
          </w:p>
        </w:tc>
        <w:tc>
          <w:tcPr>
            <w:tcW w:w="23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106,567,799.24</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101,648,182.86</w:t>
            </w:r>
          </w:p>
        </w:tc>
      </w:tr>
      <w:tr w:rsidR="007F3A90" w:rsidTr="002D6811">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预收款项</w:t>
            </w:r>
          </w:p>
        </w:tc>
        <w:tc>
          <w:tcPr>
            <w:tcW w:w="32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诸城涌安橡胶科技有限公司</w:t>
            </w:r>
          </w:p>
        </w:tc>
        <w:tc>
          <w:tcPr>
            <w:tcW w:w="230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10,007,592.94</w:t>
            </w:r>
          </w:p>
        </w:tc>
      </w:tr>
      <w:tr w:rsidR="007F3A90" w:rsidTr="002D6811">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预收款项</w:t>
            </w:r>
          </w:p>
        </w:tc>
        <w:tc>
          <w:tcPr>
            <w:tcW w:w="326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赛轮轮胎销售有限公司</w:t>
            </w:r>
          </w:p>
        </w:tc>
        <w:tc>
          <w:tcPr>
            <w:tcW w:w="23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28,767,550.00</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bl>
    <w:p w:rsidR="007F3A90" w:rsidRDefault="00CC38FA">
      <w:pPr>
        <w:pStyle w:val="3"/>
        <w:spacing w:line="280" w:lineRule="exact"/>
        <w:jc w:val="left"/>
        <w:rPr>
          <w:rFonts w:ascii="宋体" w:hAnsi="宋体" w:cs="宋体"/>
          <w:b/>
          <w:bCs/>
        </w:rPr>
      </w:pPr>
      <w:bookmarkStart w:id="335" w:name="_Toc989224"/>
      <w:r>
        <w:rPr>
          <w:rFonts w:ascii="宋体" w:hAnsi="宋体" w:cs="宋体"/>
          <w:b/>
          <w:bCs/>
        </w:rPr>
        <w:t>7、关联方承诺</w:t>
      </w:r>
      <w:bookmarkEnd w:id="335"/>
    </w:p>
    <w:p w:rsidR="00CC38FA" w:rsidRDefault="00CC38FA">
      <w:pPr>
        <w:pStyle w:val="a3"/>
        <w:divId w:val="1844080890"/>
        <w:rPr>
          <w:sz w:val="18"/>
          <w:szCs w:val="18"/>
        </w:rPr>
      </w:pPr>
      <w:r>
        <w:rPr>
          <w:rFonts w:hint="eastAsia"/>
          <w:sz w:val="18"/>
          <w:szCs w:val="18"/>
        </w:rPr>
        <w:t>无</w:t>
      </w:r>
    </w:p>
    <w:p w:rsidR="007F3A90" w:rsidRDefault="00CC38FA">
      <w:pPr>
        <w:pStyle w:val="3"/>
        <w:spacing w:line="280" w:lineRule="exact"/>
        <w:jc w:val="left"/>
        <w:rPr>
          <w:rFonts w:ascii="宋体" w:hAnsi="宋体" w:cs="宋体"/>
          <w:b/>
          <w:bCs/>
        </w:rPr>
      </w:pPr>
      <w:bookmarkStart w:id="336" w:name="_Toc989225"/>
      <w:r>
        <w:rPr>
          <w:rFonts w:ascii="宋体" w:hAnsi="宋体" w:cs="宋体"/>
          <w:b/>
          <w:bCs/>
        </w:rPr>
        <w:t>8、其他</w:t>
      </w:r>
      <w:bookmarkEnd w:id="336"/>
    </w:p>
    <w:p w:rsidR="00CC38FA" w:rsidRDefault="00CC38FA">
      <w:pPr>
        <w:pStyle w:val="a3"/>
        <w:divId w:val="1556813249"/>
        <w:rPr>
          <w:sz w:val="18"/>
          <w:szCs w:val="18"/>
        </w:rPr>
      </w:pPr>
      <w:r>
        <w:rPr>
          <w:rFonts w:hint="eastAsia"/>
          <w:sz w:val="18"/>
          <w:szCs w:val="18"/>
        </w:rPr>
        <w:t>无</w:t>
      </w:r>
    </w:p>
    <w:p w:rsidR="007F3A90" w:rsidRDefault="00CC38FA">
      <w:pPr>
        <w:pStyle w:val="2"/>
        <w:spacing w:before="300" w:after="300" w:line="320" w:lineRule="exact"/>
        <w:rPr>
          <w:rFonts w:ascii="宋体" w:eastAsia="宋体" w:hAnsi="宋体" w:cs="宋体"/>
          <w:b/>
          <w:bCs/>
          <w:sz w:val="24"/>
          <w:szCs w:val="24"/>
        </w:rPr>
      </w:pPr>
      <w:bookmarkStart w:id="337" w:name="_Toc989226"/>
      <w:r>
        <w:rPr>
          <w:rFonts w:ascii="宋体" w:eastAsia="宋体" w:hAnsi="宋体" w:cs="宋体"/>
          <w:b/>
          <w:bCs/>
          <w:sz w:val="24"/>
          <w:szCs w:val="24"/>
        </w:rPr>
        <w:t>十五、股份支付</w:t>
      </w:r>
      <w:bookmarkEnd w:id="337"/>
    </w:p>
    <w:p w:rsidR="007F3A90" w:rsidRDefault="00CC38FA">
      <w:pPr>
        <w:pStyle w:val="3"/>
        <w:spacing w:line="280" w:lineRule="exact"/>
        <w:jc w:val="left"/>
        <w:rPr>
          <w:rFonts w:ascii="宋体" w:hAnsi="宋体" w:cs="宋体"/>
          <w:b/>
          <w:bCs/>
        </w:rPr>
      </w:pPr>
      <w:bookmarkStart w:id="338" w:name="_Toc989227"/>
      <w:r>
        <w:rPr>
          <w:rFonts w:ascii="宋体" w:hAnsi="宋体" w:cs="宋体"/>
          <w:b/>
          <w:bCs/>
        </w:rPr>
        <w:t>1、股份支付总体情况</w:t>
      </w:r>
      <w:bookmarkEnd w:id="338"/>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7F3A90">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授予对象类别</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本期授予</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本期行权</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本期解锁</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本期失效</w:t>
            </w:r>
          </w:p>
        </w:tc>
      </w:tr>
      <w:tr w:rsidR="007F3A90">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r>
      <w:tr w:rsidR="007F3A9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关键员工</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2,364,570.00</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14,480,626.68</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151,200.00</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583,632.00</w:t>
            </w:r>
          </w:p>
        </w:tc>
      </w:tr>
      <w:tr w:rsidR="007F3A9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2,364,570.00</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14,480,626.68</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151,200.00</w:t>
            </w:r>
          </w:p>
        </w:tc>
        <w:tc>
          <w:tcPr>
            <w:tcW w:w="107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583,632.00</w:t>
            </w:r>
          </w:p>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期末发行在外的股票期权或其他权益工具</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rsidR="00CC38FA" w:rsidRDefault="00CC38FA">
      <w:pPr>
        <w:pStyle w:val="a3"/>
        <w:spacing w:before="0" w:beforeAutospacing="0" w:after="0" w:afterAutospacing="0" w:line="400" w:lineRule="atLeast"/>
        <w:ind w:left="482"/>
        <w:jc w:val="both"/>
        <w:divId w:val="1569802970"/>
      </w:pPr>
      <w:r>
        <w:rPr>
          <w:rStyle w:val="a4"/>
          <w:rFonts w:hint="eastAsia"/>
          <w:sz w:val="18"/>
          <w:szCs w:val="18"/>
        </w:rPr>
        <w:t>（1）2019年期</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36"/>
        <w:gridCol w:w="5670"/>
      </w:tblGrid>
      <w:tr w:rsidR="00CC38FA" w:rsidTr="00031125">
        <w:trPr>
          <w:divId w:val="1569802970"/>
          <w:trHeight w:val="380"/>
          <w:tblHeader/>
        </w:trPr>
        <w:tc>
          <w:tcPr>
            <w:tcW w:w="3936" w:type="dxa"/>
            <w:shd w:val="clear" w:color="auto" w:fill="D3D3D3"/>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jc w:val="center"/>
              <w:rPr>
                <w:rFonts w:ascii="等线" w:eastAsia="等线" w:hAnsi="等线"/>
                <w:sz w:val="21"/>
                <w:szCs w:val="21"/>
              </w:rPr>
            </w:pPr>
            <w:r>
              <w:rPr>
                <w:rFonts w:hint="eastAsia"/>
                <w:color w:val="000000"/>
                <w:sz w:val="18"/>
                <w:szCs w:val="18"/>
              </w:rPr>
              <w:t>项目</w:t>
            </w:r>
          </w:p>
        </w:tc>
        <w:tc>
          <w:tcPr>
            <w:tcW w:w="5670" w:type="dxa"/>
            <w:shd w:val="clear" w:color="auto" w:fill="D3D3D3"/>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jc w:val="center"/>
              <w:rPr>
                <w:rFonts w:ascii="等线" w:eastAsia="等线" w:hAnsi="等线"/>
                <w:sz w:val="21"/>
                <w:szCs w:val="21"/>
              </w:rPr>
            </w:pPr>
            <w:r>
              <w:rPr>
                <w:rFonts w:hint="eastAsia"/>
                <w:color w:val="000000"/>
                <w:sz w:val="18"/>
                <w:szCs w:val="18"/>
              </w:rPr>
              <w:t>相关内容</w:t>
            </w:r>
          </w:p>
        </w:tc>
      </w:tr>
      <w:tr w:rsidR="00CC38FA" w:rsidTr="00031125">
        <w:trPr>
          <w:divId w:val="1569802970"/>
          <w:trHeight w:val="360"/>
        </w:trPr>
        <w:tc>
          <w:tcPr>
            <w:tcW w:w="3936" w:type="dxa"/>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公司本期授予的各项权益工具总额</w:t>
            </w:r>
          </w:p>
        </w:tc>
        <w:tc>
          <w:tcPr>
            <w:tcW w:w="5670" w:type="dxa"/>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 </w:t>
            </w:r>
          </w:p>
        </w:tc>
      </w:tr>
      <w:tr w:rsidR="00CC38FA" w:rsidTr="00031125">
        <w:trPr>
          <w:divId w:val="1569802970"/>
          <w:trHeight w:val="360"/>
        </w:trPr>
        <w:tc>
          <w:tcPr>
            <w:tcW w:w="3936" w:type="dxa"/>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公司本期行权的各项权益工具总额（元）</w:t>
            </w:r>
          </w:p>
        </w:tc>
        <w:tc>
          <w:tcPr>
            <w:tcW w:w="5670" w:type="dxa"/>
            <w:tcMar>
              <w:top w:w="0" w:type="dxa"/>
              <w:left w:w="108" w:type="dxa"/>
              <w:bottom w:w="0" w:type="dxa"/>
              <w:right w:w="108" w:type="dxa"/>
            </w:tcMar>
            <w:hideMark/>
          </w:tcPr>
          <w:p w:rsidR="00CC38FA" w:rsidRDefault="00CC38FA">
            <w:pPr>
              <w:pStyle w:val="a3"/>
              <w:spacing w:before="0" w:beforeAutospacing="0" w:after="0" w:afterAutospacing="0" w:line="240" w:lineRule="atLeast"/>
              <w:jc w:val="right"/>
              <w:rPr>
                <w:rFonts w:ascii="等线" w:eastAsia="等线" w:hAnsi="等线"/>
                <w:sz w:val="21"/>
                <w:szCs w:val="21"/>
              </w:rPr>
            </w:pPr>
            <w:r>
              <w:rPr>
                <w:rFonts w:ascii="等线" w:eastAsia="等线" w:hAnsi="等线" w:hint="eastAsia"/>
                <w:sz w:val="21"/>
                <w:szCs w:val="21"/>
              </w:rPr>
              <w:t> </w:t>
            </w:r>
          </w:p>
        </w:tc>
      </w:tr>
      <w:tr w:rsidR="00CC38FA" w:rsidTr="00031125">
        <w:trPr>
          <w:divId w:val="1569802970"/>
          <w:trHeight w:val="360"/>
        </w:trPr>
        <w:tc>
          <w:tcPr>
            <w:tcW w:w="3936" w:type="dxa"/>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公司本期失效的各项权益工具总额</w:t>
            </w:r>
          </w:p>
        </w:tc>
        <w:tc>
          <w:tcPr>
            <w:tcW w:w="5670" w:type="dxa"/>
            <w:tcMar>
              <w:top w:w="0" w:type="dxa"/>
              <w:left w:w="108" w:type="dxa"/>
              <w:bottom w:w="0" w:type="dxa"/>
              <w:right w:w="108" w:type="dxa"/>
            </w:tcMa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 </w:t>
            </w:r>
          </w:p>
        </w:tc>
      </w:tr>
      <w:tr w:rsidR="00CC38FA" w:rsidTr="00031125">
        <w:trPr>
          <w:divId w:val="1569802970"/>
          <w:trHeight w:val="510"/>
        </w:trPr>
        <w:tc>
          <w:tcPr>
            <w:tcW w:w="3936" w:type="dxa"/>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公司期末发行在外的股份期权行权价格的范围和合同剩余期限</w:t>
            </w:r>
          </w:p>
        </w:tc>
        <w:tc>
          <w:tcPr>
            <w:tcW w:w="5670" w:type="dxa"/>
            <w:tcMar>
              <w:top w:w="0" w:type="dxa"/>
              <w:left w:w="108" w:type="dxa"/>
              <w:bottom w:w="0" w:type="dxa"/>
              <w:right w:w="108" w:type="dxa"/>
            </w:tcMa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 </w:t>
            </w:r>
          </w:p>
        </w:tc>
      </w:tr>
      <w:tr w:rsidR="00CC38FA" w:rsidTr="00031125">
        <w:trPr>
          <w:divId w:val="1569802970"/>
          <w:trHeight w:val="495"/>
        </w:trPr>
        <w:tc>
          <w:tcPr>
            <w:tcW w:w="3936" w:type="dxa"/>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公司期末其他权益工具行权价格的范围和合同剩余期限</w:t>
            </w:r>
          </w:p>
        </w:tc>
        <w:tc>
          <w:tcPr>
            <w:tcW w:w="5670" w:type="dxa"/>
            <w:tcMar>
              <w:top w:w="0" w:type="dxa"/>
              <w:left w:w="108" w:type="dxa"/>
              <w:bottom w:w="0" w:type="dxa"/>
              <w:right w:w="108" w:type="dxa"/>
            </w:tcMa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授予价格为2.13元/股；员工持股计划的有效期自限制性股票授予登记完成之日起至激励对象获授的限制性股票全部解除限售或回购注销之日止，最长锁定期为36个月</w:t>
            </w:r>
          </w:p>
        </w:tc>
      </w:tr>
    </w:tbl>
    <w:p w:rsidR="00CC38FA" w:rsidRDefault="00CC38FA">
      <w:pPr>
        <w:pStyle w:val="a3"/>
        <w:spacing w:before="0" w:beforeAutospacing="0" w:after="0" w:afterAutospacing="0"/>
        <w:ind w:firstLine="360"/>
        <w:divId w:val="1569802970"/>
        <w:rPr>
          <w:rFonts w:ascii="等线" w:eastAsia="等线" w:hAnsi="等线"/>
          <w:sz w:val="21"/>
          <w:szCs w:val="21"/>
        </w:rPr>
      </w:pPr>
      <w:r>
        <w:rPr>
          <w:rFonts w:hint="eastAsia"/>
          <w:sz w:val="18"/>
          <w:szCs w:val="18"/>
        </w:rPr>
        <w:t>①公司于2019年12月29日召开第七届董事会第四次会议审议通过了《关于〈2019年员工持股计划（草案）〉及其摘要的议案》、《关于制定〈员工持股计划管理办法〉的议案》，确定本期员工持股计划的参加对象为经董事会认定对公司发展有贡献的董事、监事、高级管理人员、公司中高层管理人员、公司核心技术及其他员工，本次员工持股计划参加对象总人数为不超过98人（含），认购27,360,900股限制性股票，股票面值1元，认购价格为2.13元/股。本期以权益结算的股份支付确认的费用总额5,292,054.07元。</w:t>
      </w:r>
    </w:p>
    <w:p w:rsidR="00CC38FA" w:rsidRDefault="00CC38FA">
      <w:pPr>
        <w:pStyle w:val="a3"/>
        <w:spacing w:before="0" w:beforeAutospacing="0" w:after="0" w:afterAutospacing="0"/>
        <w:ind w:firstLine="360"/>
        <w:divId w:val="1569802970"/>
        <w:rPr>
          <w:rFonts w:ascii="等线" w:eastAsia="等线" w:hAnsi="等线"/>
          <w:sz w:val="21"/>
          <w:szCs w:val="21"/>
        </w:rPr>
      </w:pPr>
      <w:r>
        <w:rPr>
          <w:rFonts w:hint="eastAsia"/>
          <w:sz w:val="18"/>
          <w:szCs w:val="18"/>
        </w:rPr>
        <w:t>②本期员工持股计划通过非交易性过户等法律法规许可的方式所获标的股票，分三期解锁，解锁时点分别为自公司公告最后一笔标的股票过户至本期员工持股计划名下之日起满12个月、24个月、36个月，最长锁定期为36个月，每期解锁的标的股票比例分别为40%、30%、30%，各年度具体解锁比例和数量根据公司业绩指标和持有人考核结果计算确定。</w:t>
      </w:r>
    </w:p>
    <w:p w:rsidR="00CC38FA" w:rsidRDefault="00CC38FA">
      <w:pPr>
        <w:pStyle w:val="a3"/>
        <w:spacing w:before="0" w:beforeAutospacing="0" w:after="0" w:afterAutospacing="0"/>
        <w:ind w:firstLine="360"/>
        <w:divId w:val="1569802970"/>
        <w:rPr>
          <w:rFonts w:ascii="等线" w:eastAsia="等线" w:hAnsi="等线"/>
          <w:sz w:val="21"/>
          <w:szCs w:val="21"/>
        </w:rPr>
      </w:pPr>
      <w:r>
        <w:rPr>
          <w:rFonts w:hint="eastAsia"/>
          <w:sz w:val="18"/>
          <w:szCs w:val="18"/>
        </w:rPr>
        <w:t>③2020年1月20日，公司收到中国证券登记结算有限责任公司深圳分公司下发的《证券过户登记确认书》，“软控股份有限公司回购专用证券账户”所持有的公司股票已于2020年1月20日非交易过户至“软控股份有限公司—第一期员工持股计划”，过户股数为27,360,900股。过户价格为2.13元/股。公司全部有效的员工持股计划所持有的股票总数累计未超过公司股本总额的10%，单个员工所获股份权益对应的股票总数累计未超过公司股本总额的1%。</w:t>
      </w:r>
    </w:p>
    <w:p w:rsidR="00CC38FA" w:rsidRDefault="00CC38FA">
      <w:pPr>
        <w:pStyle w:val="a3"/>
        <w:spacing w:before="0" w:beforeAutospacing="0" w:after="0" w:afterAutospacing="0"/>
        <w:ind w:firstLine="360"/>
        <w:divId w:val="1569802970"/>
        <w:rPr>
          <w:rFonts w:ascii="等线" w:eastAsia="等线" w:hAnsi="等线"/>
          <w:sz w:val="21"/>
          <w:szCs w:val="21"/>
        </w:rPr>
      </w:pPr>
      <w:r>
        <w:rPr>
          <w:rFonts w:hint="eastAsia"/>
          <w:sz w:val="18"/>
          <w:szCs w:val="18"/>
        </w:rPr>
        <w:t>④2020年受国内外经济形势的不确定性仍将对短期经营产生影响，尤其是随着公司国际化战略的推进，出口项目订单占比超50%，由此今年以来受物流及交付延期（尤其出口项目）影响明显，考虑到公司实际情况，2020年4月17日公司发布《软控股份有限公司关于修订2019年员工持股计划公司业绩考核指标的公告》，修改后条款如下：</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40"/>
        <w:gridCol w:w="7321"/>
      </w:tblGrid>
      <w:tr w:rsidR="00CC38FA" w:rsidTr="00031125">
        <w:trPr>
          <w:divId w:val="1569802970"/>
          <w:trHeight w:val="398"/>
        </w:trPr>
        <w:tc>
          <w:tcPr>
            <w:tcW w:w="2040" w:type="dxa"/>
            <w:shd w:val="clear" w:color="auto" w:fill="D3D3D3"/>
            <w:vAlign w:val="center"/>
            <w:hideMark/>
          </w:tcPr>
          <w:p w:rsidR="00CC38FA" w:rsidRDefault="00CC38FA">
            <w:pPr>
              <w:pStyle w:val="a3"/>
              <w:spacing w:before="0" w:beforeAutospacing="0" w:after="0" w:afterAutospacing="0" w:line="240" w:lineRule="atLeast"/>
              <w:jc w:val="center"/>
              <w:rPr>
                <w:rFonts w:ascii="等线" w:eastAsia="等线" w:hAnsi="等线"/>
                <w:sz w:val="21"/>
                <w:szCs w:val="21"/>
              </w:rPr>
            </w:pPr>
            <w:r>
              <w:rPr>
                <w:rFonts w:hint="eastAsia"/>
                <w:color w:val="000000"/>
                <w:sz w:val="18"/>
                <w:szCs w:val="18"/>
              </w:rPr>
              <w:t>解锁期</w:t>
            </w:r>
          </w:p>
        </w:tc>
        <w:tc>
          <w:tcPr>
            <w:tcW w:w="7321" w:type="dxa"/>
            <w:shd w:val="clear" w:color="auto" w:fill="D3D3D3"/>
            <w:vAlign w:val="center"/>
            <w:hideMark/>
          </w:tcPr>
          <w:p w:rsidR="00CC38FA" w:rsidRDefault="00CC38FA">
            <w:pPr>
              <w:pStyle w:val="a3"/>
              <w:spacing w:before="0" w:beforeAutospacing="0" w:after="0" w:afterAutospacing="0" w:line="240" w:lineRule="atLeast"/>
              <w:jc w:val="center"/>
              <w:rPr>
                <w:rFonts w:ascii="等线" w:eastAsia="等线" w:hAnsi="等线"/>
                <w:sz w:val="21"/>
                <w:szCs w:val="21"/>
              </w:rPr>
            </w:pPr>
            <w:r>
              <w:rPr>
                <w:rFonts w:hint="eastAsia"/>
                <w:color w:val="000000"/>
                <w:sz w:val="18"/>
                <w:szCs w:val="18"/>
              </w:rPr>
              <w:t>业绩考核目标</w:t>
            </w:r>
          </w:p>
        </w:tc>
      </w:tr>
      <w:tr w:rsidR="00CC38FA" w:rsidTr="00031125">
        <w:trPr>
          <w:divId w:val="1569802970"/>
          <w:trHeight w:val="546"/>
        </w:trPr>
        <w:tc>
          <w:tcPr>
            <w:tcW w:w="2040" w:type="dxa"/>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第一个解锁期</w:t>
            </w:r>
          </w:p>
        </w:tc>
        <w:tc>
          <w:tcPr>
            <w:tcW w:w="7321" w:type="dxa"/>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公司需满足下列两个条件之一：①2019年营业收入不低于270,000万元；或②2019年净利润不低于8,000万元</w:t>
            </w:r>
          </w:p>
        </w:tc>
      </w:tr>
      <w:tr w:rsidR="00CC38FA" w:rsidTr="00031125">
        <w:trPr>
          <w:divId w:val="1569802970"/>
          <w:trHeight w:val="540"/>
        </w:trPr>
        <w:tc>
          <w:tcPr>
            <w:tcW w:w="2040" w:type="dxa"/>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第二个解锁期</w:t>
            </w:r>
          </w:p>
        </w:tc>
        <w:tc>
          <w:tcPr>
            <w:tcW w:w="7321" w:type="dxa"/>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公司需满足下列两个条件之一：①2020年营业收入不低于200,000万元；或②2020年净利润不低于5,000万元</w:t>
            </w:r>
          </w:p>
        </w:tc>
      </w:tr>
      <w:tr w:rsidR="00CC38FA" w:rsidTr="00031125">
        <w:trPr>
          <w:divId w:val="1569802970"/>
          <w:trHeight w:val="548"/>
        </w:trPr>
        <w:tc>
          <w:tcPr>
            <w:tcW w:w="2040" w:type="dxa"/>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第三个解锁期</w:t>
            </w:r>
          </w:p>
        </w:tc>
        <w:tc>
          <w:tcPr>
            <w:tcW w:w="7321" w:type="dxa"/>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公司需满足下列两个条件之一：①2021年营业收入不低于300,000万元；或②2021年净利润不低于1亿元</w:t>
            </w:r>
          </w:p>
        </w:tc>
      </w:tr>
    </w:tbl>
    <w:p w:rsidR="00CC38FA" w:rsidRDefault="00CC38FA">
      <w:pPr>
        <w:pStyle w:val="a3"/>
        <w:spacing w:before="0" w:beforeAutospacing="0" w:after="0" w:afterAutospacing="0"/>
        <w:divId w:val="1569802970"/>
        <w:rPr>
          <w:rFonts w:ascii="等线" w:eastAsia="等线" w:hAnsi="等线"/>
          <w:sz w:val="21"/>
          <w:szCs w:val="21"/>
        </w:rPr>
      </w:pPr>
      <w:r>
        <w:rPr>
          <w:rFonts w:hint="eastAsia"/>
          <w:sz w:val="18"/>
          <w:szCs w:val="18"/>
        </w:rPr>
        <w:t>注：上述“营业收入”和“净利润”以经审计的金额为准，“营业收入”指公司合并财务报表营业总收入，“净利润”指公司合并财务报表归属于上市股东的净利润，且剔除因本公司实施股权激励和员工持股计划所确认的股份支付费用对公司损益的影响数。</w:t>
      </w:r>
    </w:p>
    <w:p w:rsidR="00CC38FA" w:rsidRDefault="00CC38FA">
      <w:pPr>
        <w:pStyle w:val="a3"/>
        <w:spacing w:before="0" w:beforeAutospacing="0" w:after="0" w:afterAutospacing="0" w:line="400" w:lineRule="atLeast"/>
        <w:ind w:left="482"/>
        <w:jc w:val="both"/>
        <w:divId w:val="1569802970"/>
      </w:pPr>
      <w:r>
        <w:rPr>
          <w:rStyle w:val="a4"/>
          <w:rFonts w:hint="eastAsia"/>
          <w:sz w:val="18"/>
          <w:szCs w:val="18"/>
        </w:rPr>
        <w:t>（2）2021年期</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9"/>
        <w:gridCol w:w="5387"/>
      </w:tblGrid>
      <w:tr w:rsidR="00CC38FA" w:rsidTr="00031125">
        <w:trPr>
          <w:divId w:val="1569802970"/>
          <w:trHeight w:val="380"/>
          <w:tblHeader/>
        </w:trPr>
        <w:tc>
          <w:tcPr>
            <w:tcW w:w="3969" w:type="dxa"/>
            <w:shd w:val="clear" w:color="auto" w:fill="D3D3D3"/>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jc w:val="center"/>
              <w:rPr>
                <w:rFonts w:ascii="等线" w:eastAsia="等线" w:hAnsi="等线"/>
                <w:sz w:val="21"/>
                <w:szCs w:val="21"/>
              </w:rPr>
            </w:pPr>
            <w:r>
              <w:rPr>
                <w:rFonts w:hint="eastAsia"/>
                <w:color w:val="000000"/>
                <w:sz w:val="18"/>
                <w:szCs w:val="18"/>
              </w:rPr>
              <w:t>项目</w:t>
            </w:r>
          </w:p>
        </w:tc>
        <w:tc>
          <w:tcPr>
            <w:tcW w:w="5387" w:type="dxa"/>
            <w:shd w:val="clear" w:color="auto" w:fill="D3D3D3"/>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jc w:val="center"/>
              <w:rPr>
                <w:rFonts w:ascii="等线" w:eastAsia="等线" w:hAnsi="等线"/>
                <w:sz w:val="21"/>
                <w:szCs w:val="21"/>
              </w:rPr>
            </w:pPr>
            <w:r>
              <w:rPr>
                <w:rFonts w:hint="eastAsia"/>
                <w:color w:val="000000"/>
                <w:sz w:val="18"/>
                <w:szCs w:val="18"/>
              </w:rPr>
              <w:t>相关内容</w:t>
            </w:r>
          </w:p>
        </w:tc>
      </w:tr>
      <w:tr w:rsidR="00CC38FA" w:rsidTr="00031125">
        <w:trPr>
          <w:divId w:val="1569802970"/>
          <w:trHeight w:val="360"/>
        </w:trPr>
        <w:tc>
          <w:tcPr>
            <w:tcW w:w="3969" w:type="dxa"/>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公司本期授予的各项权益工具总额</w:t>
            </w:r>
          </w:p>
        </w:tc>
        <w:tc>
          <w:tcPr>
            <w:tcW w:w="5387" w:type="dxa"/>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 </w:t>
            </w:r>
          </w:p>
        </w:tc>
      </w:tr>
      <w:tr w:rsidR="00CC38FA" w:rsidTr="00031125">
        <w:trPr>
          <w:divId w:val="1569802970"/>
          <w:trHeight w:val="360"/>
        </w:trPr>
        <w:tc>
          <w:tcPr>
            <w:tcW w:w="3969" w:type="dxa"/>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公司本期行权的各项权益工具总额（元）</w:t>
            </w:r>
          </w:p>
        </w:tc>
        <w:tc>
          <w:tcPr>
            <w:tcW w:w="5387" w:type="dxa"/>
            <w:tcMar>
              <w:top w:w="0" w:type="dxa"/>
              <w:left w:w="108" w:type="dxa"/>
              <w:bottom w:w="0" w:type="dxa"/>
              <w:right w:w="108" w:type="dxa"/>
            </w:tcMar>
            <w:hideMark/>
          </w:tcPr>
          <w:p w:rsidR="00CC38FA" w:rsidRDefault="00CC38FA">
            <w:pPr>
              <w:pStyle w:val="a3"/>
              <w:spacing w:before="0" w:beforeAutospacing="0" w:after="0" w:afterAutospacing="0" w:line="240" w:lineRule="atLeast"/>
              <w:jc w:val="right"/>
              <w:rPr>
                <w:rFonts w:ascii="等线" w:eastAsia="等线" w:hAnsi="等线"/>
                <w:sz w:val="21"/>
                <w:szCs w:val="21"/>
              </w:rPr>
            </w:pPr>
            <w:r>
              <w:rPr>
                <w:rFonts w:ascii="等线" w:eastAsia="等线" w:hAnsi="等线" w:hint="eastAsia"/>
                <w:sz w:val="21"/>
                <w:szCs w:val="21"/>
              </w:rPr>
              <w:t> </w:t>
            </w:r>
          </w:p>
        </w:tc>
      </w:tr>
      <w:tr w:rsidR="00CC38FA" w:rsidTr="00031125">
        <w:trPr>
          <w:divId w:val="1569802970"/>
          <w:trHeight w:val="360"/>
        </w:trPr>
        <w:tc>
          <w:tcPr>
            <w:tcW w:w="3969" w:type="dxa"/>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公司本期失效的各项权益工具总额</w:t>
            </w:r>
          </w:p>
        </w:tc>
        <w:tc>
          <w:tcPr>
            <w:tcW w:w="5387" w:type="dxa"/>
            <w:tcMar>
              <w:top w:w="0" w:type="dxa"/>
              <w:left w:w="108" w:type="dxa"/>
              <w:bottom w:w="0" w:type="dxa"/>
              <w:right w:w="108" w:type="dxa"/>
            </w:tcMa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 </w:t>
            </w:r>
          </w:p>
        </w:tc>
      </w:tr>
      <w:tr w:rsidR="00CC38FA" w:rsidTr="00031125">
        <w:trPr>
          <w:divId w:val="1569802970"/>
          <w:trHeight w:val="510"/>
        </w:trPr>
        <w:tc>
          <w:tcPr>
            <w:tcW w:w="3969" w:type="dxa"/>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lastRenderedPageBreak/>
              <w:t>公司期末发行在外的股份期权行权价格的范围和合同剩余期限</w:t>
            </w:r>
          </w:p>
        </w:tc>
        <w:tc>
          <w:tcPr>
            <w:tcW w:w="5387" w:type="dxa"/>
            <w:tcMar>
              <w:top w:w="0" w:type="dxa"/>
              <w:left w:w="108" w:type="dxa"/>
              <w:bottom w:w="0" w:type="dxa"/>
              <w:right w:w="108" w:type="dxa"/>
            </w:tcMa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 </w:t>
            </w:r>
          </w:p>
        </w:tc>
      </w:tr>
      <w:tr w:rsidR="00CC38FA" w:rsidTr="00031125">
        <w:trPr>
          <w:divId w:val="1569802970"/>
          <w:trHeight w:val="495"/>
        </w:trPr>
        <w:tc>
          <w:tcPr>
            <w:tcW w:w="3969" w:type="dxa"/>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公司期末其他权益工具行权价格的范围和合同剩余期限</w:t>
            </w:r>
          </w:p>
        </w:tc>
        <w:tc>
          <w:tcPr>
            <w:tcW w:w="5387" w:type="dxa"/>
            <w:tcMar>
              <w:top w:w="0" w:type="dxa"/>
              <w:left w:w="108" w:type="dxa"/>
              <w:bottom w:w="0" w:type="dxa"/>
              <w:right w:w="108" w:type="dxa"/>
            </w:tcMa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授予价格为2.55元/股；员工持股计划的有效期自限制性股票授予登记完成之日起至激励对象获授的限制性股票全部解除限售或回购注销之日止，最长锁定期为36个月</w:t>
            </w:r>
          </w:p>
        </w:tc>
      </w:tr>
    </w:tbl>
    <w:p w:rsidR="00CC38FA" w:rsidRDefault="00CC38FA">
      <w:pPr>
        <w:pStyle w:val="a3"/>
        <w:spacing w:before="0" w:beforeAutospacing="0" w:after="0" w:afterAutospacing="0"/>
        <w:ind w:firstLine="360"/>
        <w:divId w:val="1569802970"/>
        <w:rPr>
          <w:rFonts w:ascii="等线" w:eastAsia="等线" w:hAnsi="等线"/>
          <w:sz w:val="21"/>
          <w:szCs w:val="21"/>
        </w:rPr>
      </w:pPr>
      <w:r>
        <w:rPr>
          <w:rFonts w:hint="eastAsia"/>
          <w:sz w:val="18"/>
          <w:szCs w:val="18"/>
        </w:rPr>
        <w:t>①公司于2021年10月14日召开2021年第二次临时股东大会审议通过了《关于〈软控股份有限公司2021年限制性股票激励计划（草案）〉及其摘要的议案》、《关于〈软控股份有限公司2021年限制性股票激励计划实施考核管理办法〉的议案》、《关于提请股东大会授权董事会办理股权激励相关事宜的议案》等与本次激励计划相关的议案。2021年10月22日召开第七届董事会第十八次会议、第七届监事会第十六次会议，审议通过了《关于向激励对象授予限制性股票的议案》，确定对官炳政、杨慧丽、张垚等20名参加对象授予1,960万股限制性股票，本次实际20名参加对象认购19,600,000股限制性股票，股票面值1元，认购价格为2.55元/股。本期以权益结算的股份支付确认的费用总额60,691,400.00元</w:t>
      </w:r>
    </w:p>
    <w:p w:rsidR="00CC38FA" w:rsidRDefault="00CC38FA">
      <w:pPr>
        <w:pStyle w:val="a3"/>
        <w:spacing w:before="0" w:beforeAutospacing="0" w:after="0" w:afterAutospacing="0"/>
        <w:ind w:firstLine="360"/>
        <w:divId w:val="1569802970"/>
        <w:rPr>
          <w:rFonts w:ascii="等线" w:eastAsia="等线" w:hAnsi="等线"/>
          <w:sz w:val="21"/>
          <w:szCs w:val="21"/>
        </w:rPr>
      </w:pPr>
      <w:r>
        <w:rPr>
          <w:rFonts w:hint="eastAsia"/>
          <w:sz w:val="18"/>
          <w:szCs w:val="18"/>
        </w:rPr>
        <w:t>②本期员工持股计划通过向激励对象定向发行的公司人民币A股普通股股票，分三期解锁，解锁时点分别为自公司公告最后一笔标的股票过户至本期员工持股计划名下之日起满12个月、24个月、36个月，最长锁定期为36个月，每期解锁的标的股票比例分别为40%、30%、30%，各年度具体解锁比例和数量根据公司业绩指标和持有人考核结果计算确定。</w:t>
      </w:r>
    </w:p>
    <w:p w:rsidR="00CC38FA" w:rsidRDefault="00CC38FA">
      <w:pPr>
        <w:pStyle w:val="a3"/>
        <w:spacing w:before="0" w:beforeAutospacing="0" w:after="0" w:afterAutospacing="0"/>
        <w:ind w:firstLine="360"/>
        <w:divId w:val="1569802970"/>
        <w:rPr>
          <w:rFonts w:ascii="等线" w:eastAsia="等线" w:hAnsi="等线"/>
          <w:sz w:val="21"/>
          <w:szCs w:val="21"/>
        </w:rPr>
      </w:pPr>
      <w:r>
        <w:rPr>
          <w:rFonts w:hint="eastAsia"/>
          <w:sz w:val="18"/>
          <w:szCs w:val="18"/>
        </w:rPr>
        <w:t>③2021年11月17日，公司完成了2021年限制性股票激励计划限制性股票的授予登记工作，向20名激励对象授予1,960.00万份限制性股票，授予价格为2.55元/股，授予的限制性股票于2021年11月18日上市。公司全部有效的员工持股计划所持有的股票总数累计未超过公司股本总额的10%，单个员工所获股份权益对应的股票总数累计未超过公司股本总额的1%。</w:t>
      </w:r>
    </w:p>
    <w:p w:rsidR="00CC38FA" w:rsidRDefault="00CC38FA">
      <w:pPr>
        <w:pStyle w:val="a3"/>
        <w:spacing w:before="0" w:beforeAutospacing="0" w:after="0" w:afterAutospacing="0"/>
        <w:ind w:firstLine="360"/>
        <w:divId w:val="1569802970"/>
        <w:rPr>
          <w:rFonts w:ascii="等线" w:eastAsia="等线" w:hAnsi="等线"/>
          <w:sz w:val="21"/>
          <w:szCs w:val="21"/>
        </w:rPr>
      </w:pPr>
      <w:r>
        <w:rPr>
          <w:rFonts w:hint="eastAsia"/>
          <w:sz w:val="18"/>
          <w:szCs w:val="18"/>
        </w:rPr>
        <w:t>④本激励计划在2021年-2023年会计年度中，分年度对公司的业绩指标进行考核，以达到业绩考核目标作为激励对象当年度的解除限售条件之一。本激励计划业绩考核目标如下：</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9"/>
        <w:gridCol w:w="7322"/>
      </w:tblGrid>
      <w:tr w:rsidR="00CC38FA" w:rsidTr="00031125">
        <w:trPr>
          <w:divId w:val="1569802970"/>
          <w:trHeight w:val="370"/>
        </w:trPr>
        <w:tc>
          <w:tcPr>
            <w:tcW w:w="2039" w:type="dxa"/>
            <w:shd w:val="clear" w:color="auto" w:fill="D3D3D3"/>
            <w:vAlign w:val="center"/>
            <w:hideMark/>
          </w:tcPr>
          <w:p w:rsidR="00CC38FA" w:rsidRDefault="00CC38FA">
            <w:pPr>
              <w:pStyle w:val="a3"/>
              <w:spacing w:before="0" w:beforeAutospacing="0" w:after="0" w:afterAutospacing="0" w:line="240" w:lineRule="atLeast"/>
              <w:jc w:val="center"/>
              <w:rPr>
                <w:rFonts w:ascii="等线" w:eastAsia="等线" w:hAnsi="等线"/>
                <w:sz w:val="21"/>
                <w:szCs w:val="21"/>
              </w:rPr>
            </w:pPr>
            <w:r>
              <w:rPr>
                <w:rFonts w:hint="eastAsia"/>
                <w:color w:val="000000"/>
                <w:sz w:val="18"/>
                <w:szCs w:val="18"/>
              </w:rPr>
              <w:t>解锁期</w:t>
            </w:r>
          </w:p>
        </w:tc>
        <w:tc>
          <w:tcPr>
            <w:tcW w:w="7322" w:type="dxa"/>
            <w:shd w:val="clear" w:color="auto" w:fill="D3D3D3"/>
            <w:vAlign w:val="center"/>
            <w:hideMark/>
          </w:tcPr>
          <w:p w:rsidR="00CC38FA" w:rsidRDefault="00CC38FA">
            <w:pPr>
              <w:pStyle w:val="a3"/>
              <w:spacing w:before="0" w:beforeAutospacing="0" w:after="0" w:afterAutospacing="0" w:line="240" w:lineRule="atLeast"/>
              <w:jc w:val="center"/>
              <w:rPr>
                <w:rFonts w:ascii="等线" w:eastAsia="等线" w:hAnsi="等线"/>
                <w:sz w:val="21"/>
                <w:szCs w:val="21"/>
              </w:rPr>
            </w:pPr>
            <w:r>
              <w:rPr>
                <w:rFonts w:hint="eastAsia"/>
                <w:color w:val="000000"/>
                <w:sz w:val="18"/>
                <w:szCs w:val="18"/>
              </w:rPr>
              <w:t>业绩考核目标</w:t>
            </w:r>
          </w:p>
        </w:tc>
      </w:tr>
      <w:tr w:rsidR="00CC38FA" w:rsidTr="00031125">
        <w:trPr>
          <w:divId w:val="1569802970"/>
          <w:trHeight w:val="364"/>
        </w:trPr>
        <w:tc>
          <w:tcPr>
            <w:tcW w:w="2039" w:type="dxa"/>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第一个解锁期</w:t>
            </w:r>
          </w:p>
        </w:tc>
        <w:tc>
          <w:tcPr>
            <w:tcW w:w="7322" w:type="dxa"/>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以2020年的净利润为基数，2021年净利润增长率不低于30%</w:t>
            </w:r>
          </w:p>
        </w:tc>
      </w:tr>
      <w:tr w:rsidR="00CC38FA" w:rsidTr="00031125">
        <w:trPr>
          <w:divId w:val="1569802970"/>
          <w:trHeight w:val="439"/>
        </w:trPr>
        <w:tc>
          <w:tcPr>
            <w:tcW w:w="2039" w:type="dxa"/>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第二个解锁期</w:t>
            </w:r>
          </w:p>
        </w:tc>
        <w:tc>
          <w:tcPr>
            <w:tcW w:w="7322" w:type="dxa"/>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以2020年的净利润为基数，2022年净利润增长率不低于50%</w:t>
            </w:r>
          </w:p>
        </w:tc>
      </w:tr>
      <w:tr w:rsidR="00CC38FA" w:rsidTr="00031125">
        <w:trPr>
          <w:divId w:val="1569802970"/>
          <w:trHeight w:val="416"/>
        </w:trPr>
        <w:tc>
          <w:tcPr>
            <w:tcW w:w="2039" w:type="dxa"/>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第三个解锁期</w:t>
            </w:r>
          </w:p>
        </w:tc>
        <w:tc>
          <w:tcPr>
            <w:tcW w:w="7322" w:type="dxa"/>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以2020年的净利润为基数，2023年净利润增长率不低于80%</w:t>
            </w:r>
          </w:p>
        </w:tc>
      </w:tr>
    </w:tbl>
    <w:p w:rsidR="00CC38FA" w:rsidRDefault="00CC38FA">
      <w:pPr>
        <w:pStyle w:val="a3"/>
        <w:spacing w:before="0" w:beforeAutospacing="0" w:after="0" w:afterAutospacing="0"/>
        <w:divId w:val="1569802970"/>
        <w:rPr>
          <w:rFonts w:ascii="等线" w:eastAsia="等线" w:hAnsi="等线"/>
          <w:sz w:val="21"/>
          <w:szCs w:val="21"/>
        </w:rPr>
      </w:pPr>
      <w:r>
        <w:rPr>
          <w:rFonts w:hint="eastAsia"/>
          <w:sz w:val="18"/>
          <w:szCs w:val="18"/>
        </w:rPr>
        <w:t>注：上述“营业收入”和“净利润”以经审计的金额为准，“营业收入”指公司合并财务报表营业总收入，“净利润”指公司合并财务报表归属于上市股东的净利润，且剔除因本公司实施股权激励和员工持股计划所确认的股份支付费用对公司损益的影响数。</w:t>
      </w:r>
    </w:p>
    <w:p w:rsidR="00CC38FA" w:rsidRDefault="00CC38FA">
      <w:pPr>
        <w:pStyle w:val="a3"/>
        <w:spacing w:before="0" w:beforeAutospacing="0" w:after="0" w:afterAutospacing="0"/>
        <w:ind w:firstLine="360"/>
        <w:divId w:val="1569802970"/>
        <w:rPr>
          <w:sz w:val="18"/>
          <w:szCs w:val="18"/>
        </w:rPr>
      </w:pPr>
      <w:r>
        <w:rPr>
          <w:rFonts w:hint="eastAsia"/>
          <w:sz w:val="18"/>
          <w:szCs w:val="18"/>
        </w:rPr>
        <w:t>⑤公司于2023年4月10日召开第八届董事会第六次会议与第八届监事会第七次会议，并于2023年5月8日召开2022年度股东大会，审议通过了《关于注销部分股票期权和回购注销部分限制性股票的议案》。根据公司2022年股票期权与限制性股票激励计划的相关规定，因1名激励对象离职，公司同意对其已获授但尚未解除限售的限制性股票合计10,000股予以回购注销。</w:t>
      </w:r>
    </w:p>
    <w:p w:rsidR="0004428A" w:rsidRDefault="0004428A">
      <w:pPr>
        <w:pStyle w:val="a3"/>
        <w:spacing w:before="0" w:beforeAutospacing="0" w:after="0" w:afterAutospacing="0"/>
        <w:ind w:firstLine="360"/>
        <w:divId w:val="1569802970"/>
        <w:rPr>
          <w:rFonts w:ascii="等线" w:eastAsia="等线" w:hAnsi="等线"/>
          <w:sz w:val="21"/>
          <w:szCs w:val="21"/>
        </w:rPr>
      </w:pPr>
    </w:p>
    <w:p w:rsidR="00CC38FA" w:rsidRDefault="00CC38FA">
      <w:pPr>
        <w:pStyle w:val="a3"/>
        <w:spacing w:before="0" w:beforeAutospacing="0" w:after="0" w:afterAutospacing="0" w:line="400" w:lineRule="atLeast"/>
        <w:ind w:left="482"/>
        <w:jc w:val="both"/>
        <w:divId w:val="1569802970"/>
      </w:pPr>
      <w:r>
        <w:rPr>
          <w:rStyle w:val="a4"/>
          <w:rFonts w:hint="eastAsia"/>
          <w:sz w:val="18"/>
          <w:szCs w:val="18"/>
        </w:rPr>
        <w:t>（3）2022年期-股票期权</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36"/>
        <w:gridCol w:w="5528"/>
      </w:tblGrid>
      <w:tr w:rsidR="0004428A" w:rsidTr="00031125">
        <w:trPr>
          <w:divId w:val="1569802970"/>
          <w:trHeight w:val="380"/>
          <w:tblHeader/>
        </w:trPr>
        <w:tc>
          <w:tcPr>
            <w:tcW w:w="3936" w:type="dxa"/>
            <w:shd w:val="clear" w:color="auto" w:fill="D3D3D3"/>
            <w:tcMar>
              <w:top w:w="0" w:type="dxa"/>
              <w:left w:w="108" w:type="dxa"/>
              <w:bottom w:w="0" w:type="dxa"/>
              <w:right w:w="108" w:type="dxa"/>
            </w:tcMar>
            <w:vAlign w:val="center"/>
            <w:hideMark/>
          </w:tcPr>
          <w:p w:rsidR="0004428A" w:rsidRDefault="0004428A" w:rsidP="0004428A">
            <w:pPr>
              <w:pStyle w:val="a3"/>
              <w:spacing w:before="0" w:beforeAutospacing="0" w:after="0" w:afterAutospacing="0" w:line="240" w:lineRule="atLeast"/>
              <w:jc w:val="center"/>
              <w:rPr>
                <w:rFonts w:ascii="等线" w:eastAsia="等线" w:hAnsi="等线"/>
                <w:sz w:val="21"/>
                <w:szCs w:val="21"/>
              </w:rPr>
            </w:pPr>
            <w:r>
              <w:rPr>
                <w:rFonts w:hint="eastAsia"/>
                <w:color w:val="000000"/>
                <w:sz w:val="18"/>
                <w:szCs w:val="18"/>
              </w:rPr>
              <w:t>项目</w:t>
            </w:r>
          </w:p>
        </w:tc>
        <w:tc>
          <w:tcPr>
            <w:tcW w:w="5528" w:type="dxa"/>
            <w:shd w:val="clear" w:color="auto" w:fill="D3D3D3"/>
            <w:tcMar>
              <w:top w:w="0" w:type="dxa"/>
              <w:left w:w="108" w:type="dxa"/>
              <w:bottom w:w="0" w:type="dxa"/>
              <w:right w:w="108" w:type="dxa"/>
            </w:tcMar>
            <w:vAlign w:val="center"/>
            <w:hideMark/>
          </w:tcPr>
          <w:p w:rsidR="0004428A" w:rsidRDefault="0004428A" w:rsidP="0004428A">
            <w:pPr>
              <w:pStyle w:val="a3"/>
              <w:spacing w:before="0" w:beforeAutospacing="0" w:after="0" w:afterAutospacing="0" w:line="240" w:lineRule="atLeast"/>
              <w:jc w:val="center"/>
              <w:rPr>
                <w:rFonts w:ascii="等线" w:eastAsia="等线" w:hAnsi="等线"/>
                <w:sz w:val="21"/>
                <w:szCs w:val="21"/>
              </w:rPr>
            </w:pPr>
            <w:r>
              <w:rPr>
                <w:rFonts w:hint="eastAsia"/>
                <w:color w:val="000000"/>
                <w:sz w:val="18"/>
                <w:szCs w:val="18"/>
              </w:rPr>
              <w:t>相关内容</w:t>
            </w:r>
          </w:p>
        </w:tc>
      </w:tr>
      <w:tr w:rsidR="00CC38FA" w:rsidTr="00031125">
        <w:trPr>
          <w:divId w:val="1569802970"/>
          <w:trHeight w:val="360"/>
        </w:trPr>
        <w:tc>
          <w:tcPr>
            <w:tcW w:w="3936" w:type="dxa"/>
            <w:tcMar>
              <w:top w:w="0" w:type="dxa"/>
              <w:left w:w="108" w:type="dxa"/>
              <w:bottom w:w="0" w:type="dxa"/>
              <w:right w:w="108" w:type="dxa"/>
            </w:tcMar>
            <w:vAlign w:val="center"/>
            <w:hideMark/>
          </w:tcPr>
          <w:p w:rsidR="00CC38FA" w:rsidRDefault="00CC38FA">
            <w:r>
              <w:rPr>
                <w:rFonts w:hint="eastAsia"/>
                <w:sz w:val="18"/>
                <w:szCs w:val="18"/>
              </w:rPr>
              <w:t>公司本期授予的各项权益工具总额</w:t>
            </w:r>
          </w:p>
        </w:tc>
        <w:tc>
          <w:tcPr>
            <w:tcW w:w="5528" w:type="dxa"/>
            <w:tcMar>
              <w:top w:w="0" w:type="dxa"/>
              <w:left w:w="108" w:type="dxa"/>
              <w:bottom w:w="0" w:type="dxa"/>
              <w:right w:w="108" w:type="dxa"/>
            </w:tcMar>
            <w:vAlign w:val="center"/>
            <w:hideMark/>
          </w:tcPr>
          <w:p w:rsidR="00CC38FA" w:rsidRDefault="00CC38FA">
            <w:r>
              <w:t> </w:t>
            </w:r>
          </w:p>
        </w:tc>
      </w:tr>
      <w:tr w:rsidR="00CC38FA" w:rsidTr="00031125">
        <w:trPr>
          <w:divId w:val="1569802970"/>
          <w:trHeight w:val="360"/>
        </w:trPr>
        <w:tc>
          <w:tcPr>
            <w:tcW w:w="3936" w:type="dxa"/>
            <w:tcMar>
              <w:top w:w="0" w:type="dxa"/>
              <w:left w:w="108" w:type="dxa"/>
              <w:bottom w:w="0" w:type="dxa"/>
              <w:right w:w="108" w:type="dxa"/>
            </w:tcMar>
            <w:vAlign w:val="center"/>
            <w:hideMark/>
          </w:tcPr>
          <w:p w:rsidR="00CC38FA" w:rsidRDefault="00CC38FA">
            <w:r>
              <w:rPr>
                <w:rFonts w:hint="eastAsia"/>
                <w:sz w:val="18"/>
                <w:szCs w:val="18"/>
              </w:rPr>
              <w:t>公司本期行权的各项权益工具总额（元）</w:t>
            </w:r>
          </w:p>
        </w:tc>
        <w:tc>
          <w:tcPr>
            <w:tcW w:w="5528" w:type="dxa"/>
            <w:tcMar>
              <w:top w:w="0" w:type="dxa"/>
              <w:left w:w="108" w:type="dxa"/>
              <w:bottom w:w="0" w:type="dxa"/>
              <w:right w:w="108" w:type="dxa"/>
            </w:tcMar>
            <w:vAlign w:val="center"/>
            <w:hideMark/>
          </w:tcPr>
          <w:p w:rsidR="00CC38FA" w:rsidRPr="0004428A" w:rsidRDefault="00CC38FA">
            <w:pPr>
              <w:jc w:val="right"/>
              <w:rPr>
                <w:rFonts w:ascii="宋体" w:eastAsia="宋体" w:hAnsi="宋体" w:cs="宋体"/>
                <w:kern w:val="0"/>
                <w:sz w:val="18"/>
                <w:szCs w:val="18"/>
              </w:rPr>
            </w:pPr>
            <w:r w:rsidRPr="0004428A">
              <w:rPr>
                <w:rFonts w:ascii="宋体" w:eastAsia="宋体" w:hAnsi="宋体" w:cs="宋体"/>
                <w:kern w:val="0"/>
                <w:sz w:val="18"/>
                <w:szCs w:val="18"/>
              </w:rPr>
              <w:t>14,480,626.68</w:t>
            </w:r>
          </w:p>
        </w:tc>
      </w:tr>
      <w:tr w:rsidR="00CC38FA" w:rsidTr="00031125">
        <w:trPr>
          <w:divId w:val="1569802970"/>
          <w:trHeight w:val="360"/>
        </w:trPr>
        <w:tc>
          <w:tcPr>
            <w:tcW w:w="3936" w:type="dxa"/>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公司本期失效的各项权益工具总额</w:t>
            </w:r>
          </w:p>
        </w:tc>
        <w:tc>
          <w:tcPr>
            <w:tcW w:w="5528" w:type="dxa"/>
            <w:tcMar>
              <w:top w:w="0" w:type="dxa"/>
              <w:left w:w="108" w:type="dxa"/>
              <w:bottom w:w="0" w:type="dxa"/>
              <w:right w:w="108" w:type="dxa"/>
            </w:tcMar>
            <w:hideMark/>
          </w:tcPr>
          <w:p w:rsidR="00CC38FA" w:rsidRPr="0004428A" w:rsidRDefault="00CC38FA">
            <w:pPr>
              <w:pStyle w:val="a3"/>
              <w:spacing w:before="0" w:beforeAutospacing="0" w:after="0" w:afterAutospacing="0" w:line="240" w:lineRule="atLeast"/>
              <w:jc w:val="right"/>
              <w:rPr>
                <w:sz w:val="18"/>
                <w:szCs w:val="18"/>
              </w:rPr>
            </w:pPr>
            <w:r>
              <w:rPr>
                <w:rFonts w:hint="eastAsia"/>
                <w:sz w:val="18"/>
                <w:szCs w:val="18"/>
              </w:rPr>
              <w:t>                                583,632.00</w:t>
            </w:r>
          </w:p>
        </w:tc>
      </w:tr>
      <w:tr w:rsidR="00CC38FA" w:rsidTr="00031125">
        <w:trPr>
          <w:divId w:val="1569802970"/>
          <w:trHeight w:val="510"/>
        </w:trPr>
        <w:tc>
          <w:tcPr>
            <w:tcW w:w="3936" w:type="dxa"/>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公司期末发行在外的股份期权行权价格的范围和合同剩余期限</w:t>
            </w:r>
          </w:p>
        </w:tc>
        <w:tc>
          <w:tcPr>
            <w:tcW w:w="5528" w:type="dxa"/>
            <w:tcMar>
              <w:top w:w="0" w:type="dxa"/>
              <w:left w:w="108" w:type="dxa"/>
              <w:bottom w:w="0" w:type="dxa"/>
              <w:right w:w="108" w:type="dxa"/>
            </w:tcMar>
            <w:hideMark/>
          </w:tcPr>
          <w:p w:rsidR="00CC38FA" w:rsidRPr="0004428A" w:rsidRDefault="00CC38FA">
            <w:pPr>
              <w:pStyle w:val="a3"/>
              <w:spacing w:before="0" w:beforeAutospacing="0" w:after="0" w:afterAutospacing="0" w:line="240" w:lineRule="atLeast"/>
              <w:rPr>
                <w:sz w:val="18"/>
                <w:szCs w:val="18"/>
              </w:rPr>
            </w:pPr>
            <w:r>
              <w:rPr>
                <w:rFonts w:hint="eastAsia"/>
                <w:sz w:val="18"/>
                <w:szCs w:val="18"/>
              </w:rPr>
              <w:t> </w:t>
            </w:r>
          </w:p>
        </w:tc>
      </w:tr>
      <w:tr w:rsidR="00CC38FA" w:rsidTr="00031125">
        <w:trPr>
          <w:divId w:val="1569802970"/>
          <w:trHeight w:val="495"/>
        </w:trPr>
        <w:tc>
          <w:tcPr>
            <w:tcW w:w="3936" w:type="dxa"/>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公司期末其他权益工具行权价格的范围和合同剩余期限</w:t>
            </w:r>
          </w:p>
        </w:tc>
        <w:tc>
          <w:tcPr>
            <w:tcW w:w="5528" w:type="dxa"/>
            <w:tcMar>
              <w:top w:w="0" w:type="dxa"/>
              <w:left w:w="108" w:type="dxa"/>
              <w:bottom w:w="0" w:type="dxa"/>
              <w:right w:w="108" w:type="dxa"/>
            </w:tcMar>
            <w:hideMark/>
          </w:tcPr>
          <w:p w:rsidR="00CC38FA" w:rsidRPr="0004428A" w:rsidRDefault="00CC38FA">
            <w:pPr>
              <w:pStyle w:val="a3"/>
              <w:spacing w:before="0" w:beforeAutospacing="0" w:after="0" w:afterAutospacing="0" w:line="240" w:lineRule="atLeast"/>
              <w:rPr>
                <w:sz w:val="18"/>
                <w:szCs w:val="18"/>
              </w:rPr>
            </w:pPr>
            <w:r>
              <w:rPr>
                <w:rFonts w:hint="eastAsia"/>
                <w:sz w:val="18"/>
                <w:szCs w:val="18"/>
              </w:rPr>
              <w:t>股票期权行权价格为6.17元/股；股票期权激励计划的有效期为自股票期权授权之日起至激励对象获授的股票期权全部行权或注销完毕之日止，最长不超过48个月。</w:t>
            </w:r>
          </w:p>
        </w:tc>
      </w:tr>
    </w:tbl>
    <w:p w:rsidR="00CC38FA" w:rsidRDefault="00CC38FA">
      <w:pPr>
        <w:pStyle w:val="a3"/>
        <w:spacing w:before="0" w:beforeAutospacing="0" w:after="0" w:afterAutospacing="0"/>
        <w:ind w:firstLine="360"/>
        <w:divId w:val="1569802970"/>
        <w:rPr>
          <w:rFonts w:ascii="等线" w:eastAsia="等线" w:hAnsi="等线"/>
          <w:sz w:val="21"/>
          <w:szCs w:val="21"/>
        </w:rPr>
      </w:pPr>
      <w:r>
        <w:rPr>
          <w:rFonts w:hint="eastAsia"/>
          <w:sz w:val="18"/>
          <w:szCs w:val="18"/>
        </w:rPr>
        <w:lastRenderedPageBreak/>
        <w:t>①公司于2022年8月22日召开2022年第一次临时股东大会审议通过了《关于〈软控股份有限公司2022年股票期权与限制性股票激励计划（草案）〉及其摘要的议案》、《关于〈软控股份有限公司2022年股票期权与限制性股票激励计划实施考核管理办法〉的议案》、《关于提请股东大会授权董事会办理股权激励相关事宜的议案》等与本次激励计划相关的议案。2022年8月22日召开第八届董事会第三次会议、第八届监事会第四次会议，审议通过了《关于向激励对象授予股票期权与限制性股票的议案》，确定向符合激励计划的激励对象授予总计3,980.00万份权益。其中，确定对官炳政、张垚、杨慧丽等251名激励对象授予2388万份股票期权，期权行权价格为6.17元/股。</w:t>
      </w:r>
    </w:p>
    <w:p w:rsidR="00CC38FA" w:rsidRDefault="00CC38FA">
      <w:pPr>
        <w:pStyle w:val="a3"/>
        <w:spacing w:before="0" w:beforeAutospacing="0" w:after="0" w:afterAutospacing="0"/>
        <w:ind w:firstLine="360"/>
        <w:divId w:val="1569802970"/>
        <w:rPr>
          <w:rFonts w:ascii="等线" w:eastAsia="等线" w:hAnsi="等线"/>
          <w:sz w:val="21"/>
          <w:szCs w:val="21"/>
        </w:rPr>
      </w:pPr>
      <w:r>
        <w:rPr>
          <w:rFonts w:hint="eastAsia"/>
          <w:sz w:val="18"/>
          <w:szCs w:val="18"/>
        </w:rPr>
        <w:t>②本期员工持股计划通过向激励对象定向发行的公司人民币A股普通股股票，分三期解锁，解锁时点分别为自公司公告最后一笔标的股票过户至本期员工持股计划名下之日起满12个月、24个月、36个月，最长锁定期为36个月，每期解锁的标的股票比例分别为40%、30%、30%，各年度具体解锁比例和数量根据公司业绩指标和持有人考核结果计算确定。</w:t>
      </w:r>
    </w:p>
    <w:p w:rsidR="00CC38FA" w:rsidRDefault="00CC38FA">
      <w:pPr>
        <w:pStyle w:val="a3"/>
        <w:spacing w:before="0" w:beforeAutospacing="0" w:after="0" w:afterAutospacing="0"/>
        <w:ind w:firstLine="360"/>
        <w:divId w:val="1569802970"/>
        <w:rPr>
          <w:rFonts w:ascii="等线" w:eastAsia="等线" w:hAnsi="等线"/>
          <w:sz w:val="21"/>
          <w:szCs w:val="21"/>
        </w:rPr>
      </w:pPr>
      <w:r>
        <w:rPr>
          <w:rFonts w:hint="eastAsia"/>
          <w:sz w:val="18"/>
          <w:szCs w:val="18"/>
        </w:rPr>
        <w:t>③2022年9月30日，公司完成了2022年股票期权的授予登记工作，向251名激励对象授予2,388万份股票期权行权价格为6.17元/股。公司全部有效的员工持股计划所持有的股票总数累计未超过公司股本总额的10%，单个员工所获股份权益对应的股票总数累计未超过公司股本总额的1%。</w:t>
      </w:r>
    </w:p>
    <w:p w:rsidR="00CC38FA" w:rsidRDefault="00CC38FA">
      <w:pPr>
        <w:pStyle w:val="a3"/>
        <w:spacing w:before="0" w:beforeAutospacing="0" w:after="0" w:afterAutospacing="0"/>
        <w:ind w:firstLine="360"/>
        <w:divId w:val="1569802970"/>
        <w:rPr>
          <w:rFonts w:ascii="等线" w:eastAsia="等线" w:hAnsi="等线"/>
          <w:sz w:val="21"/>
          <w:szCs w:val="21"/>
        </w:rPr>
      </w:pPr>
      <w:r>
        <w:rPr>
          <w:rFonts w:hint="eastAsia"/>
          <w:sz w:val="18"/>
          <w:szCs w:val="18"/>
        </w:rPr>
        <w:t>④本激励计划在2022年-2024年会计年度中，分年度对公司的业绩指标进行考核，以达到业绩考核目标作为激励对象当年度的解除限售条件之一。本激励计划业绩考核目标如下：</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9"/>
        <w:gridCol w:w="7464"/>
      </w:tblGrid>
      <w:tr w:rsidR="00CC38FA" w:rsidTr="00031125">
        <w:trPr>
          <w:divId w:val="1569802970"/>
          <w:trHeight w:val="367"/>
        </w:trPr>
        <w:tc>
          <w:tcPr>
            <w:tcW w:w="2039" w:type="dxa"/>
            <w:shd w:val="clear" w:color="auto" w:fill="D3D3D3"/>
            <w:vAlign w:val="center"/>
            <w:hideMark/>
          </w:tcPr>
          <w:p w:rsidR="00CC38FA" w:rsidRDefault="00CC38FA">
            <w:pPr>
              <w:pStyle w:val="a3"/>
              <w:spacing w:before="0" w:beforeAutospacing="0" w:after="0" w:afterAutospacing="0" w:line="240" w:lineRule="atLeast"/>
              <w:jc w:val="center"/>
              <w:rPr>
                <w:rFonts w:ascii="等线" w:eastAsia="等线" w:hAnsi="等线"/>
                <w:sz w:val="21"/>
                <w:szCs w:val="21"/>
              </w:rPr>
            </w:pPr>
            <w:r>
              <w:rPr>
                <w:rFonts w:hint="eastAsia"/>
                <w:color w:val="000000"/>
                <w:sz w:val="18"/>
                <w:szCs w:val="18"/>
              </w:rPr>
              <w:t>解锁期</w:t>
            </w:r>
          </w:p>
        </w:tc>
        <w:tc>
          <w:tcPr>
            <w:tcW w:w="7464" w:type="dxa"/>
            <w:shd w:val="clear" w:color="auto" w:fill="D3D3D3"/>
            <w:vAlign w:val="center"/>
            <w:hideMark/>
          </w:tcPr>
          <w:p w:rsidR="00CC38FA" w:rsidRDefault="00CC38FA">
            <w:pPr>
              <w:pStyle w:val="a3"/>
              <w:spacing w:before="0" w:beforeAutospacing="0" w:after="0" w:afterAutospacing="0" w:line="240" w:lineRule="atLeast"/>
              <w:jc w:val="center"/>
              <w:rPr>
                <w:rFonts w:ascii="等线" w:eastAsia="等线" w:hAnsi="等线"/>
                <w:sz w:val="21"/>
                <w:szCs w:val="21"/>
              </w:rPr>
            </w:pPr>
            <w:r>
              <w:rPr>
                <w:rFonts w:hint="eastAsia"/>
                <w:color w:val="000000"/>
                <w:sz w:val="18"/>
                <w:szCs w:val="18"/>
              </w:rPr>
              <w:t>业绩考核目标</w:t>
            </w:r>
          </w:p>
        </w:tc>
      </w:tr>
      <w:tr w:rsidR="00CC38FA" w:rsidTr="00031125">
        <w:trPr>
          <w:divId w:val="1569802970"/>
          <w:trHeight w:val="503"/>
        </w:trPr>
        <w:tc>
          <w:tcPr>
            <w:tcW w:w="2039" w:type="dxa"/>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第一个解锁期</w:t>
            </w:r>
          </w:p>
        </w:tc>
        <w:tc>
          <w:tcPr>
            <w:tcW w:w="7464" w:type="dxa"/>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以2021年的净利润为基数，2022年净利润增长率不低于25.00%</w:t>
            </w:r>
          </w:p>
        </w:tc>
      </w:tr>
      <w:tr w:rsidR="00CC38FA" w:rsidTr="00031125">
        <w:trPr>
          <w:divId w:val="1569802970"/>
          <w:trHeight w:val="436"/>
        </w:trPr>
        <w:tc>
          <w:tcPr>
            <w:tcW w:w="2039" w:type="dxa"/>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第二个解锁期</w:t>
            </w:r>
          </w:p>
        </w:tc>
        <w:tc>
          <w:tcPr>
            <w:tcW w:w="7464" w:type="dxa"/>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以2021年的净利润为基数，2023年净利润增长率不低于75.00%</w:t>
            </w:r>
          </w:p>
        </w:tc>
      </w:tr>
      <w:tr w:rsidR="00CC38FA" w:rsidTr="00031125">
        <w:trPr>
          <w:divId w:val="1569802970"/>
          <w:trHeight w:val="415"/>
        </w:trPr>
        <w:tc>
          <w:tcPr>
            <w:tcW w:w="2039" w:type="dxa"/>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第三个解锁期</w:t>
            </w:r>
          </w:p>
        </w:tc>
        <w:tc>
          <w:tcPr>
            <w:tcW w:w="7464" w:type="dxa"/>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以2021年的净利润为基数，2024年净利润增长率不低于125.00%</w:t>
            </w:r>
          </w:p>
        </w:tc>
      </w:tr>
    </w:tbl>
    <w:p w:rsidR="00CC38FA" w:rsidRDefault="00CC38FA">
      <w:pPr>
        <w:pStyle w:val="a3"/>
        <w:spacing w:before="0" w:beforeAutospacing="0" w:after="0" w:afterAutospacing="0"/>
        <w:divId w:val="1569802970"/>
        <w:rPr>
          <w:rFonts w:ascii="等线" w:eastAsia="等线" w:hAnsi="等线"/>
          <w:sz w:val="21"/>
          <w:szCs w:val="21"/>
        </w:rPr>
      </w:pPr>
      <w:r>
        <w:rPr>
          <w:rFonts w:hint="eastAsia"/>
          <w:sz w:val="18"/>
          <w:szCs w:val="18"/>
        </w:rPr>
        <w:t>注：上述“净利润”指经审计的归属于母公司的净利润。</w:t>
      </w:r>
    </w:p>
    <w:p w:rsidR="00CC38FA" w:rsidRDefault="00CC38FA">
      <w:pPr>
        <w:pStyle w:val="a3"/>
        <w:spacing w:before="0" w:beforeAutospacing="0" w:after="0" w:afterAutospacing="0"/>
        <w:ind w:firstLine="360"/>
        <w:divId w:val="1569802970"/>
        <w:rPr>
          <w:rFonts w:ascii="等线" w:eastAsia="等线" w:hAnsi="等线"/>
          <w:sz w:val="21"/>
          <w:szCs w:val="21"/>
        </w:rPr>
      </w:pPr>
      <w:r>
        <w:rPr>
          <w:rFonts w:hint="eastAsia"/>
          <w:sz w:val="18"/>
          <w:szCs w:val="18"/>
        </w:rPr>
        <w:t>⑤公司于2023年4月10日召开第八届董事会第六次会议与第八届监事会第七次会议，并于2023年5月8日召开2022年度股东大会，审议通过了《关于注销部分股票期权和回购注销部分限制性股票的议案》。根据公司2022年股票期权与限制性股票激励计划的相关规定，因3名激励对象离职，公司同意对其已获授但尚未行权的股票期权合计200,000.00份予以注销。</w:t>
      </w:r>
    </w:p>
    <w:p w:rsidR="00CC38FA" w:rsidRDefault="00CC38FA">
      <w:pPr>
        <w:pStyle w:val="a3"/>
        <w:spacing w:before="0" w:beforeAutospacing="0" w:after="0" w:afterAutospacing="0" w:line="400" w:lineRule="atLeast"/>
        <w:ind w:left="482"/>
        <w:jc w:val="both"/>
        <w:divId w:val="1569802970"/>
      </w:pPr>
      <w:r>
        <w:rPr>
          <w:rStyle w:val="a4"/>
          <w:rFonts w:hint="eastAsia"/>
          <w:sz w:val="18"/>
          <w:szCs w:val="18"/>
        </w:rPr>
        <w:t>（4）2022年期-限制性股票</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9"/>
        <w:gridCol w:w="5410"/>
      </w:tblGrid>
      <w:tr w:rsidR="00CC38FA" w:rsidTr="00031125">
        <w:trPr>
          <w:divId w:val="1569802970"/>
          <w:trHeight w:val="380"/>
          <w:tblHeader/>
        </w:trPr>
        <w:tc>
          <w:tcPr>
            <w:tcW w:w="4219" w:type="dxa"/>
            <w:shd w:val="clear" w:color="auto" w:fill="D3D3D3"/>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jc w:val="center"/>
              <w:rPr>
                <w:rFonts w:ascii="等线" w:eastAsia="等线" w:hAnsi="等线"/>
                <w:sz w:val="21"/>
                <w:szCs w:val="21"/>
              </w:rPr>
            </w:pPr>
            <w:r>
              <w:rPr>
                <w:rFonts w:hint="eastAsia"/>
                <w:color w:val="000000"/>
                <w:sz w:val="18"/>
                <w:szCs w:val="18"/>
              </w:rPr>
              <w:t>项目</w:t>
            </w:r>
          </w:p>
        </w:tc>
        <w:tc>
          <w:tcPr>
            <w:tcW w:w="5410" w:type="dxa"/>
            <w:shd w:val="clear" w:color="auto" w:fill="D3D3D3"/>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jc w:val="center"/>
              <w:rPr>
                <w:rFonts w:ascii="等线" w:eastAsia="等线" w:hAnsi="等线"/>
                <w:sz w:val="21"/>
                <w:szCs w:val="21"/>
              </w:rPr>
            </w:pPr>
            <w:r>
              <w:rPr>
                <w:rFonts w:hint="eastAsia"/>
                <w:color w:val="000000"/>
                <w:sz w:val="18"/>
                <w:szCs w:val="18"/>
              </w:rPr>
              <w:t>相关内容</w:t>
            </w:r>
          </w:p>
        </w:tc>
      </w:tr>
      <w:tr w:rsidR="00CC38FA" w:rsidTr="00031125">
        <w:trPr>
          <w:divId w:val="1569802970"/>
          <w:trHeight w:val="360"/>
        </w:trPr>
        <w:tc>
          <w:tcPr>
            <w:tcW w:w="4219" w:type="dxa"/>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公司本期授予的各项权益工具总额</w:t>
            </w:r>
          </w:p>
        </w:tc>
        <w:tc>
          <w:tcPr>
            <w:tcW w:w="5410" w:type="dxa"/>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 </w:t>
            </w:r>
          </w:p>
        </w:tc>
      </w:tr>
      <w:tr w:rsidR="00CC38FA" w:rsidTr="00031125">
        <w:trPr>
          <w:divId w:val="1569802970"/>
          <w:trHeight w:val="360"/>
        </w:trPr>
        <w:tc>
          <w:tcPr>
            <w:tcW w:w="4219" w:type="dxa"/>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公司本期行权的各项权益工具总额（元）</w:t>
            </w:r>
          </w:p>
        </w:tc>
        <w:tc>
          <w:tcPr>
            <w:tcW w:w="5410" w:type="dxa"/>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jc w:val="right"/>
              <w:rPr>
                <w:rFonts w:ascii="等线" w:eastAsia="等线" w:hAnsi="等线"/>
                <w:sz w:val="21"/>
                <w:szCs w:val="21"/>
              </w:rPr>
            </w:pPr>
            <w:r>
              <w:rPr>
                <w:rFonts w:ascii="等线" w:eastAsia="等线" w:hAnsi="等线" w:hint="eastAsia"/>
                <w:sz w:val="21"/>
                <w:szCs w:val="21"/>
              </w:rPr>
              <w:t> </w:t>
            </w:r>
          </w:p>
        </w:tc>
      </w:tr>
      <w:tr w:rsidR="00CC38FA" w:rsidTr="00031125">
        <w:trPr>
          <w:divId w:val="1569802970"/>
          <w:trHeight w:val="360"/>
        </w:trPr>
        <w:tc>
          <w:tcPr>
            <w:tcW w:w="4219" w:type="dxa"/>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公司本期失效的各项权益工具总额</w:t>
            </w:r>
          </w:p>
        </w:tc>
        <w:tc>
          <w:tcPr>
            <w:tcW w:w="5410" w:type="dxa"/>
            <w:tcMar>
              <w:top w:w="0" w:type="dxa"/>
              <w:left w:w="108" w:type="dxa"/>
              <w:bottom w:w="0" w:type="dxa"/>
              <w:right w:w="108" w:type="dxa"/>
            </w:tcMa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 </w:t>
            </w:r>
          </w:p>
        </w:tc>
      </w:tr>
      <w:tr w:rsidR="00CC38FA" w:rsidTr="00031125">
        <w:trPr>
          <w:divId w:val="1569802970"/>
          <w:trHeight w:val="510"/>
        </w:trPr>
        <w:tc>
          <w:tcPr>
            <w:tcW w:w="4219" w:type="dxa"/>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公司期末发行在外的股份期权行权价格的范围和合同剩余期限</w:t>
            </w:r>
          </w:p>
        </w:tc>
        <w:tc>
          <w:tcPr>
            <w:tcW w:w="5410" w:type="dxa"/>
            <w:tcMar>
              <w:top w:w="0" w:type="dxa"/>
              <w:left w:w="108" w:type="dxa"/>
              <w:bottom w:w="0" w:type="dxa"/>
              <w:right w:w="108" w:type="dxa"/>
            </w:tcMa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 </w:t>
            </w:r>
          </w:p>
        </w:tc>
      </w:tr>
      <w:tr w:rsidR="00CC38FA" w:rsidTr="00031125">
        <w:trPr>
          <w:divId w:val="1569802970"/>
          <w:trHeight w:val="495"/>
        </w:trPr>
        <w:tc>
          <w:tcPr>
            <w:tcW w:w="4219" w:type="dxa"/>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公司期末其他权益工具行权价格的范围和合同剩余期限</w:t>
            </w:r>
          </w:p>
        </w:tc>
        <w:tc>
          <w:tcPr>
            <w:tcW w:w="5410" w:type="dxa"/>
            <w:tcMar>
              <w:top w:w="0" w:type="dxa"/>
              <w:left w:w="108" w:type="dxa"/>
              <w:bottom w:w="0" w:type="dxa"/>
              <w:right w:w="108" w:type="dxa"/>
            </w:tcMa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授予价格为3.86元/股；限制性股票激励计划的有效期为自限制性股票授予之日起至激励对象获授的限制性股票全部解除限售或回购注销完毕之日止，最长不超过48个月。</w:t>
            </w:r>
          </w:p>
        </w:tc>
      </w:tr>
    </w:tbl>
    <w:p w:rsidR="00CC38FA" w:rsidRDefault="00CC38FA">
      <w:pPr>
        <w:pStyle w:val="a3"/>
        <w:spacing w:before="0" w:beforeAutospacing="0" w:after="0" w:afterAutospacing="0"/>
        <w:ind w:firstLine="360"/>
        <w:divId w:val="1569802970"/>
        <w:rPr>
          <w:rFonts w:ascii="等线" w:eastAsia="等线" w:hAnsi="等线"/>
          <w:sz w:val="21"/>
          <w:szCs w:val="21"/>
        </w:rPr>
      </w:pPr>
      <w:r>
        <w:rPr>
          <w:rFonts w:hint="eastAsia"/>
          <w:sz w:val="18"/>
          <w:szCs w:val="18"/>
        </w:rPr>
        <w:t>①公司于2022年8月22日召开2022年第一次临时股东大会审议通过了《关于〈软控股份有限公司2022年股票期权与限制性股票激励计划（草案）〉及其摘要的议案》、《关于〈软控股份有限公司2022年股票期权与限制性股票激励计划实施考核管理办法〉的议案》、《关于提请股东大会授权董事会办理股权激励相关事宜的议案》等与本次激励计划相关的议案。2022年8月22日召开第八届董事会第三次会议、第八届监事会第四次会议，审议通过了《关于向激励对象授予股票期权与限制性股票的议案》，确定向符合激励计划的激励对象授予总计3,980.00万份权益。其中，确定对官炳政、张垚、杨慧丽等245名参加对象授予1,592万股限制性股票，本次实际245名参加对象认购15,920,000股限制性股票，股票面值1元，认购价格为3.86元/股。</w:t>
      </w:r>
    </w:p>
    <w:p w:rsidR="00CC38FA" w:rsidRDefault="00CC38FA">
      <w:pPr>
        <w:pStyle w:val="a3"/>
        <w:spacing w:before="0" w:beforeAutospacing="0" w:after="0" w:afterAutospacing="0"/>
        <w:ind w:firstLine="360"/>
        <w:divId w:val="1569802970"/>
        <w:rPr>
          <w:rFonts w:ascii="等线" w:eastAsia="等线" w:hAnsi="等线"/>
          <w:sz w:val="21"/>
          <w:szCs w:val="21"/>
        </w:rPr>
      </w:pPr>
      <w:r>
        <w:rPr>
          <w:rFonts w:hint="eastAsia"/>
          <w:sz w:val="18"/>
          <w:szCs w:val="18"/>
        </w:rPr>
        <w:t>②本期员工持股计划通过向激励对象定向发行的公司人民币A股普通股股票，分三期解锁，解锁时点分别为自公司公告最后一笔标的股票过户至本期员工持股计划名下之日起满12个月、24个月、36个月，最长锁定期为36个月，每期解锁的标的股票比例分别为40%、30%、30%，各年度具体解锁比例和数量根据公司业绩指标和持有人考核结果计算确定。</w:t>
      </w:r>
    </w:p>
    <w:p w:rsidR="00CC38FA" w:rsidRDefault="00CC38FA">
      <w:pPr>
        <w:pStyle w:val="a3"/>
        <w:spacing w:before="0" w:beforeAutospacing="0" w:after="0" w:afterAutospacing="0"/>
        <w:ind w:firstLine="360"/>
        <w:divId w:val="1569802970"/>
        <w:rPr>
          <w:rFonts w:ascii="等线" w:eastAsia="等线" w:hAnsi="等线"/>
          <w:sz w:val="21"/>
          <w:szCs w:val="21"/>
        </w:rPr>
      </w:pPr>
      <w:r>
        <w:rPr>
          <w:rFonts w:hint="eastAsia"/>
          <w:sz w:val="18"/>
          <w:szCs w:val="18"/>
        </w:rPr>
        <w:lastRenderedPageBreak/>
        <w:t>③2022年10月13日，公司完成了2022年限制性股票激励计划限制性股票的授予登记工作，向245名激励对象授予1,592.00万份限制性股票，授予价格为3.86元/股，授予的限制性股票于2022年10月13日上市。公司全部有效的员工持股计划所持有的股票总数累计未超过公司股本总额的10%，单个员工所获股份权益对应的股票总数累计未超过公司股本总额的1%。</w:t>
      </w:r>
    </w:p>
    <w:p w:rsidR="00CC38FA" w:rsidRDefault="00CC38FA">
      <w:pPr>
        <w:pStyle w:val="a3"/>
        <w:spacing w:before="0" w:beforeAutospacing="0" w:after="0" w:afterAutospacing="0"/>
        <w:ind w:firstLine="360"/>
        <w:divId w:val="1569802970"/>
        <w:rPr>
          <w:rFonts w:ascii="等线" w:eastAsia="等线" w:hAnsi="等线"/>
          <w:sz w:val="21"/>
          <w:szCs w:val="21"/>
        </w:rPr>
      </w:pPr>
      <w:r>
        <w:rPr>
          <w:rFonts w:hint="eastAsia"/>
          <w:sz w:val="18"/>
          <w:szCs w:val="18"/>
        </w:rPr>
        <w:t>④本激励计划在2022年-2024年会计年度中，分年度对公司的业绩指标进行考核，以达到业绩考核目标作为激励对象当年度的解除限售条件之一。本激励计划业绩考核目标如下：</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9"/>
        <w:gridCol w:w="7590"/>
      </w:tblGrid>
      <w:tr w:rsidR="00CC38FA" w:rsidTr="00031125">
        <w:trPr>
          <w:divId w:val="1569802970"/>
          <w:trHeight w:val="356"/>
        </w:trPr>
        <w:tc>
          <w:tcPr>
            <w:tcW w:w="2039" w:type="dxa"/>
            <w:shd w:val="clear" w:color="auto" w:fill="D3D3D3"/>
            <w:vAlign w:val="center"/>
            <w:hideMark/>
          </w:tcPr>
          <w:p w:rsidR="00CC38FA" w:rsidRDefault="00CC38FA">
            <w:pPr>
              <w:pStyle w:val="a3"/>
              <w:spacing w:before="0" w:beforeAutospacing="0" w:after="0" w:afterAutospacing="0" w:line="240" w:lineRule="atLeast"/>
              <w:jc w:val="center"/>
              <w:rPr>
                <w:rFonts w:ascii="等线" w:eastAsia="等线" w:hAnsi="等线"/>
                <w:sz w:val="21"/>
                <w:szCs w:val="21"/>
              </w:rPr>
            </w:pPr>
            <w:r>
              <w:rPr>
                <w:rFonts w:hint="eastAsia"/>
                <w:color w:val="000000"/>
                <w:sz w:val="18"/>
                <w:szCs w:val="18"/>
              </w:rPr>
              <w:t>解锁期</w:t>
            </w:r>
          </w:p>
        </w:tc>
        <w:tc>
          <w:tcPr>
            <w:tcW w:w="7590" w:type="dxa"/>
            <w:shd w:val="clear" w:color="auto" w:fill="D3D3D3"/>
            <w:vAlign w:val="center"/>
            <w:hideMark/>
          </w:tcPr>
          <w:p w:rsidR="00CC38FA" w:rsidRDefault="00CC38FA">
            <w:pPr>
              <w:pStyle w:val="a3"/>
              <w:spacing w:before="0" w:beforeAutospacing="0" w:after="0" w:afterAutospacing="0" w:line="240" w:lineRule="atLeast"/>
              <w:jc w:val="center"/>
              <w:rPr>
                <w:rFonts w:ascii="等线" w:eastAsia="等线" w:hAnsi="等线"/>
                <w:sz w:val="21"/>
                <w:szCs w:val="21"/>
              </w:rPr>
            </w:pPr>
            <w:r>
              <w:rPr>
                <w:rFonts w:hint="eastAsia"/>
                <w:color w:val="000000"/>
                <w:sz w:val="18"/>
                <w:szCs w:val="18"/>
              </w:rPr>
              <w:t>业绩考核目标</w:t>
            </w:r>
          </w:p>
        </w:tc>
      </w:tr>
      <w:tr w:rsidR="00CC38FA" w:rsidTr="00031125">
        <w:trPr>
          <w:divId w:val="1569802970"/>
          <w:trHeight w:val="403"/>
        </w:trPr>
        <w:tc>
          <w:tcPr>
            <w:tcW w:w="2039" w:type="dxa"/>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第一个解锁期</w:t>
            </w:r>
          </w:p>
        </w:tc>
        <w:tc>
          <w:tcPr>
            <w:tcW w:w="7590" w:type="dxa"/>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以2021年的净利润为基数，2022年净利润增长率不低于25.00%</w:t>
            </w:r>
          </w:p>
        </w:tc>
      </w:tr>
      <w:tr w:rsidR="00CC38FA" w:rsidTr="00031125">
        <w:trPr>
          <w:divId w:val="1569802970"/>
          <w:trHeight w:val="409"/>
        </w:trPr>
        <w:tc>
          <w:tcPr>
            <w:tcW w:w="2039" w:type="dxa"/>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第二个解锁期</w:t>
            </w:r>
          </w:p>
        </w:tc>
        <w:tc>
          <w:tcPr>
            <w:tcW w:w="7590" w:type="dxa"/>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以2021年的净利润为基数，2023年净利润增长率不低于75.00%</w:t>
            </w:r>
          </w:p>
        </w:tc>
      </w:tr>
      <w:tr w:rsidR="00CC38FA" w:rsidTr="00031125">
        <w:trPr>
          <w:divId w:val="1569802970"/>
          <w:trHeight w:val="401"/>
        </w:trPr>
        <w:tc>
          <w:tcPr>
            <w:tcW w:w="2039" w:type="dxa"/>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第三个解锁期</w:t>
            </w:r>
          </w:p>
        </w:tc>
        <w:tc>
          <w:tcPr>
            <w:tcW w:w="7590" w:type="dxa"/>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以2021年的净利润为基数，2024年净利润增长率不低于125.00%</w:t>
            </w:r>
          </w:p>
        </w:tc>
      </w:tr>
    </w:tbl>
    <w:p w:rsidR="00CC38FA" w:rsidRDefault="00CC38FA">
      <w:pPr>
        <w:pStyle w:val="a3"/>
        <w:spacing w:before="0" w:beforeAutospacing="0" w:after="0" w:afterAutospacing="0" w:line="400" w:lineRule="atLeast"/>
        <w:ind w:firstLine="400"/>
        <w:jc w:val="both"/>
        <w:divId w:val="1569802970"/>
      </w:pPr>
      <w:r>
        <w:rPr>
          <w:rFonts w:hint="eastAsia"/>
          <w:sz w:val="18"/>
          <w:szCs w:val="18"/>
        </w:rPr>
        <w:t>注：上述“净利润”指经审计的归属于母公司的净利润。</w:t>
      </w:r>
    </w:p>
    <w:p w:rsidR="00CC38FA" w:rsidRDefault="00CC38FA">
      <w:pPr>
        <w:pStyle w:val="a3"/>
        <w:spacing w:before="0" w:beforeAutospacing="0" w:after="0" w:afterAutospacing="0" w:line="400" w:lineRule="atLeast"/>
        <w:ind w:left="482"/>
        <w:jc w:val="both"/>
        <w:divId w:val="1569802970"/>
      </w:pPr>
      <w:r>
        <w:rPr>
          <w:rStyle w:val="a4"/>
          <w:rFonts w:hint="eastAsia"/>
          <w:sz w:val="18"/>
          <w:szCs w:val="18"/>
        </w:rPr>
        <w:t xml:space="preserve">（5）2023年期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9"/>
        <w:gridCol w:w="5529"/>
      </w:tblGrid>
      <w:tr w:rsidR="00CC38FA" w:rsidTr="00031125">
        <w:trPr>
          <w:divId w:val="1569802970"/>
          <w:trHeight w:val="380"/>
          <w:tblHeader/>
        </w:trPr>
        <w:tc>
          <w:tcPr>
            <w:tcW w:w="3969" w:type="dxa"/>
            <w:shd w:val="clear" w:color="auto" w:fill="D3D3D3"/>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jc w:val="center"/>
              <w:rPr>
                <w:rFonts w:ascii="等线" w:eastAsia="等线" w:hAnsi="等线"/>
                <w:sz w:val="21"/>
                <w:szCs w:val="21"/>
              </w:rPr>
            </w:pPr>
            <w:r>
              <w:rPr>
                <w:rFonts w:hint="eastAsia"/>
                <w:color w:val="000000"/>
                <w:sz w:val="18"/>
                <w:szCs w:val="18"/>
              </w:rPr>
              <w:t>项目</w:t>
            </w:r>
          </w:p>
        </w:tc>
        <w:tc>
          <w:tcPr>
            <w:tcW w:w="5529" w:type="dxa"/>
            <w:shd w:val="clear" w:color="auto" w:fill="D3D3D3"/>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jc w:val="center"/>
              <w:rPr>
                <w:rFonts w:ascii="等线" w:eastAsia="等线" w:hAnsi="等线"/>
                <w:sz w:val="21"/>
                <w:szCs w:val="21"/>
              </w:rPr>
            </w:pPr>
            <w:r>
              <w:rPr>
                <w:rFonts w:hint="eastAsia"/>
                <w:color w:val="000000"/>
                <w:sz w:val="18"/>
                <w:szCs w:val="18"/>
              </w:rPr>
              <w:t>相关内容</w:t>
            </w:r>
          </w:p>
        </w:tc>
      </w:tr>
      <w:tr w:rsidR="00CC38FA" w:rsidTr="00031125">
        <w:trPr>
          <w:divId w:val="1569802970"/>
          <w:trHeight w:val="360"/>
        </w:trPr>
        <w:tc>
          <w:tcPr>
            <w:tcW w:w="3969" w:type="dxa"/>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公司本期授予的各项权益工具总额（元）</w:t>
            </w:r>
          </w:p>
        </w:tc>
        <w:tc>
          <w:tcPr>
            <w:tcW w:w="5529" w:type="dxa"/>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jc w:val="right"/>
              <w:rPr>
                <w:rFonts w:ascii="等线" w:eastAsia="等线" w:hAnsi="等线"/>
                <w:sz w:val="21"/>
                <w:szCs w:val="21"/>
              </w:rPr>
            </w:pPr>
            <w:r>
              <w:rPr>
                <w:rFonts w:ascii="等线" w:eastAsia="等线" w:hAnsi="等线" w:hint="eastAsia"/>
                <w:sz w:val="21"/>
                <w:szCs w:val="21"/>
              </w:rPr>
              <w:t> </w:t>
            </w:r>
          </w:p>
        </w:tc>
      </w:tr>
      <w:tr w:rsidR="00CC38FA" w:rsidTr="00031125">
        <w:trPr>
          <w:divId w:val="1569802970"/>
          <w:trHeight w:val="360"/>
        </w:trPr>
        <w:tc>
          <w:tcPr>
            <w:tcW w:w="3969" w:type="dxa"/>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公司本期行权的各项权益工具总额</w:t>
            </w:r>
          </w:p>
        </w:tc>
        <w:tc>
          <w:tcPr>
            <w:tcW w:w="5529" w:type="dxa"/>
            <w:tcMar>
              <w:top w:w="0" w:type="dxa"/>
              <w:left w:w="108" w:type="dxa"/>
              <w:bottom w:w="0" w:type="dxa"/>
              <w:right w:w="108" w:type="dxa"/>
            </w:tcMa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 </w:t>
            </w:r>
          </w:p>
        </w:tc>
      </w:tr>
      <w:tr w:rsidR="00CC38FA" w:rsidTr="00031125">
        <w:trPr>
          <w:divId w:val="1569802970"/>
          <w:trHeight w:val="360"/>
        </w:trPr>
        <w:tc>
          <w:tcPr>
            <w:tcW w:w="3969" w:type="dxa"/>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公司本期失效的各项权益工具总额</w:t>
            </w:r>
          </w:p>
        </w:tc>
        <w:tc>
          <w:tcPr>
            <w:tcW w:w="5529" w:type="dxa"/>
            <w:tcMar>
              <w:top w:w="0" w:type="dxa"/>
              <w:left w:w="108" w:type="dxa"/>
              <w:bottom w:w="0" w:type="dxa"/>
              <w:right w:w="108" w:type="dxa"/>
            </w:tcMa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 </w:t>
            </w:r>
          </w:p>
        </w:tc>
      </w:tr>
      <w:tr w:rsidR="00CC38FA" w:rsidTr="00031125">
        <w:trPr>
          <w:divId w:val="1569802970"/>
          <w:trHeight w:val="510"/>
        </w:trPr>
        <w:tc>
          <w:tcPr>
            <w:tcW w:w="3969" w:type="dxa"/>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公司期末发行在外的股份期权行权价格的范围和合同剩余期限</w:t>
            </w:r>
          </w:p>
        </w:tc>
        <w:tc>
          <w:tcPr>
            <w:tcW w:w="5529" w:type="dxa"/>
            <w:tcMar>
              <w:top w:w="0" w:type="dxa"/>
              <w:left w:w="108" w:type="dxa"/>
              <w:bottom w:w="0" w:type="dxa"/>
              <w:right w:w="108" w:type="dxa"/>
            </w:tcMa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 </w:t>
            </w:r>
          </w:p>
        </w:tc>
      </w:tr>
      <w:tr w:rsidR="00CC38FA" w:rsidTr="00031125">
        <w:trPr>
          <w:divId w:val="1569802970"/>
          <w:trHeight w:val="495"/>
        </w:trPr>
        <w:tc>
          <w:tcPr>
            <w:tcW w:w="3969" w:type="dxa"/>
            <w:tcMar>
              <w:top w:w="0" w:type="dxa"/>
              <w:left w:w="108" w:type="dxa"/>
              <w:bottom w:w="0" w:type="dxa"/>
              <w:right w:w="108" w:type="dxa"/>
            </w:tcMar>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公司期末其他权益工具行权价格的范围和合同剩余期限</w:t>
            </w:r>
          </w:p>
        </w:tc>
        <w:tc>
          <w:tcPr>
            <w:tcW w:w="5529" w:type="dxa"/>
            <w:tcMar>
              <w:top w:w="0" w:type="dxa"/>
              <w:left w:w="108" w:type="dxa"/>
              <w:bottom w:w="0" w:type="dxa"/>
              <w:right w:w="108" w:type="dxa"/>
            </w:tcMa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授予价格为4.00元/股；限制性股票激励计划的有效期为自限制性股票授予之日起至激励对象获授的限制性股票全部解除限售或回购注销完毕之日止，最长不超过48个月。</w:t>
            </w:r>
          </w:p>
        </w:tc>
      </w:tr>
    </w:tbl>
    <w:p w:rsidR="00CC38FA" w:rsidRDefault="00CC38FA">
      <w:pPr>
        <w:pStyle w:val="a3"/>
        <w:spacing w:before="0" w:beforeAutospacing="0" w:after="0" w:afterAutospacing="0"/>
        <w:ind w:firstLine="360"/>
        <w:divId w:val="1569802970"/>
        <w:rPr>
          <w:rFonts w:ascii="等线" w:eastAsia="等线" w:hAnsi="等线"/>
          <w:sz w:val="21"/>
          <w:szCs w:val="21"/>
        </w:rPr>
      </w:pPr>
      <w:r>
        <w:rPr>
          <w:rFonts w:hint="eastAsia"/>
          <w:sz w:val="18"/>
          <w:szCs w:val="18"/>
        </w:rPr>
        <w:t>公司于2023年8月15日召开2023年第一次临时股东大会审议通过了《关于〈软控股份有限公司2023年限制性股票激励计划（草案）〉及其摘要的议案》、《关于〈软控股份有限公司2023年限制性股票激励计划实施考核管理办法〉的议案》、《关于提请股东大会授权董事会办理股权激励相关事宜的议案》等与本次激励计划相关的议案。2023年8月28日召开第八届董事会第十一次会议、第八届监事会第十三次会议，审议通过了《关于向激励对象授予限制性股票的议案》，确定向符合激励计划的激励对象授予总计3,750.00万份权益。其中，确定对官炳政、张垚、杨慧丽等51名参加对象授予3,750万股限制性股票，本次实际51名参加对象认购37,500,000股限制性股票，股票面值1元，认购价格为4.00元/股。</w:t>
      </w:r>
    </w:p>
    <w:p w:rsidR="00CC38FA" w:rsidRDefault="00CC38FA">
      <w:pPr>
        <w:pStyle w:val="a3"/>
        <w:spacing w:before="0" w:beforeAutospacing="0" w:after="0" w:afterAutospacing="0"/>
        <w:ind w:firstLine="360"/>
        <w:divId w:val="1569802970"/>
        <w:rPr>
          <w:rFonts w:ascii="等线" w:eastAsia="等线" w:hAnsi="等线"/>
          <w:sz w:val="21"/>
          <w:szCs w:val="21"/>
        </w:rPr>
      </w:pPr>
      <w:r>
        <w:rPr>
          <w:rFonts w:hint="eastAsia"/>
          <w:sz w:val="18"/>
          <w:szCs w:val="18"/>
        </w:rPr>
        <w:t>本期员工持股计划通过向激励对象定向发行的公司人民币A股普通股股票，分两期解锁，解锁时点分别为自公司公告最后一笔标的股票过户至本期员工持股计划名下之日起满12个月、24个月，最长锁定期为24个月，每期解锁的标的股票比例分别为50%、50%，各年度具体解锁比例和数量根据公司业绩指标和持有人考核结果计算确定。</w:t>
      </w:r>
    </w:p>
    <w:p w:rsidR="00CC38FA" w:rsidRDefault="00CC38FA">
      <w:pPr>
        <w:pStyle w:val="a3"/>
        <w:spacing w:before="0" w:beforeAutospacing="0" w:after="0" w:afterAutospacing="0"/>
        <w:ind w:firstLine="360"/>
        <w:divId w:val="1569802970"/>
        <w:rPr>
          <w:rFonts w:ascii="等线" w:eastAsia="等线" w:hAnsi="等线"/>
          <w:sz w:val="21"/>
          <w:szCs w:val="21"/>
        </w:rPr>
      </w:pPr>
      <w:r>
        <w:rPr>
          <w:rFonts w:hint="eastAsia"/>
          <w:sz w:val="18"/>
          <w:szCs w:val="18"/>
        </w:rPr>
        <w:t>2023年8月28日，公司完成了2023年限制性股票激励计划限制性股票的授予登记工作，向51名激励对象授予3,750.00万份限制性股票，授予价格为4.00元/股，授予的限制性股票于2023年8月28日上市。公司全部有效的员工持股计划所持有的股票总数累计未超过公司股本总额的10%，单个员工所获股份权益对应的股票总数累计未超过公司股本总额的1%。</w:t>
      </w:r>
    </w:p>
    <w:p w:rsidR="00CC38FA" w:rsidRDefault="00CC38FA">
      <w:pPr>
        <w:pStyle w:val="a3"/>
        <w:spacing w:before="0" w:beforeAutospacing="0" w:after="0" w:afterAutospacing="0"/>
        <w:ind w:firstLine="360"/>
        <w:divId w:val="1569802970"/>
        <w:rPr>
          <w:rFonts w:ascii="等线" w:eastAsia="等线" w:hAnsi="等线"/>
          <w:sz w:val="21"/>
          <w:szCs w:val="21"/>
        </w:rPr>
      </w:pPr>
      <w:r>
        <w:rPr>
          <w:rFonts w:hint="eastAsia"/>
          <w:sz w:val="18"/>
          <w:szCs w:val="18"/>
        </w:rPr>
        <w:t>本激励计划在2023年-2024年会计年度中，分年度对公司的业绩指标进行考核，以达到业绩考核目标作为激励对象当年度的解除限售条件之一。本激励计划业绩考核目标如下：</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9"/>
        <w:gridCol w:w="7464"/>
      </w:tblGrid>
      <w:tr w:rsidR="00CC38FA" w:rsidTr="00031125">
        <w:trPr>
          <w:divId w:val="1569802970"/>
          <w:trHeight w:val="429"/>
        </w:trPr>
        <w:tc>
          <w:tcPr>
            <w:tcW w:w="2039" w:type="dxa"/>
            <w:shd w:val="clear" w:color="auto" w:fill="D3D3D3"/>
            <w:vAlign w:val="center"/>
            <w:hideMark/>
          </w:tcPr>
          <w:p w:rsidR="00CC38FA" w:rsidRDefault="00CC38FA">
            <w:pPr>
              <w:pStyle w:val="a3"/>
              <w:spacing w:before="0" w:beforeAutospacing="0" w:after="0" w:afterAutospacing="0" w:line="240" w:lineRule="atLeast"/>
              <w:jc w:val="center"/>
              <w:rPr>
                <w:rFonts w:ascii="等线" w:eastAsia="等线" w:hAnsi="等线"/>
                <w:sz w:val="21"/>
                <w:szCs w:val="21"/>
              </w:rPr>
            </w:pPr>
            <w:r>
              <w:rPr>
                <w:rFonts w:hint="eastAsia"/>
                <w:color w:val="000000"/>
                <w:sz w:val="18"/>
                <w:szCs w:val="18"/>
              </w:rPr>
              <w:t>解锁期</w:t>
            </w:r>
          </w:p>
        </w:tc>
        <w:tc>
          <w:tcPr>
            <w:tcW w:w="7464" w:type="dxa"/>
            <w:shd w:val="clear" w:color="auto" w:fill="D3D3D3"/>
            <w:vAlign w:val="center"/>
            <w:hideMark/>
          </w:tcPr>
          <w:p w:rsidR="00CC38FA" w:rsidRDefault="00CC38FA">
            <w:pPr>
              <w:pStyle w:val="a3"/>
              <w:spacing w:before="0" w:beforeAutospacing="0" w:after="0" w:afterAutospacing="0" w:line="240" w:lineRule="atLeast"/>
              <w:jc w:val="center"/>
              <w:rPr>
                <w:rFonts w:ascii="等线" w:eastAsia="等线" w:hAnsi="等线"/>
                <w:sz w:val="21"/>
                <w:szCs w:val="21"/>
              </w:rPr>
            </w:pPr>
            <w:r>
              <w:rPr>
                <w:rFonts w:hint="eastAsia"/>
                <w:color w:val="000000"/>
                <w:sz w:val="18"/>
                <w:szCs w:val="18"/>
              </w:rPr>
              <w:t>业绩考核目标</w:t>
            </w:r>
          </w:p>
        </w:tc>
      </w:tr>
      <w:tr w:rsidR="00CC38FA" w:rsidTr="00031125">
        <w:trPr>
          <w:divId w:val="1569802970"/>
          <w:trHeight w:val="583"/>
        </w:trPr>
        <w:tc>
          <w:tcPr>
            <w:tcW w:w="2039" w:type="dxa"/>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第一个解锁期</w:t>
            </w:r>
          </w:p>
        </w:tc>
        <w:tc>
          <w:tcPr>
            <w:tcW w:w="7464" w:type="dxa"/>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以2022年归属于上市公司股东的净利润为基数，2023年归属于上市公司股东的净利润增长率不低30.00%。</w:t>
            </w:r>
          </w:p>
        </w:tc>
      </w:tr>
      <w:tr w:rsidR="00CC38FA" w:rsidTr="00031125">
        <w:trPr>
          <w:divId w:val="1569802970"/>
          <w:trHeight w:val="618"/>
        </w:trPr>
        <w:tc>
          <w:tcPr>
            <w:tcW w:w="2039" w:type="dxa"/>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第二个解锁期</w:t>
            </w:r>
          </w:p>
        </w:tc>
        <w:tc>
          <w:tcPr>
            <w:tcW w:w="7464" w:type="dxa"/>
            <w:vAlign w:val="center"/>
            <w:hideMark/>
          </w:tcPr>
          <w:p w:rsidR="00CC38FA" w:rsidRDefault="00CC38FA">
            <w:pPr>
              <w:pStyle w:val="a3"/>
              <w:spacing w:before="0" w:beforeAutospacing="0" w:after="0" w:afterAutospacing="0" w:line="240" w:lineRule="atLeast"/>
              <w:rPr>
                <w:rFonts w:ascii="等线" w:eastAsia="等线" w:hAnsi="等线"/>
                <w:sz w:val="21"/>
                <w:szCs w:val="21"/>
              </w:rPr>
            </w:pPr>
            <w:r>
              <w:rPr>
                <w:rFonts w:hint="eastAsia"/>
                <w:sz w:val="18"/>
                <w:szCs w:val="18"/>
              </w:rPr>
              <w:t>以2022年归属于上市公司股东的净利润为基数，2024年归属于上市公司股东的净利润增长率不低60.00%。</w:t>
            </w:r>
          </w:p>
        </w:tc>
      </w:tr>
    </w:tbl>
    <w:p w:rsidR="00CC38FA" w:rsidRDefault="00CC38FA">
      <w:pPr>
        <w:pStyle w:val="a3"/>
        <w:divId w:val="1569802970"/>
      </w:pPr>
      <w:r>
        <w:rPr>
          <w:rFonts w:hint="eastAsia"/>
          <w:sz w:val="18"/>
          <w:szCs w:val="18"/>
        </w:rPr>
        <w:lastRenderedPageBreak/>
        <w:t>注：上述“净利润”指经审计的归属于上市公司股东的净利润，并剔除全部在有效期内激励计划股份支付费用影响的数值作为计算依据。</w:t>
      </w:r>
    </w:p>
    <w:p w:rsidR="007F3A90" w:rsidRDefault="00CC38FA">
      <w:pPr>
        <w:pStyle w:val="3"/>
        <w:spacing w:line="280" w:lineRule="exact"/>
        <w:jc w:val="left"/>
        <w:rPr>
          <w:rFonts w:ascii="宋体" w:hAnsi="宋体" w:cs="宋体"/>
          <w:b/>
          <w:bCs/>
        </w:rPr>
      </w:pPr>
      <w:bookmarkStart w:id="339" w:name="_Toc989228"/>
      <w:r>
        <w:rPr>
          <w:rFonts w:ascii="宋体" w:hAnsi="宋体" w:cs="宋体"/>
          <w:b/>
          <w:bCs/>
        </w:rPr>
        <w:t>2、以权益结算的股份支付情况</w:t>
      </w:r>
      <w:bookmarkEnd w:id="339"/>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644"/>
        <w:gridCol w:w="4995"/>
      </w:tblGrid>
      <w:tr w:rsidR="007F3A90" w:rsidTr="0004428A">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授予日权益工具公允价值的确定方法</w:t>
            </w:r>
          </w:p>
        </w:tc>
        <w:tc>
          <w:tcPr>
            <w:tcW w:w="499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以 Black-Scholes 模型（B-S 模型）作为定价模型，扣除激励对象在未来解除限售期取得理性预期收益所需要支付的成本后作为限制性股票的公允价值</w:t>
            </w:r>
          </w:p>
        </w:tc>
      </w:tr>
      <w:tr w:rsidR="007F3A90" w:rsidTr="0004428A">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可行权权益工具数量的确定依据</w:t>
            </w:r>
          </w:p>
        </w:tc>
        <w:tc>
          <w:tcPr>
            <w:tcW w:w="499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公司根据在职激励对象对应的权益工具、对未来年度公司业绩的预测及对个人绩效考核情况进行确定</w:t>
            </w:r>
          </w:p>
        </w:tc>
      </w:tr>
      <w:tr w:rsidR="007F3A90" w:rsidTr="0004428A">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本期估计与上期估计有重大差异的原因</w:t>
            </w:r>
          </w:p>
        </w:tc>
        <w:tc>
          <w:tcPr>
            <w:tcW w:w="499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无</w:t>
            </w:r>
          </w:p>
        </w:tc>
      </w:tr>
      <w:tr w:rsidR="007F3A90" w:rsidTr="0004428A">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以权益结算的股份支付计入资本公积的累计金额</w:t>
            </w:r>
          </w:p>
        </w:tc>
        <w:tc>
          <w:tcPr>
            <w:tcW w:w="499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371,839,249.58</w:t>
            </w:r>
          </w:p>
        </w:tc>
      </w:tr>
      <w:tr w:rsidR="007F3A90" w:rsidTr="0004428A">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本期以权益结算的股份支付确认的费用总额</w:t>
            </w:r>
          </w:p>
        </w:tc>
        <w:tc>
          <w:tcPr>
            <w:tcW w:w="499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55,741,278.18</w:t>
            </w:r>
          </w:p>
        </w:tc>
      </w:tr>
    </w:tbl>
    <w:p w:rsidR="007F3A90" w:rsidRDefault="00CC38FA">
      <w:pPr>
        <w:pStyle w:val="3"/>
        <w:spacing w:line="280" w:lineRule="exact"/>
        <w:jc w:val="left"/>
        <w:rPr>
          <w:rFonts w:ascii="宋体" w:hAnsi="宋体" w:cs="宋体"/>
          <w:b/>
          <w:bCs/>
        </w:rPr>
      </w:pPr>
      <w:bookmarkStart w:id="340" w:name="_Toc989229"/>
      <w:r>
        <w:rPr>
          <w:rFonts w:ascii="宋体" w:hAnsi="宋体" w:cs="宋体"/>
          <w:b/>
          <w:bCs/>
        </w:rPr>
        <w:t>3、以现金结算的股份支付情况</w:t>
      </w:r>
      <w:bookmarkEnd w:id="340"/>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pStyle w:val="3"/>
        <w:spacing w:line="280" w:lineRule="exact"/>
        <w:jc w:val="left"/>
        <w:rPr>
          <w:rFonts w:ascii="宋体" w:hAnsi="宋体" w:cs="宋体"/>
          <w:b/>
          <w:bCs/>
        </w:rPr>
      </w:pPr>
      <w:bookmarkStart w:id="341" w:name="_Toc989230"/>
      <w:r>
        <w:rPr>
          <w:rFonts w:ascii="宋体" w:hAnsi="宋体" w:cs="宋体"/>
          <w:b/>
          <w:bCs/>
        </w:rPr>
        <w:t>4、本期股份支付费用</w:t>
      </w:r>
      <w:bookmarkEnd w:id="341"/>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授予对象类别</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以权益结算的股份支付费用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以现金结算的股份支付费用</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关键员工</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55,741,278.18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55,741,278.18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bl>
    <w:p w:rsidR="007F3A90" w:rsidRDefault="00CC38FA">
      <w:pPr>
        <w:pStyle w:val="3"/>
        <w:spacing w:line="280" w:lineRule="exact"/>
        <w:jc w:val="left"/>
        <w:rPr>
          <w:rFonts w:ascii="宋体" w:hAnsi="宋体" w:cs="宋体"/>
          <w:b/>
          <w:bCs/>
        </w:rPr>
      </w:pPr>
      <w:bookmarkStart w:id="342" w:name="_Toc989231"/>
      <w:r>
        <w:rPr>
          <w:rFonts w:ascii="宋体" w:hAnsi="宋体" w:cs="宋体"/>
          <w:b/>
          <w:bCs/>
        </w:rPr>
        <w:t>5、股份支付的修改、终止情况</w:t>
      </w:r>
      <w:bookmarkEnd w:id="342"/>
    </w:p>
    <w:p w:rsidR="00CC38FA" w:rsidRDefault="00CC38FA">
      <w:pPr>
        <w:pStyle w:val="a3"/>
        <w:divId w:val="487210132"/>
        <w:rPr>
          <w:sz w:val="18"/>
          <w:szCs w:val="18"/>
        </w:rPr>
      </w:pPr>
      <w:r>
        <w:rPr>
          <w:rFonts w:hint="eastAsia"/>
          <w:sz w:val="18"/>
          <w:szCs w:val="18"/>
        </w:rPr>
        <w:t>无</w:t>
      </w:r>
    </w:p>
    <w:p w:rsidR="007F3A90" w:rsidRDefault="00CC38FA">
      <w:pPr>
        <w:pStyle w:val="3"/>
        <w:spacing w:line="280" w:lineRule="exact"/>
        <w:jc w:val="left"/>
        <w:rPr>
          <w:rFonts w:ascii="宋体" w:hAnsi="宋体" w:cs="宋体"/>
          <w:b/>
          <w:bCs/>
        </w:rPr>
      </w:pPr>
      <w:bookmarkStart w:id="343" w:name="_Toc989232"/>
      <w:r>
        <w:rPr>
          <w:rFonts w:ascii="宋体" w:hAnsi="宋体" w:cs="宋体"/>
          <w:b/>
          <w:bCs/>
        </w:rPr>
        <w:t xml:space="preserve">6、其他 </w:t>
      </w:r>
      <w:bookmarkEnd w:id="343"/>
    </w:p>
    <w:p w:rsidR="00CC38FA" w:rsidRDefault="00CC38FA">
      <w:pPr>
        <w:pStyle w:val="a3"/>
        <w:divId w:val="267809443"/>
        <w:rPr>
          <w:sz w:val="18"/>
          <w:szCs w:val="18"/>
        </w:rPr>
      </w:pPr>
      <w:r>
        <w:rPr>
          <w:rFonts w:hint="eastAsia"/>
          <w:sz w:val="18"/>
          <w:szCs w:val="18"/>
        </w:rPr>
        <w:t>无</w:t>
      </w:r>
    </w:p>
    <w:p w:rsidR="007F3A90" w:rsidRDefault="00CC38FA">
      <w:pPr>
        <w:pStyle w:val="2"/>
        <w:spacing w:before="300" w:after="300" w:line="320" w:lineRule="exact"/>
        <w:rPr>
          <w:rFonts w:ascii="宋体" w:eastAsia="宋体" w:hAnsi="宋体" w:cs="宋体"/>
          <w:b/>
          <w:bCs/>
          <w:sz w:val="24"/>
          <w:szCs w:val="24"/>
        </w:rPr>
      </w:pPr>
      <w:bookmarkStart w:id="344" w:name="_Toc989233"/>
      <w:r>
        <w:rPr>
          <w:rFonts w:ascii="宋体" w:eastAsia="宋体" w:hAnsi="宋体" w:cs="宋体"/>
          <w:b/>
          <w:bCs/>
          <w:sz w:val="24"/>
          <w:szCs w:val="24"/>
        </w:rPr>
        <w:t>十六、承诺及或有事项</w:t>
      </w:r>
      <w:bookmarkEnd w:id="344"/>
    </w:p>
    <w:p w:rsidR="007F3A90" w:rsidRDefault="00CC38FA">
      <w:pPr>
        <w:pStyle w:val="3"/>
        <w:spacing w:line="280" w:lineRule="exact"/>
        <w:jc w:val="left"/>
        <w:rPr>
          <w:rFonts w:ascii="宋体" w:hAnsi="宋体" w:cs="宋体"/>
          <w:b/>
          <w:bCs/>
        </w:rPr>
      </w:pPr>
      <w:bookmarkStart w:id="345" w:name="_Toc989234"/>
      <w:r>
        <w:rPr>
          <w:rFonts w:ascii="宋体" w:hAnsi="宋体" w:cs="宋体"/>
          <w:b/>
          <w:bCs/>
        </w:rPr>
        <w:t>1、重要承诺事项</w:t>
      </w:r>
      <w:bookmarkEnd w:id="345"/>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资产负债表日存在的重要承诺</w:t>
      </w:r>
    </w:p>
    <w:p w:rsidR="00CC38FA" w:rsidRDefault="00CC38FA">
      <w:pPr>
        <w:pStyle w:val="a3"/>
        <w:spacing w:before="0" w:beforeAutospacing="0" w:after="0" w:afterAutospacing="0"/>
        <w:jc w:val="both"/>
        <w:divId w:val="1885016564"/>
      </w:pPr>
      <w:r>
        <w:rPr>
          <w:rFonts w:hint="eastAsia"/>
          <w:sz w:val="18"/>
          <w:szCs w:val="18"/>
        </w:rPr>
        <w:t>截至2024年6月30日，本公司本期无需要披露的重要承诺事项。</w:t>
      </w:r>
    </w:p>
    <w:p w:rsidR="007F3A90" w:rsidRDefault="00CC38FA">
      <w:pPr>
        <w:pStyle w:val="2"/>
        <w:spacing w:before="300" w:after="300" w:line="320" w:lineRule="exact"/>
        <w:rPr>
          <w:rFonts w:ascii="宋体" w:eastAsia="宋体" w:hAnsi="宋体" w:cs="宋体"/>
          <w:b/>
          <w:bCs/>
          <w:sz w:val="24"/>
          <w:szCs w:val="24"/>
        </w:rPr>
      </w:pPr>
      <w:bookmarkStart w:id="346" w:name="_Toc989235"/>
      <w:r>
        <w:rPr>
          <w:rFonts w:ascii="宋体" w:eastAsia="宋体" w:hAnsi="宋体" w:cs="宋体"/>
          <w:b/>
          <w:bCs/>
          <w:sz w:val="24"/>
          <w:szCs w:val="24"/>
        </w:rPr>
        <w:lastRenderedPageBreak/>
        <w:t>十七、资产负债表日后事项</w:t>
      </w:r>
      <w:bookmarkEnd w:id="346"/>
    </w:p>
    <w:p w:rsidR="007F3A90" w:rsidRDefault="00CC38FA">
      <w:pPr>
        <w:pStyle w:val="3"/>
        <w:spacing w:line="280" w:lineRule="exact"/>
        <w:jc w:val="left"/>
        <w:rPr>
          <w:rFonts w:ascii="宋体" w:hAnsi="宋体" w:cs="宋体"/>
          <w:b/>
          <w:bCs/>
        </w:rPr>
      </w:pPr>
      <w:bookmarkStart w:id="347" w:name="_Toc989236"/>
      <w:r>
        <w:rPr>
          <w:rFonts w:ascii="宋体" w:hAnsi="宋体" w:cs="宋体"/>
          <w:b/>
          <w:bCs/>
        </w:rPr>
        <w:t>1、说明</w:t>
      </w:r>
      <w:bookmarkEnd w:id="347"/>
    </w:p>
    <w:p w:rsidR="00CC38FA" w:rsidRDefault="00CC38FA">
      <w:pPr>
        <w:pStyle w:val="a3"/>
        <w:divId w:val="1495802552"/>
        <w:rPr>
          <w:rFonts w:ascii="仿宋" w:eastAsia="仿宋" w:hAnsi="仿宋"/>
          <w:sz w:val="21"/>
          <w:szCs w:val="21"/>
        </w:rPr>
      </w:pPr>
      <w:r>
        <w:rPr>
          <w:rFonts w:ascii="仿宋" w:eastAsia="仿宋" w:hAnsi="仿宋" w:hint="eastAsia"/>
          <w:sz w:val="21"/>
          <w:szCs w:val="21"/>
        </w:rPr>
        <w:t>无。</w:t>
      </w:r>
    </w:p>
    <w:p w:rsidR="007F3A90" w:rsidRDefault="00CC38FA">
      <w:pPr>
        <w:pStyle w:val="2"/>
        <w:spacing w:before="300" w:after="300" w:line="320" w:lineRule="exact"/>
        <w:rPr>
          <w:rFonts w:ascii="宋体" w:eastAsia="宋体" w:hAnsi="宋体" w:cs="宋体"/>
          <w:b/>
          <w:bCs/>
          <w:sz w:val="24"/>
          <w:szCs w:val="24"/>
        </w:rPr>
      </w:pPr>
      <w:bookmarkStart w:id="348" w:name="_Toc989237"/>
      <w:r>
        <w:rPr>
          <w:rFonts w:ascii="宋体" w:eastAsia="宋体" w:hAnsi="宋体" w:cs="宋体"/>
          <w:b/>
          <w:bCs/>
          <w:sz w:val="24"/>
          <w:szCs w:val="24"/>
        </w:rPr>
        <w:t>十八、其他重要事项</w:t>
      </w:r>
      <w:bookmarkEnd w:id="348"/>
    </w:p>
    <w:p w:rsidR="007F3A90" w:rsidRDefault="00CC38FA">
      <w:pPr>
        <w:pStyle w:val="3"/>
        <w:spacing w:line="280" w:lineRule="exact"/>
        <w:jc w:val="left"/>
        <w:rPr>
          <w:rFonts w:ascii="宋体" w:hAnsi="宋体" w:cs="宋体"/>
          <w:b/>
          <w:bCs/>
        </w:rPr>
      </w:pPr>
      <w:bookmarkStart w:id="349" w:name="_Toc989238"/>
      <w:r>
        <w:rPr>
          <w:rFonts w:ascii="宋体" w:hAnsi="宋体" w:cs="宋体"/>
          <w:b/>
          <w:bCs/>
        </w:rPr>
        <w:t>1、分部信息</w:t>
      </w:r>
      <w:bookmarkEnd w:id="349"/>
    </w:p>
    <w:p w:rsidR="007F3A90" w:rsidRDefault="00CC38FA">
      <w:pPr>
        <w:keepNext/>
        <w:keepLines/>
        <w:spacing w:before="300" w:after="300" w:line="280" w:lineRule="exact"/>
        <w:outlineLvl w:val="3"/>
        <w:rPr>
          <w:rFonts w:ascii="宋体" w:eastAsia="宋体" w:hAnsi="宋体" w:cs="宋体"/>
          <w:b/>
          <w:bCs/>
          <w:szCs w:val="21"/>
        </w:rPr>
      </w:pPr>
      <w:bookmarkStart w:id="350" w:name="_Toc989239"/>
      <w:r>
        <w:rPr>
          <w:rFonts w:ascii="宋体" w:eastAsia="宋体" w:hAnsi="宋体" w:cs="宋体"/>
          <w:b/>
          <w:bCs/>
          <w:szCs w:val="21"/>
        </w:rPr>
        <w:t>（1） 报告分部的确定依据与会计政策</w:t>
      </w:r>
      <w:bookmarkEnd w:id="350"/>
    </w:p>
    <w:p w:rsidR="00CC38FA" w:rsidRDefault="00CC38FA">
      <w:pPr>
        <w:pStyle w:val="a3"/>
        <w:spacing w:before="0" w:beforeAutospacing="0" w:after="0" w:afterAutospacing="0"/>
        <w:ind w:firstLine="360"/>
        <w:divId w:val="51198886"/>
        <w:rPr>
          <w:rFonts w:ascii="等线" w:eastAsia="等线" w:hAnsi="等线"/>
          <w:sz w:val="21"/>
          <w:szCs w:val="21"/>
        </w:rPr>
      </w:pPr>
      <w:r>
        <w:rPr>
          <w:rFonts w:hint="eastAsia"/>
          <w:sz w:val="18"/>
          <w:szCs w:val="18"/>
        </w:rPr>
        <w:t>公司以内部组织结构、管理要求、内部报告制度等为依据确定经营分部。公司的经营分部是指同时满足下列条件的组成部分：</w:t>
      </w:r>
    </w:p>
    <w:p w:rsidR="00CC38FA" w:rsidRDefault="00CC38FA">
      <w:pPr>
        <w:pStyle w:val="a3"/>
        <w:spacing w:before="0" w:beforeAutospacing="0" w:after="0" w:afterAutospacing="0"/>
        <w:ind w:firstLine="360"/>
        <w:divId w:val="51198886"/>
        <w:rPr>
          <w:rFonts w:ascii="等线" w:eastAsia="等线" w:hAnsi="等线"/>
          <w:sz w:val="21"/>
          <w:szCs w:val="21"/>
        </w:rPr>
      </w:pPr>
      <w:r>
        <w:rPr>
          <w:rFonts w:hint="eastAsia"/>
          <w:sz w:val="18"/>
          <w:szCs w:val="18"/>
        </w:rPr>
        <w:t>①该组成部分能够在日常活动中产生收入、发生费用；</w:t>
      </w:r>
    </w:p>
    <w:p w:rsidR="00CC38FA" w:rsidRDefault="00CC38FA">
      <w:pPr>
        <w:pStyle w:val="a3"/>
        <w:spacing w:before="0" w:beforeAutospacing="0" w:after="0" w:afterAutospacing="0"/>
        <w:ind w:firstLine="360"/>
        <w:divId w:val="51198886"/>
        <w:rPr>
          <w:rFonts w:ascii="等线" w:eastAsia="等线" w:hAnsi="等线"/>
          <w:sz w:val="21"/>
          <w:szCs w:val="21"/>
        </w:rPr>
      </w:pPr>
      <w:r>
        <w:rPr>
          <w:rFonts w:hint="eastAsia"/>
          <w:sz w:val="18"/>
          <w:szCs w:val="18"/>
        </w:rPr>
        <w:t>②管理层能够定期评价该组成部分的经营成果，以决定向其配置资源、评价其业绩；</w:t>
      </w:r>
    </w:p>
    <w:p w:rsidR="00CC38FA" w:rsidRDefault="00CC38FA">
      <w:pPr>
        <w:pStyle w:val="a3"/>
        <w:spacing w:before="0" w:beforeAutospacing="0" w:after="0" w:afterAutospacing="0"/>
        <w:ind w:firstLine="360"/>
        <w:divId w:val="51198886"/>
        <w:rPr>
          <w:rFonts w:ascii="等线" w:eastAsia="等线" w:hAnsi="等线"/>
          <w:sz w:val="21"/>
          <w:szCs w:val="21"/>
        </w:rPr>
      </w:pPr>
      <w:r>
        <w:rPr>
          <w:rFonts w:hint="eastAsia"/>
          <w:sz w:val="18"/>
          <w:szCs w:val="18"/>
        </w:rPr>
        <w:t>③能够通过分析取得该组成部分的财务状况、经营成果和现金流量等有关会计信息。</w:t>
      </w:r>
    </w:p>
    <w:p w:rsidR="00CC38FA" w:rsidRDefault="00CC38FA">
      <w:pPr>
        <w:pStyle w:val="a3"/>
        <w:spacing w:before="0" w:beforeAutospacing="0" w:after="0" w:afterAutospacing="0"/>
        <w:ind w:firstLine="360"/>
        <w:divId w:val="51198886"/>
        <w:rPr>
          <w:rFonts w:ascii="等线" w:eastAsia="等线" w:hAnsi="等线"/>
          <w:sz w:val="21"/>
          <w:szCs w:val="21"/>
        </w:rPr>
      </w:pPr>
      <w:r>
        <w:rPr>
          <w:rFonts w:hint="eastAsia"/>
          <w:sz w:val="18"/>
          <w:szCs w:val="18"/>
        </w:rPr>
        <w:t>本公司以行业分部为基础确定报告分部，主营业务收入、主营业务成本按销售商品类别进行划分。</w:t>
      </w:r>
    </w:p>
    <w:p w:rsidR="007F3A90" w:rsidRDefault="00CC38FA">
      <w:pPr>
        <w:keepNext/>
        <w:keepLines/>
        <w:spacing w:before="300" w:after="300" w:line="280" w:lineRule="exact"/>
        <w:outlineLvl w:val="3"/>
        <w:rPr>
          <w:rFonts w:ascii="宋体" w:eastAsia="宋体" w:hAnsi="宋体" w:cs="宋体"/>
          <w:b/>
          <w:bCs/>
          <w:szCs w:val="21"/>
        </w:rPr>
      </w:pPr>
      <w:bookmarkStart w:id="351" w:name="_Toc989240"/>
      <w:r>
        <w:rPr>
          <w:rFonts w:ascii="宋体" w:eastAsia="宋体" w:hAnsi="宋体" w:cs="宋体"/>
          <w:b/>
          <w:bCs/>
          <w:szCs w:val="21"/>
        </w:rPr>
        <w:t>（2） 报告分部的财务信息</w:t>
      </w:r>
      <w:bookmarkEnd w:id="351"/>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838"/>
        <w:gridCol w:w="2018"/>
      </w:tblGrid>
      <w:tr w:rsidR="007F3A90" w:rsidTr="00031125">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jc w:val="center"/>
              <w:rPr>
                <w:rFonts w:ascii="宋体" w:eastAsia="宋体" w:hAnsi="宋体" w:cs="宋体"/>
                <w:sz w:val="18"/>
                <w:szCs w:val="18"/>
              </w:rPr>
            </w:pPr>
            <w:r>
              <w:rPr>
                <w:rFonts w:ascii="宋体" w:eastAsia="宋体" w:hAnsi="宋体" w:cs="宋体"/>
                <w:sz w:val="18"/>
                <w:szCs w:val="18"/>
              </w:rPr>
              <w:t>软件业</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line="240" w:lineRule="exact"/>
              <w:jc w:val="center"/>
              <w:rPr>
                <w:rFonts w:ascii="宋体" w:eastAsia="宋体" w:hAnsi="宋体" w:cs="宋体"/>
                <w:sz w:val="18"/>
                <w:szCs w:val="18"/>
              </w:rPr>
            </w:pPr>
            <w:r>
              <w:rPr>
                <w:rFonts w:ascii="宋体" w:eastAsia="宋体" w:hAnsi="宋体" w:cs="宋体"/>
                <w:sz w:val="18"/>
                <w:szCs w:val="18"/>
              </w:rPr>
              <w:t>制造及安装业</w:t>
            </w:r>
          </w:p>
        </w:tc>
        <w:tc>
          <w:tcPr>
            <w:tcW w:w="183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分部间抵销</w:t>
            </w:r>
          </w:p>
        </w:tc>
        <w:tc>
          <w:tcPr>
            <w:tcW w:w="201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7F3A90" w:rsidTr="0004428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营业收入</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105,214,189.79</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3,225,052,250.95</w:t>
            </w:r>
          </w:p>
        </w:tc>
        <w:tc>
          <w:tcPr>
            <w:tcW w:w="183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105,214,189.79</w:t>
            </w:r>
          </w:p>
        </w:tc>
        <w:tc>
          <w:tcPr>
            <w:tcW w:w="20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3,225,052,250.95</w:t>
            </w:r>
          </w:p>
        </w:tc>
      </w:tr>
      <w:tr w:rsidR="007F3A90" w:rsidTr="0004428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营业成本</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2,550,179.95</w:t>
            </w:r>
          </w:p>
        </w:tc>
        <w:tc>
          <w:tcPr>
            <w:tcW w:w="192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2,588,618,267.95</w:t>
            </w:r>
          </w:p>
        </w:tc>
        <w:tc>
          <w:tcPr>
            <w:tcW w:w="183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105,214,189.79</w:t>
            </w:r>
          </w:p>
        </w:tc>
        <w:tc>
          <w:tcPr>
            <w:tcW w:w="2018" w:type="dxa"/>
            <w:tcBorders>
              <w:top w:val="single" w:sz="2" w:space="0" w:color="auto"/>
              <w:left w:val="single" w:sz="2" w:space="0" w:color="auto"/>
              <w:bottom w:val="single" w:sz="2" w:space="0" w:color="auto"/>
              <w:right w:val="single" w:sz="2" w:space="0" w:color="auto"/>
            </w:tcBorders>
            <w:vAlign w:val="center"/>
          </w:tcPr>
          <w:p w:rsidR="007F3A90" w:rsidRDefault="003C6C54" w:rsidP="003C6C54">
            <w:pPr>
              <w:spacing w:line="240" w:lineRule="exact"/>
              <w:jc w:val="right"/>
              <w:rPr>
                <w:rFonts w:ascii="宋体" w:eastAsia="宋体" w:hAnsi="宋体" w:cs="宋体"/>
                <w:sz w:val="18"/>
                <w:szCs w:val="18"/>
              </w:rPr>
            </w:pPr>
            <w:r>
              <w:rPr>
                <w:rFonts w:ascii="宋体" w:eastAsia="宋体" w:hAnsi="宋体" w:cs="宋体"/>
                <w:sz w:val="18"/>
                <w:szCs w:val="18"/>
              </w:rPr>
              <w:t>2,485,954,258</w:t>
            </w:r>
            <w:r>
              <w:rPr>
                <w:rFonts w:ascii="宋体" w:eastAsia="宋体" w:hAnsi="宋体" w:cs="宋体" w:hint="eastAsia"/>
                <w:sz w:val="18"/>
                <w:szCs w:val="18"/>
              </w:rPr>
              <w:t>.</w:t>
            </w:r>
            <w:r w:rsidR="00CC38FA">
              <w:rPr>
                <w:rFonts w:ascii="宋体" w:eastAsia="宋体" w:hAnsi="宋体" w:cs="宋体"/>
                <w:sz w:val="18"/>
                <w:szCs w:val="18"/>
              </w:rPr>
              <w:t>11</w:t>
            </w:r>
          </w:p>
        </w:tc>
      </w:tr>
    </w:tbl>
    <w:p w:rsidR="007F3A90" w:rsidRDefault="00CC38FA">
      <w:pPr>
        <w:pStyle w:val="2"/>
        <w:spacing w:before="300" w:after="300" w:line="320" w:lineRule="exact"/>
        <w:rPr>
          <w:rFonts w:ascii="宋体" w:eastAsia="宋体" w:hAnsi="宋体" w:cs="宋体"/>
          <w:b/>
          <w:bCs/>
          <w:sz w:val="24"/>
          <w:szCs w:val="24"/>
        </w:rPr>
      </w:pPr>
      <w:bookmarkStart w:id="352" w:name="_Toc989241"/>
      <w:r>
        <w:rPr>
          <w:rFonts w:ascii="宋体" w:eastAsia="宋体" w:hAnsi="宋体" w:cs="宋体"/>
          <w:b/>
          <w:bCs/>
          <w:sz w:val="24"/>
          <w:szCs w:val="24"/>
        </w:rPr>
        <w:t>十九、母公司财务报表主要项目注释</w:t>
      </w:r>
      <w:bookmarkEnd w:id="352"/>
    </w:p>
    <w:p w:rsidR="007F3A90" w:rsidRDefault="00CC38FA">
      <w:pPr>
        <w:pStyle w:val="3"/>
        <w:spacing w:line="280" w:lineRule="exact"/>
        <w:jc w:val="left"/>
        <w:rPr>
          <w:rFonts w:ascii="宋体" w:hAnsi="宋体" w:cs="宋体"/>
          <w:b/>
          <w:bCs/>
        </w:rPr>
      </w:pPr>
      <w:bookmarkStart w:id="353" w:name="_Toc989242"/>
      <w:r>
        <w:rPr>
          <w:rFonts w:ascii="宋体" w:hAnsi="宋体" w:cs="宋体"/>
          <w:b/>
          <w:bCs/>
        </w:rPr>
        <w:t>1、应收账款</w:t>
      </w:r>
      <w:bookmarkEnd w:id="353"/>
    </w:p>
    <w:p w:rsidR="007F3A90" w:rsidRDefault="00CC38FA">
      <w:pPr>
        <w:keepNext/>
        <w:keepLines/>
        <w:spacing w:before="300" w:after="300" w:line="280" w:lineRule="exact"/>
        <w:outlineLvl w:val="3"/>
        <w:rPr>
          <w:rFonts w:ascii="宋体" w:eastAsia="宋体" w:hAnsi="宋体" w:cs="宋体"/>
          <w:b/>
          <w:bCs/>
          <w:szCs w:val="21"/>
        </w:rPr>
      </w:pPr>
      <w:bookmarkStart w:id="354" w:name="_Toc989243"/>
      <w:r>
        <w:rPr>
          <w:rFonts w:ascii="宋体" w:eastAsia="宋体" w:hAnsi="宋体" w:cs="宋体"/>
          <w:b/>
          <w:bCs/>
          <w:szCs w:val="21"/>
        </w:rPr>
        <w:t>（1） 按账龄披露</w:t>
      </w:r>
      <w:bookmarkEnd w:id="354"/>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209,318,551.04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227,925,586.46</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79,953,405.82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69,466,166.56</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48,686,763.91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45,201,267.32</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541,336,760.40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526,612,255.13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47,895,307.57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52,917,214.90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48,929,891.19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54,155,095.58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444,511,561.64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419,539,944.65</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879,295,481.17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869,205,275.47</w:t>
            </w:r>
          </w:p>
        </w:tc>
      </w:tr>
    </w:tbl>
    <w:p w:rsidR="007F3A90" w:rsidRDefault="00CC38FA">
      <w:pPr>
        <w:keepNext/>
        <w:keepLines/>
        <w:spacing w:before="300" w:after="300" w:line="280" w:lineRule="exact"/>
        <w:outlineLvl w:val="3"/>
        <w:rPr>
          <w:rFonts w:ascii="宋体" w:eastAsia="宋体" w:hAnsi="宋体" w:cs="宋体"/>
          <w:b/>
          <w:bCs/>
          <w:szCs w:val="21"/>
        </w:rPr>
      </w:pPr>
      <w:bookmarkStart w:id="355" w:name="_Toc989244"/>
      <w:r>
        <w:rPr>
          <w:rFonts w:ascii="宋体" w:eastAsia="宋体" w:hAnsi="宋体" w:cs="宋体"/>
          <w:b/>
          <w:bCs/>
          <w:szCs w:val="21"/>
        </w:rPr>
        <w:t>（2） 按坏账计提方法分类披露</w:t>
      </w:r>
      <w:bookmarkEnd w:id="355"/>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7F3A90">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7F3A90">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按单项计提坏账准备的应收账款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10,565,414.41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10,565,414.41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10,609,867.21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1.22%</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10,609,867.21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868,730,066.76</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98.80%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48,615,905.56</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5.60%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820,114,161.20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858,595,408.26</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98.78%</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55,068,403.31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803,527,004.95</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其中：账龄组合</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55,060,137.85</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6.26%</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48,615,905.56</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88.30%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6,444,232.29</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64,459,218.87</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7.42%</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55,068,403.31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85.43%</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9,390,815.56</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合并范围内公司</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813,669,928.91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92.54%</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813,669,928.91</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794,136,189.39</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91.36%</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794,136,189.39</w:t>
            </w:r>
          </w:p>
        </w:tc>
      </w:tr>
      <w:tr w:rsidR="007F3A9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879,295,481.17</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59,181,319.97</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6.73%</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820,114,161.20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869,205,275.47</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65,678,270.52</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7.56%</w:t>
            </w:r>
          </w:p>
        </w:tc>
        <w:tc>
          <w:tcPr>
            <w:tcW w:w="8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803,527,004.95</w:t>
            </w:r>
          </w:p>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按单项计提坏账准备类别名称：</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7F3A90">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7F3A90">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计提理由</w:t>
            </w:r>
          </w:p>
        </w:tc>
      </w:tr>
      <w:tr w:rsidR="007F3A90">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A公司</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9,005,148.41</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9,005,148.41</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9,005,148.41</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9,005,148.41</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无法收回</w:t>
            </w:r>
          </w:p>
        </w:tc>
      </w:tr>
      <w:tr w:rsidR="007F3A90">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B公司</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1,145,086.00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1,145,086.00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1,145,086.00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1,145,086.00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无法收回</w:t>
            </w:r>
          </w:p>
        </w:tc>
      </w:tr>
      <w:tr w:rsidR="007F3A90">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C公司</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415,180.00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415,180.00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415,180.00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415,180.00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无法收回</w:t>
            </w:r>
          </w:p>
        </w:tc>
      </w:tr>
      <w:tr w:rsidR="007F3A90">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D公司</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44,452.80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44,452.80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无法收回</w:t>
            </w:r>
          </w:p>
        </w:tc>
      </w:tr>
      <w:tr w:rsidR="007F3A90">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10,609,867.21</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10,609,867.21</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10,565,414.41</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10,565,414.41</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按组合计提坏账准备类别名称：</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7F3A90">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7F3A90">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7F3A9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1年以内</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1,695,128.53</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33,902.57</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2.00%</w:t>
            </w:r>
          </w:p>
        </w:tc>
      </w:tr>
      <w:tr w:rsidR="007F3A9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1至2年</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3,576,225.20</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178,811.26</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5.00%</w:t>
            </w:r>
          </w:p>
        </w:tc>
      </w:tr>
      <w:tr w:rsidR="007F3A9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2至3年</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788,099.85</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78,809.99</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w:t>
            </w:r>
          </w:p>
        </w:tc>
      </w:tr>
      <w:tr w:rsidR="007F3A9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3至4年</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1,262,538.40</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631,269.20</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50.00%</w:t>
            </w:r>
          </w:p>
        </w:tc>
      </w:tr>
      <w:tr w:rsidR="007F3A9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4至5年</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225,166.65</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180,133.32</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80.00%</w:t>
            </w:r>
          </w:p>
        </w:tc>
      </w:tr>
      <w:tr w:rsidR="007F3A9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5年以上</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47,512,979.22</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47,512,979.22</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100.00%</w:t>
            </w:r>
          </w:p>
        </w:tc>
      </w:tr>
      <w:tr w:rsidR="007F3A9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55,060,137.85</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48,615,905.56</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如是按照预期信用损失一般模型计提应收账款坏账准备：</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keepNext/>
        <w:keepLines/>
        <w:spacing w:before="300" w:after="300" w:line="280" w:lineRule="exact"/>
        <w:outlineLvl w:val="3"/>
        <w:rPr>
          <w:rFonts w:ascii="宋体" w:eastAsia="宋体" w:hAnsi="宋体" w:cs="宋体"/>
          <w:b/>
          <w:bCs/>
          <w:szCs w:val="21"/>
        </w:rPr>
      </w:pPr>
      <w:bookmarkStart w:id="356" w:name="_Toc989245"/>
      <w:r>
        <w:rPr>
          <w:rFonts w:ascii="宋体" w:eastAsia="宋体" w:hAnsi="宋体" w:cs="宋体"/>
          <w:b/>
          <w:bCs/>
          <w:szCs w:val="21"/>
        </w:rPr>
        <w:lastRenderedPageBreak/>
        <w:t>（3） 本期计提、收回或转回的坏账准备情况</w:t>
      </w:r>
      <w:bookmarkEnd w:id="356"/>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本期计提坏账准备情况：</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850"/>
        <w:gridCol w:w="1559"/>
        <w:gridCol w:w="1276"/>
        <w:gridCol w:w="992"/>
        <w:gridCol w:w="992"/>
        <w:gridCol w:w="1593"/>
      </w:tblGrid>
      <w:tr w:rsidR="007F3A90" w:rsidTr="0004428A">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8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481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5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7F3A90" w:rsidTr="0004428A">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8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5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rsidTr="0004428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65,678,270.52</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-6,496,950.55</w:t>
            </w:r>
          </w:p>
        </w:tc>
        <w:tc>
          <w:tcPr>
            <w:tcW w:w="12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59,181,319.97</w:t>
            </w:r>
          </w:p>
        </w:tc>
      </w:tr>
      <w:tr w:rsidR="007F3A90" w:rsidTr="0004428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65,678,270.52</w:t>
            </w:r>
          </w:p>
        </w:tc>
        <w:tc>
          <w:tcPr>
            <w:tcW w:w="15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-6,496,950.55</w:t>
            </w:r>
          </w:p>
        </w:tc>
        <w:tc>
          <w:tcPr>
            <w:tcW w:w="12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59,181,319.97</w:t>
            </w:r>
          </w:p>
        </w:tc>
      </w:tr>
    </w:tbl>
    <w:p w:rsidR="007F3A90" w:rsidRDefault="00CC38FA">
      <w:pPr>
        <w:keepNext/>
        <w:keepLines/>
        <w:spacing w:before="300" w:after="300" w:line="280" w:lineRule="exact"/>
        <w:outlineLvl w:val="3"/>
        <w:rPr>
          <w:rFonts w:ascii="宋体" w:eastAsia="宋体" w:hAnsi="宋体" w:cs="宋体"/>
          <w:b/>
          <w:bCs/>
          <w:szCs w:val="21"/>
        </w:rPr>
      </w:pPr>
      <w:bookmarkStart w:id="357" w:name="_Toc989246"/>
      <w:r>
        <w:rPr>
          <w:rFonts w:ascii="宋体" w:eastAsia="宋体" w:hAnsi="宋体" w:cs="宋体"/>
          <w:b/>
          <w:bCs/>
          <w:szCs w:val="21"/>
        </w:rPr>
        <w:t>（4）  本期实际核销的应收账款情况</w:t>
      </w:r>
      <w:bookmarkEnd w:id="357"/>
    </w:p>
    <w:p w:rsidR="00CC38FA" w:rsidRDefault="00CC38FA">
      <w:pPr>
        <w:pStyle w:val="a3"/>
        <w:divId w:val="1506243688"/>
        <w:rPr>
          <w:rFonts w:ascii="仿宋" w:eastAsia="仿宋" w:hAnsi="仿宋"/>
          <w:sz w:val="21"/>
          <w:szCs w:val="21"/>
        </w:rPr>
      </w:pPr>
      <w:r>
        <w:rPr>
          <w:rFonts w:ascii="仿宋" w:eastAsia="仿宋" w:hAnsi="仿宋" w:hint="eastAsia"/>
          <w:sz w:val="21"/>
          <w:szCs w:val="21"/>
        </w:rPr>
        <w:t>无</w:t>
      </w:r>
    </w:p>
    <w:p w:rsidR="007F3A90" w:rsidRDefault="00CC38FA">
      <w:pPr>
        <w:keepNext/>
        <w:keepLines/>
        <w:spacing w:before="300" w:after="300" w:line="280" w:lineRule="exact"/>
        <w:outlineLvl w:val="3"/>
        <w:rPr>
          <w:rFonts w:ascii="宋体" w:eastAsia="宋体" w:hAnsi="宋体" w:cs="宋体"/>
          <w:b/>
          <w:bCs/>
          <w:szCs w:val="21"/>
        </w:rPr>
      </w:pPr>
      <w:bookmarkStart w:id="358" w:name="_Toc989247"/>
      <w:r>
        <w:rPr>
          <w:rFonts w:ascii="宋体" w:eastAsia="宋体" w:hAnsi="宋体" w:cs="宋体"/>
          <w:b/>
          <w:bCs/>
          <w:szCs w:val="21"/>
        </w:rPr>
        <w:t>（5） 按欠款方归集的期末余额前五名的应收账款和合同资产情况</w:t>
      </w:r>
      <w:bookmarkEnd w:id="358"/>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应收账款和合同资产期末余额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占应收账款和合同资产期末余额合计数的比例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应收账款坏账准备和合同资产减值准备期末余额</w:t>
            </w: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A公司</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505,566,928.21</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505,566,928.21</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57.50%</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B公司</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233,000,000.00</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233,000,000.00</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26.50%</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C公司</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71,290,000.00</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71,290,000.00</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8.11%</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D公司</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15,577,970.23</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15,577,970.23</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1.77%</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15,577,970.23</w:t>
            </w: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E公司</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9,005,148.41</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9,005,148.41</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1.02%</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9,005,148.41</w:t>
            </w:r>
          </w:p>
        </w:tc>
      </w:tr>
      <w:tr w:rsidR="007F3A9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834,440,046.85</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834,440,046.85</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94.90%</w:t>
            </w:r>
          </w:p>
        </w:tc>
        <w:tc>
          <w:tcPr>
            <w:tcW w:w="160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24,583,118.64</w:t>
            </w:r>
          </w:p>
        </w:tc>
      </w:tr>
    </w:tbl>
    <w:p w:rsidR="007F3A90" w:rsidRDefault="00CC38FA">
      <w:pPr>
        <w:pStyle w:val="3"/>
        <w:spacing w:line="280" w:lineRule="exact"/>
        <w:jc w:val="left"/>
        <w:rPr>
          <w:rFonts w:ascii="宋体" w:hAnsi="宋体" w:cs="宋体"/>
          <w:b/>
          <w:bCs/>
        </w:rPr>
      </w:pPr>
      <w:bookmarkStart w:id="359" w:name="_Toc989248"/>
      <w:r>
        <w:rPr>
          <w:rFonts w:ascii="宋体" w:hAnsi="宋体" w:cs="宋体"/>
          <w:b/>
          <w:bCs/>
        </w:rPr>
        <w:t>2、其他应收款</w:t>
      </w:r>
      <w:bookmarkEnd w:id="359"/>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404,084,435.82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395,141,504.10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404,084,435.82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395,141,504.10</w:t>
            </w:r>
          </w:p>
        </w:tc>
      </w:tr>
    </w:tbl>
    <w:p w:rsidR="007F3A90" w:rsidRDefault="00CC38FA">
      <w:pPr>
        <w:keepNext/>
        <w:keepLines/>
        <w:spacing w:before="300" w:after="300" w:line="280" w:lineRule="exact"/>
        <w:outlineLvl w:val="3"/>
        <w:rPr>
          <w:rFonts w:ascii="宋体" w:eastAsia="宋体" w:hAnsi="宋体" w:cs="宋体"/>
          <w:b/>
          <w:bCs/>
          <w:sz w:val="18"/>
          <w:szCs w:val="18"/>
        </w:rPr>
      </w:pPr>
      <w:bookmarkStart w:id="360" w:name="_Toc989249"/>
      <w:r>
        <w:rPr>
          <w:rFonts w:ascii="宋体" w:eastAsia="宋体" w:hAnsi="宋体" w:cs="宋体"/>
          <w:b/>
          <w:bCs/>
          <w:sz w:val="18"/>
          <w:szCs w:val="18"/>
        </w:rPr>
        <w:t>（1） 其他应收款</w:t>
      </w:r>
      <w:bookmarkEnd w:id="360"/>
    </w:p>
    <w:p w:rsidR="007F3A90" w:rsidRDefault="00CC38FA">
      <w:pPr>
        <w:keepNext/>
        <w:keepLines/>
        <w:spacing w:before="300" w:after="300" w:line="280" w:lineRule="exact"/>
        <w:outlineLvl w:val="4"/>
        <w:rPr>
          <w:rFonts w:ascii="宋体" w:eastAsia="宋体" w:hAnsi="宋体" w:cs="宋体"/>
          <w:b/>
          <w:bCs/>
          <w:sz w:val="18"/>
          <w:szCs w:val="18"/>
        </w:rPr>
      </w:pPr>
      <w:bookmarkStart w:id="361" w:name="_Toc989250"/>
      <w:r>
        <w:rPr>
          <w:rFonts w:ascii="宋体" w:eastAsia="宋体" w:hAnsi="宋体" w:cs="宋体"/>
          <w:b/>
          <w:bCs/>
          <w:sz w:val="18"/>
          <w:szCs w:val="18"/>
        </w:rPr>
        <w:t>1） 其他应收款按款项性质分类情况</w:t>
      </w:r>
      <w:bookmarkEnd w:id="361"/>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404,084,435.82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395,141,504.10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404,084,435.82</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395,141,504.10</w:t>
            </w:r>
          </w:p>
        </w:tc>
      </w:tr>
    </w:tbl>
    <w:p w:rsidR="007F3A90" w:rsidRDefault="00CC38FA">
      <w:pPr>
        <w:keepNext/>
        <w:keepLines/>
        <w:spacing w:before="300" w:after="300" w:line="280" w:lineRule="exact"/>
        <w:outlineLvl w:val="4"/>
        <w:rPr>
          <w:rFonts w:ascii="宋体" w:eastAsia="宋体" w:hAnsi="宋体" w:cs="宋体"/>
          <w:b/>
          <w:bCs/>
          <w:sz w:val="18"/>
          <w:szCs w:val="18"/>
        </w:rPr>
      </w:pPr>
      <w:bookmarkStart w:id="362" w:name="_Toc989251"/>
      <w:r>
        <w:rPr>
          <w:rFonts w:ascii="宋体" w:eastAsia="宋体" w:hAnsi="宋体" w:cs="宋体"/>
          <w:b/>
          <w:bCs/>
          <w:sz w:val="18"/>
          <w:szCs w:val="18"/>
        </w:rPr>
        <w:t>2） 按账龄披露</w:t>
      </w:r>
      <w:bookmarkEnd w:id="362"/>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335,809,186.61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283,794,744.55</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lastRenderedPageBreak/>
              <w:t>1至2年</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3,307,300.89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30,383,062.90</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29,056,637.48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41,101,348.77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276,462,796.00</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279,880,438.43</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38,157,873.07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32,630,854.38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729,874.29</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25,238.27</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237,575,048.64</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247,224,345.78</w:t>
            </w:r>
          </w:p>
        </w:tc>
      </w:tr>
      <w:tr w:rsidR="007F3A9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644,635,920.98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635,159,594.65</w:t>
            </w:r>
          </w:p>
        </w:tc>
      </w:tr>
    </w:tbl>
    <w:p w:rsidR="007F3A90" w:rsidRDefault="00CC38FA">
      <w:pPr>
        <w:keepNext/>
        <w:keepLines/>
        <w:spacing w:before="300" w:after="300" w:line="280" w:lineRule="exact"/>
        <w:outlineLvl w:val="4"/>
        <w:rPr>
          <w:rFonts w:ascii="宋体" w:eastAsia="宋体" w:hAnsi="宋体" w:cs="宋体"/>
          <w:b/>
          <w:bCs/>
          <w:sz w:val="18"/>
          <w:szCs w:val="18"/>
        </w:rPr>
      </w:pPr>
      <w:bookmarkStart w:id="363" w:name="_Toc989252"/>
      <w:r>
        <w:rPr>
          <w:rFonts w:ascii="宋体" w:eastAsia="宋体" w:hAnsi="宋体" w:cs="宋体"/>
          <w:b/>
          <w:bCs/>
          <w:sz w:val="18"/>
          <w:szCs w:val="18"/>
        </w:rPr>
        <w:t>3） 本期计提、收回或转回的坏账准备情况</w:t>
      </w:r>
      <w:bookmarkEnd w:id="363"/>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本期计提坏账准备情况：</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850"/>
        <w:gridCol w:w="1417"/>
        <w:gridCol w:w="1276"/>
        <w:gridCol w:w="1134"/>
        <w:gridCol w:w="992"/>
        <w:gridCol w:w="1593"/>
      </w:tblGrid>
      <w:tr w:rsidR="007F3A90" w:rsidTr="0004428A">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8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481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5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7F3A90" w:rsidTr="0004428A">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8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转销或核销</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5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rsidTr="0004428A">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240,018,090.55</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533,394.61</w:t>
            </w:r>
          </w:p>
        </w:tc>
        <w:tc>
          <w:tcPr>
            <w:tcW w:w="12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240,551,485.16</w:t>
            </w:r>
          </w:p>
        </w:tc>
      </w:tr>
      <w:tr w:rsidR="007F3A90" w:rsidTr="0004428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85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240,018,090.55</w:t>
            </w:r>
          </w:p>
        </w:tc>
        <w:tc>
          <w:tcPr>
            <w:tcW w:w="14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533,394.61</w:t>
            </w:r>
          </w:p>
        </w:tc>
        <w:tc>
          <w:tcPr>
            <w:tcW w:w="1276"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240,551,485.16</w:t>
            </w:r>
          </w:p>
        </w:tc>
      </w:tr>
    </w:tbl>
    <w:p w:rsidR="00CC38FA" w:rsidRDefault="00CC38FA">
      <w:pPr>
        <w:pStyle w:val="a3"/>
        <w:spacing w:before="0" w:beforeAutospacing="0" w:after="0" w:afterAutospacing="0" w:line="400" w:lineRule="atLeast"/>
        <w:ind w:right="342" w:firstLine="400"/>
        <w:jc w:val="both"/>
        <w:divId w:val="535240032"/>
      </w:pPr>
      <w:r>
        <w:rPr>
          <w:rFonts w:hint="eastAsia"/>
          <w:sz w:val="18"/>
          <w:szCs w:val="18"/>
        </w:rPr>
        <w:t>坏账准备计提情况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1"/>
        <w:gridCol w:w="1476"/>
        <w:gridCol w:w="2084"/>
        <w:gridCol w:w="2029"/>
        <w:gridCol w:w="1656"/>
      </w:tblGrid>
      <w:tr w:rsidR="00CC38FA" w:rsidRPr="0004428A" w:rsidTr="00031125">
        <w:trPr>
          <w:divId w:val="535240032"/>
        </w:trPr>
        <w:tc>
          <w:tcPr>
            <w:tcW w:w="2363" w:type="dxa"/>
            <w:vMerge w:val="restart"/>
            <w:shd w:val="clear" w:color="auto" w:fill="D3D3D3"/>
            <w:tcMar>
              <w:top w:w="0" w:type="dxa"/>
              <w:left w:w="108" w:type="dxa"/>
              <w:bottom w:w="0" w:type="dxa"/>
              <w:right w:w="108" w:type="dxa"/>
            </w:tcMar>
            <w:vAlign w:val="center"/>
            <w:hideMark/>
          </w:tcPr>
          <w:p w:rsidR="00CC38FA" w:rsidRPr="0004428A" w:rsidRDefault="00CC38FA" w:rsidP="0004428A">
            <w:pPr>
              <w:pStyle w:val="a3"/>
              <w:spacing w:before="0" w:beforeAutospacing="0" w:after="0" w:afterAutospacing="0" w:line="240" w:lineRule="atLeast"/>
              <w:jc w:val="center"/>
              <w:rPr>
                <w:rFonts w:asciiTheme="minorEastAsia" w:eastAsiaTheme="minorEastAsia" w:hAnsiTheme="minorEastAsia" w:cs="Times New Roman"/>
                <w:sz w:val="18"/>
                <w:szCs w:val="18"/>
              </w:rPr>
            </w:pPr>
            <w:r w:rsidRPr="0004428A">
              <w:rPr>
                <w:rFonts w:asciiTheme="minorEastAsia" w:eastAsiaTheme="minorEastAsia" w:hAnsiTheme="minorEastAsia" w:cs="Times New Roman" w:hint="eastAsia"/>
                <w:sz w:val="18"/>
                <w:szCs w:val="18"/>
              </w:rPr>
              <w:t>坏账准备</w:t>
            </w:r>
          </w:p>
        </w:tc>
        <w:tc>
          <w:tcPr>
            <w:tcW w:w="1471" w:type="dxa"/>
            <w:shd w:val="clear" w:color="auto" w:fill="D3D3D3"/>
            <w:tcMar>
              <w:top w:w="0" w:type="dxa"/>
              <w:left w:w="108" w:type="dxa"/>
              <w:bottom w:w="0" w:type="dxa"/>
              <w:right w:w="108" w:type="dxa"/>
            </w:tcMar>
            <w:vAlign w:val="center"/>
            <w:hideMark/>
          </w:tcPr>
          <w:p w:rsidR="00CC38FA" w:rsidRPr="0004428A" w:rsidRDefault="00CC38FA" w:rsidP="0004428A">
            <w:pPr>
              <w:pStyle w:val="a3"/>
              <w:spacing w:before="0" w:beforeAutospacing="0" w:after="0" w:afterAutospacing="0" w:line="240" w:lineRule="atLeast"/>
              <w:jc w:val="center"/>
              <w:rPr>
                <w:rFonts w:asciiTheme="minorEastAsia" w:eastAsiaTheme="minorEastAsia" w:hAnsiTheme="minorEastAsia" w:cs="Times New Roman"/>
                <w:sz w:val="18"/>
                <w:szCs w:val="18"/>
              </w:rPr>
            </w:pPr>
            <w:r w:rsidRPr="0004428A">
              <w:rPr>
                <w:rFonts w:asciiTheme="minorEastAsia" w:eastAsiaTheme="minorEastAsia" w:hAnsiTheme="minorEastAsia" w:cs="Times New Roman" w:hint="eastAsia"/>
                <w:sz w:val="18"/>
                <w:szCs w:val="18"/>
              </w:rPr>
              <w:t>第一阶段</w:t>
            </w:r>
          </w:p>
        </w:tc>
        <w:tc>
          <w:tcPr>
            <w:tcW w:w="2086" w:type="dxa"/>
            <w:shd w:val="clear" w:color="auto" w:fill="D3D3D3"/>
            <w:tcMar>
              <w:top w:w="0" w:type="dxa"/>
              <w:left w:w="108" w:type="dxa"/>
              <w:bottom w:w="0" w:type="dxa"/>
              <w:right w:w="108" w:type="dxa"/>
            </w:tcMar>
            <w:vAlign w:val="center"/>
            <w:hideMark/>
          </w:tcPr>
          <w:p w:rsidR="00CC38FA" w:rsidRPr="0004428A" w:rsidRDefault="00CC38FA" w:rsidP="0004428A">
            <w:pPr>
              <w:pStyle w:val="a3"/>
              <w:spacing w:before="0" w:beforeAutospacing="0" w:after="0" w:afterAutospacing="0" w:line="240" w:lineRule="atLeast"/>
              <w:jc w:val="center"/>
              <w:rPr>
                <w:rFonts w:asciiTheme="minorEastAsia" w:eastAsiaTheme="minorEastAsia" w:hAnsiTheme="minorEastAsia" w:cs="Times New Roman"/>
                <w:sz w:val="18"/>
                <w:szCs w:val="18"/>
              </w:rPr>
            </w:pPr>
            <w:r w:rsidRPr="0004428A">
              <w:rPr>
                <w:rFonts w:asciiTheme="minorEastAsia" w:eastAsiaTheme="minorEastAsia" w:hAnsiTheme="minorEastAsia" w:cs="Times New Roman" w:hint="eastAsia"/>
                <w:sz w:val="18"/>
                <w:szCs w:val="18"/>
              </w:rPr>
              <w:t>第二阶段</w:t>
            </w:r>
          </w:p>
        </w:tc>
        <w:tc>
          <w:tcPr>
            <w:tcW w:w="2030" w:type="dxa"/>
            <w:shd w:val="clear" w:color="auto" w:fill="D3D3D3"/>
            <w:tcMar>
              <w:top w:w="0" w:type="dxa"/>
              <w:left w:w="108" w:type="dxa"/>
              <w:bottom w:w="0" w:type="dxa"/>
              <w:right w:w="108" w:type="dxa"/>
            </w:tcMar>
            <w:vAlign w:val="center"/>
            <w:hideMark/>
          </w:tcPr>
          <w:p w:rsidR="00CC38FA" w:rsidRPr="0004428A" w:rsidRDefault="00CC38FA" w:rsidP="0004428A">
            <w:pPr>
              <w:pStyle w:val="a3"/>
              <w:spacing w:before="0" w:beforeAutospacing="0" w:after="0" w:afterAutospacing="0" w:line="240" w:lineRule="atLeast"/>
              <w:jc w:val="center"/>
              <w:rPr>
                <w:rFonts w:asciiTheme="minorEastAsia" w:eastAsiaTheme="minorEastAsia" w:hAnsiTheme="minorEastAsia" w:cs="Times New Roman"/>
                <w:sz w:val="18"/>
                <w:szCs w:val="18"/>
              </w:rPr>
            </w:pPr>
            <w:r w:rsidRPr="0004428A">
              <w:rPr>
                <w:rFonts w:asciiTheme="minorEastAsia" w:eastAsiaTheme="minorEastAsia" w:hAnsiTheme="minorEastAsia" w:cs="Times New Roman" w:hint="eastAsia"/>
                <w:sz w:val="18"/>
                <w:szCs w:val="18"/>
              </w:rPr>
              <w:t>第三阶段</w:t>
            </w:r>
          </w:p>
        </w:tc>
        <w:tc>
          <w:tcPr>
            <w:tcW w:w="1656" w:type="dxa"/>
            <w:vMerge w:val="restart"/>
            <w:shd w:val="clear" w:color="auto" w:fill="D3D3D3"/>
            <w:tcMar>
              <w:top w:w="0" w:type="dxa"/>
              <w:left w:w="108" w:type="dxa"/>
              <w:bottom w:w="0" w:type="dxa"/>
              <w:right w:w="108" w:type="dxa"/>
            </w:tcMar>
            <w:vAlign w:val="center"/>
            <w:hideMark/>
          </w:tcPr>
          <w:p w:rsidR="00CC38FA" w:rsidRPr="0004428A" w:rsidRDefault="00CC38FA" w:rsidP="0004428A">
            <w:pPr>
              <w:pStyle w:val="a3"/>
              <w:spacing w:before="0" w:beforeAutospacing="0" w:after="0" w:afterAutospacing="0" w:line="240" w:lineRule="atLeast"/>
              <w:jc w:val="center"/>
              <w:rPr>
                <w:rFonts w:asciiTheme="minorEastAsia" w:eastAsiaTheme="minorEastAsia" w:hAnsiTheme="minorEastAsia" w:cs="Times New Roman"/>
                <w:sz w:val="18"/>
                <w:szCs w:val="18"/>
              </w:rPr>
            </w:pPr>
            <w:r w:rsidRPr="0004428A">
              <w:rPr>
                <w:rFonts w:asciiTheme="minorEastAsia" w:eastAsiaTheme="minorEastAsia" w:hAnsiTheme="minorEastAsia" w:cs="Times New Roman" w:hint="eastAsia"/>
                <w:sz w:val="18"/>
                <w:szCs w:val="18"/>
              </w:rPr>
              <w:t>合计</w:t>
            </w:r>
          </w:p>
        </w:tc>
      </w:tr>
      <w:tr w:rsidR="00CC38FA" w:rsidRPr="0004428A" w:rsidTr="00031125">
        <w:trPr>
          <w:divId w:val="535240032"/>
        </w:trPr>
        <w:tc>
          <w:tcPr>
            <w:tcW w:w="0" w:type="auto"/>
            <w:vMerge/>
            <w:vAlign w:val="center"/>
            <w:hideMark/>
          </w:tcPr>
          <w:p w:rsidR="00CC38FA" w:rsidRPr="0004428A" w:rsidRDefault="00CC38FA" w:rsidP="0004428A">
            <w:pPr>
              <w:jc w:val="center"/>
              <w:rPr>
                <w:rFonts w:asciiTheme="minorEastAsia" w:hAnsiTheme="minorEastAsia" w:cs="Times New Roman"/>
                <w:sz w:val="18"/>
                <w:szCs w:val="18"/>
              </w:rPr>
            </w:pPr>
          </w:p>
        </w:tc>
        <w:tc>
          <w:tcPr>
            <w:tcW w:w="1471" w:type="dxa"/>
            <w:shd w:val="clear" w:color="auto" w:fill="D3D3D3"/>
            <w:tcMar>
              <w:top w:w="0" w:type="dxa"/>
              <w:left w:w="108" w:type="dxa"/>
              <w:bottom w:w="0" w:type="dxa"/>
              <w:right w:w="108" w:type="dxa"/>
            </w:tcMar>
            <w:vAlign w:val="center"/>
            <w:hideMark/>
          </w:tcPr>
          <w:p w:rsidR="00CC38FA" w:rsidRPr="0004428A" w:rsidRDefault="00CC38FA" w:rsidP="0004428A">
            <w:pPr>
              <w:pStyle w:val="a3"/>
              <w:spacing w:before="0" w:beforeAutospacing="0" w:after="0" w:afterAutospacing="0" w:line="240" w:lineRule="atLeast"/>
              <w:jc w:val="center"/>
              <w:rPr>
                <w:rFonts w:asciiTheme="minorEastAsia" w:eastAsiaTheme="minorEastAsia" w:hAnsiTheme="minorEastAsia" w:cs="Times New Roman"/>
                <w:sz w:val="18"/>
                <w:szCs w:val="18"/>
              </w:rPr>
            </w:pPr>
            <w:r w:rsidRPr="0004428A">
              <w:rPr>
                <w:rFonts w:asciiTheme="minorEastAsia" w:eastAsiaTheme="minorEastAsia" w:hAnsiTheme="minorEastAsia" w:cs="Times New Roman" w:hint="eastAsia"/>
                <w:sz w:val="18"/>
                <w:szCs w:val="18"/>
              </w:rPr>
              <w:t>未来12个月预期信用损失</w:t>
            </w:r>
          </w:p>
        </w:tc>
        <w:tc>
          <w:tcPr>
            <w:tcW w:w="2086" w:type="dxa"/>
            <w:shd w:val="clear" w:color="auto" w:fill="D3D3D3"/>
            <w:tcMar>
              <w:top w:w="0" w:type="dxa"/>
              <w:left w:w="108" w:type="dxa"/>
              <w:bottom w:w="0" w:type="dxa"/>
              <w:right w:w="108" w:type="dxa"/>
            </w:tcMar>
            <w:vAlign w:val="center"/>
            <w:hideMark/>
          </w:tcPr>
          <w:p w:rsidR="00CC38FA" w:rsidRPr="0004428A" w:rsidRDefault="00CC38FA" w:rsidP="0004428A">
            <w:pPr>
              <w:pStyle w:val="a3"/>
              <w:spacing w:before="0" w:beforeAutospacing="0" w:after="0" w:afterAutospacing="0" w:line="240" w:lineRule="atLeast"/>
              <w:jc w:val="center"/>
              <w:rPr>
                <w:rFonts w:asciiTheme="minorEastAsia" w:eastAsiaTheme="minorEastAsia" w:hAnsiTheme="minorEastAsia" w:cs="Times New Roman"/>
                <w:sz w:val="18"/>
                <w:szCs w:val="18"/>
              </w:rPr>
            </w:pPr>
            <w:r w:rsidRPr="0004428A">
              <w:rPr>
                <w:rFonts w:asciiTheme="minorEastAsia" w:eastAsiaTheme="minorEastAsia" w:hAnsiTheme="minorEastAsia" w:cs="Times New Roman" w:hint="eastAsia"/>
                <w:sz w:val="18"/>
                <w:szCs w:val="18"/>
              </w:rPr>
              <w:t>整个存续期预期信用损失（未发生信用减值）</w:t>
            </w:r>
          </w:p>
        </w:tc>
        <w:tc>
          <w:tcPr>
            <w:tcW w:w="2030" w:type="dxa"/>
            <w:shd w:val="clear" w:color="auto" w:fill="D3D3D3"/>
            <w:tcMar>
              <w:top w:w="0" w:type="dxa"/>
              <w:left w:w="108" w:type="dxa"/>
              <w:bottom w:w="0" w:type="dxa"/>
              <w:right w:w="108" w:type="dxa"/>
            </w:tcMar>
            <w:vAlign w:val="center"/>
            <w:hideMark/>
          </w:tcPr>
          <w:p w:rsidR="00CC38FA" w:rsidRPr="0004428A" w:rsidRDefault="00CC38FA" w:rsidP="0004428A">
            <w:pPr>
              <w:pStyle w:val="a3"/>
              <w:spacing w:before="0" w:beforeAutospacing="0" w:after="0" w:afterAutospacing="0" w:line="240" w:lineRule="atLeast"/>
              <w:jc w:val="center"/>
              <w:rPr>
                <w:rFonts w:asciiTheme="minorEastAsia" w:eastAsiaTheme="minorEastAsia" w:hAnsiTheme="minorEastAsia" w:cs="Times New Roman"/>
                <w:sz w:val="18"/>
                <w:szCs w:val="18"/>
              </w:rPr>
            </w:pPr>
            <w:r w:rsidRPr="0004428A">
              <w:rPr>
                <w:rFonts w:asciiTheme="minorEastAsia" w:eastAsiaTheme="minorEastAsia" w:hAnsiTheme="minorEastAsia" w:cs="Times New Roman" w:hint="eastAsia"/>
                <w:sz w:val="18"/>
                <w:szCs w:val="18"/>
              </w:rPr>
              <w:t>整个存续期预期信用损失（已发生信用减值）</w:t>
            </w:r>
          </w:p>
        </w:tc>
        <w:tc>
          <w:tcPr>
            <w:tcW w:w="1656" w:type="dxa"/>
            <w:vMerge/>
            <w:vAlign w:val="center"/>
            <w:hideMark/>
          </w:tcPr>
          <w:p w:rsidR="00CC38FA" w:rsidRPr="0004428A" w:rsidRDefault="00CC38FA">
            <w:pPr>
              <w:rPr>
                <w:rFonts w:asciiTheme="minorEastAsia" w:hAnsiTheme="minorEastAsia" w:cs="Times New Roman"/>
                <w:sz w:val="18"/>
                <w:szCs w:val="18"/>
              </w:rPr>
            </w:pPr>
          </w:p>
        </w:tc>
      </w:tr>
      <w:tr w:rsidR="00CC38FA" w:rsidRPr="0004428A" w:rsidTr="00031125">
        <w:trPr>
          <w:divId w:val="535240032"/>
        </w:trPr>
        <w:tc>
          <w:tcPr>
            <w:tcW w:w="2363" w:type="dxa"/>
            <w:tcMar>
              <w:top w:w="0" w:type="dxa"/>
              <w:left w:w="108" w:type="dxa"/>
              <w:bottom w:w="0" w:type="dxa"/>
              <w:right w:w="108" w:type="dxa"/>
            </w:tcMar>
            <w:hideMark/>
          </w:tcPr>
          <w:p w:rsidR="00CC38FA" w:rsidRPr="0004428A" w:rsidRDefault="00CC38FA">
            <w:pPr>
              <w:pStyle w:val="a3"/>
              <w:spacing w:before="0" w:beforeAutospacing="0" w:after="0" w:afterAutospacing="0" w:line="240" w:lineRule="atLeast"/>
              <w:rPr>
                <w:rFonts w:asciiTheme="minorEastAsia" w:eastAsiaTheme="minorEastAsia" w:hAnsiTheme="minorEastAsia" w:cs="Times New Roman"/>
                <w:sz w:val="18"/>
                <w:szCs w:val="18"/>
              </w:rPr>
            </w:pPr>
            <w:r w:rsidRPr="0004428A">
              <w:rPr>
                <w:rFonts w:asciiTheme="minorEastAsia" w:eastAsiaTheme="minorEastAsia" w:hAnsiTheme="minorEastAsia" w:cs="Times New Roman" w:hint="eastAsia"/>
                <w:sz w:val="18"/>
                <w:szCs w:val="18"/>
              </w:rPr>
              <w:t>年初余额</w:t>
            </w:r>
          </w:p>
        </w:tc>
        <w:tc>
          <w:tcPr>
            <w:tcW w:w="1471" w:type="dxa"/>
            <w:tcMar>
              <w:top w:w="0" w:type="dxa"/>
              <w:left w:w="108" w:type="dxa"/>
              <w:bottom w:w="0" w:type="dxa"/>
              <w:right w:w="108" w:type="dxa"/>
            </w:tcMar>
            <w:vAlign w:val="center"/>
            <w:hideMark/>
          </w:tcPr>
          <w:p w:rsidR="00CC38FA" w:rsidRPr="003C6C54" w:rsidRDefault="00CC38FA" w:rsidP="003C6C54">
            <w:pPr>
              <w:spacing w:line="240" w:lineRule="exact"/>
              <w:jc w:val="right"/>
              <w:rPr>
                <w:rFonts w:ascii="宋体" w:eastAsia="宋体" w:hAnsi="宋体" w:cs="宋体"/>
                <w:sz w:val="18"/>
                <w:szCs w:val="18"/>
              </w:rPr>
            </w:pPr>
            <w:r w:rsidRPr="003C6C54">
              <w:rPr>
                <w:rFonts w:ascii="宋体" w:eastAsia="宋体" w:hAnsi="宋体" w:cs="宋体"/>
                <w:sz w:val="18"/>
                <w:szCs w:val="18"/>
              </w:rPr>
              <w:t>4,204,222.06</w:t>
            </w:r>
          </w:p>
        </w:tc>
        <w:tc>
          <w:tcPr>
            <w:tcW w:w="2086" w:type="dxa"/>
            <w:tcMar>
              <w:top w:w="0" w:type="dxa"/>
              <w:left w:w="108" w:type="dxa"/>
              <w:bottom w:w="0" w:type="dxa"/>
              <w:right w:w="108" w:type="dxa"/>
            </w:tcMar>
            <w:vAlign w:val="center"/>
            <w:hideMark/>
          </w:tcPr>
          <w:p w:rsidR="00CC38FA" w:rsidRPr="003C6C54" w:rsidRDefault="00CC38FA" w:rsidP="003C6C54">
            <w:pPr>
              <w:spacing w:line="240" w:lineRule="exact"/>
              <w:jc w:val="right"/>
              <w:rPr>
                <w:rFonts w:ascii="宋体" w:eastAsia="宋体" w:hAnsi="宋体" w:cs="宋体"/>
                <w:sz w:val="18"/>
                <w:szCs w:val="18"/>
              </w:rPr>
            </w:pPr>
            <w:r w:rsidRPr="003C6C54">
              <w:rPr>
                <w:rFonts w:ascii="宋体" w:eastAsia="宋体" w:hAnsi="宋体" w:cs="宋体"/>
                <w:sz w:val="18"/>
                <w:szCs w:val="18"/>
              </w:rPr>
              <w:t> </w:t>
            </w:r>
          </w:p>
        </w:tc>
        <w:tc>
          <w:tcPr>
            <w:tcW w:w="2030" w:type="dxa"/>
            <w:tcMar>
              <w:top w:w="0" w:type="dxa"/>
              <w:left w:w="108" w:type="dxa"/>
              <w:bottom w:w="0" w:type="dxa"/>
              <w:right w:w="108" w:type="dxa"/>
            </w:tcMar>
            <w:vAlign w:val="center"/>
            <w:hideMark/>
          </w:tcPr>
          <w:p w:rsidR="00CC38FA" w:rsidRPr="003C6C54" w:rsidRDefault="00CC38FA" w:rsidP="003C6C54">
            <w:pPr>
              <w:spacing w:line="240" w:lineRule="exact"/>
              <w:jc w:val="right"/>
              <w:rPr>
                <w:rFonts w:ascii="宋体" w:eastAsia="宋体" w:hAnsi="宋体" w:cs="宋体"/>
                <w:sz w:val="18"/>
                <w:szCs w:val="18"/>
              </w:rPr>
            </w:pPr>
            <w:r w:rsidRPr="003C6C54">
              <w:rPr>
                <w:rFonts w:ascii="宋体" w:eastAsia="宋体" w:hAnsi="宋体" w:cs="宋体"/>
                <w:sz w:val="18"/>
                <w:szCs w:val="18"/>
              </w:rPr>
              <w:t>235,813,868.49</w:t>
            </w:r>
          </w:p>
        </w:tc>
        <w:tc>
          <w:tcPr>
            <w:tcW w:w="1656" w:type="dxa"/>
            <w:tcMar>
              <w:top w:w="0" w:type="dxa"/>
              <w:left w:w="108" w:type="dxa"/>
              <w:bottom w:w="0" w:type="dxa"/>
              <w:right w:w="108" w:type="dxa"/>
            </w:tcMar>
            <w:vAlign w:val="center"/>
            <w:hideMark/>
          </w:tcPr>
          <w:p w:rsidR="00CC38FA" w:rsidRPr="003C6C54" w:rsidRDefault="00CC38FA" w:rsidP="003C6C54">
            <w:pPr>
              <w:spacing w:line="240" w:lineRule="exact"/>
              <w:jc w:val="right"/>
              <w:rPr>
                <w:rFonts w:ascii="宋体" w:eastAsia="宋体" w:hAnsi="宋体" w:cs="宋体"/>
                <w:sz w:val="18"/>
                <w:szCs w:val="18"/>
              </w:rPr>
            </w:pPr>
            <w:r w:rsidRPr="003C6C54">
              <w:rPr>
                <w:rFonts w:ascii="宋体" w:eastAsia="宋体" w:hAnsi="宋体" w:cs="宋体"/>
                <w:sz w:val="18"/>
                <w:szCs w:val="18"/>
              </w:rPr>
              <w:t>240,018,090.55</w:t>
            </w:r>
          </w:p>
        </w:tc>
      </w:tr>
      <w:tr w:rsidR="00CC38FA" w:rsidRPr="0004428A" w:rsidTr="00031125">
        <w:trPr>
          <w:divId w:val="535240032"/>
        </w:trPr>
        <w:tc>
          <w:tcPr>
            <w:tcW w:w="2363" w:type="dxa"/>
            <w:tcMar>
              <w:top w:w="0" w:type="dxa"/>
              <w:left w:w="108" w:type="dxa"/>
              <w:bottom w:w="0" w:type="dxa"/>
              <w:right w:w="108" w:type="dxa"/>
            </w:tcMar>
            <w:hideMark/>
          </w:tcPr>
          <w:p w:rsidR="00CC38FA" w:rsidRPr="0004428A" w:rsidRDefault="00CC38FA">
            <w:pPr>
              <w:pStyle w:val="a3"/>
              <w:spacing w:before="0" w:beforeAutospacing="0" w:after="0" w:afterAutospacing="0" w:line="240" w:lineRule="atLeast"/>
              <w:rPr>
                <w:rFonts w:asciiTheme="minorEastAsia" w:eastAsiaTheme="minorEastAsia" w:hAnsiTheme="minorEastAsia" w:cs="Times New Roman"/>
                <w:sz w:val="18"/>
                <w:szCs w:val="18"/>
              </w:rPr>
            </w:pPr>
            <w:r w:rsidRPr="0004428A">
              <w:rPr>
                <w:rFonts w:asciiTheme="minorEastAsia" w:eastAsiaTheme="minorEastAsia" w:hAnsiTheme="minorEastAsia" w:cs="Times New Roman" w:hint="eastAsia"/>
                <w:sz w:val="18"/>
                <w:szCs w:val="18"/>
              </w:rPr>
              <w:t>年初其他应收款账面余额在本期：</w:t>
            </w:r>
          </w:p>
        </w:tc>
        <w:tc>
          <w:tcPr>
            <w:tcW w:w="1471"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2086"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2030"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1656"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r>
      <w:tr w:rsidR="00CC38FA" w:rsidRPr="0004428A" w:rsidTr="00031125">
        <w:trPr>
          <w:divId w:val="535240032"/>
        </w:trPr>
        <w:tc>
          <w:tcPr>
            <w:tcW w:w="2363" w:type="dxa"/>
            <w:tcMar>
              <w:top w:w="0" w:type="dxa"/>
              <w:left w:w="108" w:type="dxa"/>
              <w:bottom w:w="0" w:type="dxa"/>
              <w:right w:w="108" w:type="dxa"/>
            </w:tcMar>
            <w:hideMark/>
          </w:tcPr>
          <w:p w:rsidR="00CC38FA" w:rsidRPr="0004428A" w:rsidRDefault="00CC38FA">
            <w:pPr>
              <w:pStyle w:val="a3"/>
              <w:spacing w:before="0" w:beforeAutospacing="0" w:after="0" w:afterAutospacing="0" w:line="240" w:lineRule="atLeast"/>
              <w:rPr>
                <w:rFonts w:asciiTheme="minorEastAsia" w:eastAsiaTheme="minorEastAsia" w:hAnsiTheme="minorEastAsia" w:cs="Times New Roman"/>
                <w:sz w:val="18"/>
                <w:szCs w:val="18"/>
              </w:rPr>
            </w:pPr>
            <w:r w:rsidRPr="0004428A">
              <w:rPr>
                <w:rFonts w:asciiTheme="minorEastAsia" w:eastAsiaTheme="minorEastAsia" w:hAnsiTheme="minorEastAsia" w:cs="Times New Roman" w:hint="eastAsia"/>
                <w:sz w:val="18"/>
                <w:szCs w:val="18"/>
              </w:rPr>
              <w:t>——转入第二阶段</w:t>
            </w:r>
          </w:p>
        </w:tc>
        <w:tc>
          <w:tcPr>
            <w:tcW w:w="1471"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2086"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2030"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1656"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r>
      <w:tr w:rsidR="00CC38FA" w:rsidRPr="0004428A" w:rsidTr="00031125">
        <w:trPr>
          <w:divId w:val="535240032"/>
        </w:trPr>
        <w:tc>
          <w:tcPr>
            <w:tcW w:w="2363" w:type="dxa"/>
            <w:tcMar>
              <w:top w:w="0" w:type="dxa"/>
              <w:left w:w="108" w:type="dxa"/>
              <w:bottom w:w="0" w:type="dxa"/>
              <w:right w:w="108" w:type="dxa"/>
            </w:tcMar>
            <w:hideMark/>
          </w:tcPr>
          <w:p w:rsidR="00CC38FA" w:rsidRPr="0004428A" w:rsidRDefault="00CC38FA">
            <w:pPr>
              <w:pStyle w:val="a3"/>
              <w:spacing w:before="0" w:beforeAutospacing="0" w:after="0" w:afterAutospacing="0" w:line="240" w:lineRule="atLeast"/>
              <w:rPr>
                <w:rFonts w:asciiTheme="minorEastAsia" w:eastAsiaTheme="minorEastAsia" w:hAnsiTheme="minorEastAsia" w:cs="Times New Roman"/>
                <w:sz w:val="18"/>
                <w:szCs w:val="18"/>
              </w:rPr>
            </w:pPr>
            <w:r w:rsidRPr="0004428A">
              <w:rPr>
                <w:rFonts w:asciiTheme="minorEastAsia" w:eastAsiaTheme="minorEastAsia" w:hAnsiTheme="minorEastAsia" w:cs="Times New Roman" w:hint="eastAsia"/>
                <w:sz w:val="18"/>
                <w:szCs w:val="18"/>
              </w:rPr>
              <w:t>——转入第三阶段</w:t>
            </w:r>
          </w:p>
        </w:tc>
        <w:tc>
          <w:tcPr>
            <w:tcW w:w="1471"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2086"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2030"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1656"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r>
      <w:tr w:rsidR="00CC38FA" w:rsidRPr="0004428A" w:rsidTr="00031125">
        <w:trPr>
          <w:divId w:val="535240032"/>
        </w:trPr>
        <w:tc>
          <w:tcPr>
            <w:tcW w:w="2363" w:type="dxa"/>
            <w:tcMar>
              <w:top w:w="0" w:type="dxa"/>
              <w:left w:w="108" w:type="dxa"/>
              <w:bottom w:w="0" w:type="dxa"/>
              <w:right w:w="108" w:type="dxa"/>
            </w:tcMar>
            <w:hideMark/>
          </w:tcPr>
          <w:p w:rsidR="00CC38FA" w:rsidRPr="0004428A" w:rsidRDefault="00CC38FA">
            <w:pPr>
              <w:pStyle w:val="a3"/>
              <w:spacing w:before="0" w:beforeAutospacing="0" w:after="0" w:afterAutospacing="0" w:line="240" w:lineRule="atLeast"/>
              <w:rPr>
                <w:rFonts w:asciiTheme="minorEastAsia" w:eastAsiaTheme="minorEastAsia" w:hAnsiTheme="minorEastAsia" w:cs="Times New Roman"/>
                <w:sz w:val="18"/>
                <w:szCs w:val="18"/>
              </w:rPr>
            </w:pPr>
            <w:r w:rsidRPr="0004428A">
              <w:rPr>
                <w:rFonts w:asciiTheme="minorEastAsia" w:eastAsiaTheme="minorEastAsia" w:hAnsiTheme="minorEastAsia" w:cs="Times New Roman" w:hint="eastAsia"/>
                <w:sz w:val="18"/>
                <w:szCs w:val="18"/>
              </w:rPr>
              <w:t>——转回第二阶段</w:t>
            </w:r>
          </w:p>
        </w:tc>
        <w:tc>
          <w:tcPr>
            <w:tcW w:w="1471"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2086"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2030"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1656"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r>
      <w:tr w:rsidR="00CC38FA" w:rsidRPr="0004428A" w:rsidTr="00031125">
        <w:trPr>
          <w:divId w:val="535240032"/>
        </w:trPr>
        <w:tc>
          <w:tcPr>
            <w:tcW w:w="2363" w:type="dxa"/>
            <w:tcMar>
              <w:top w:w="0" w:type="dxa"/>
              <w:left w:w="108" w:type="dxa"/>
              <w:bottom w:w="0" w:type="dxa"/>
              <w:right w:w="108" w:type="dxa"/>
            </w:tcMar>
            <w:hideMark/>
          </w:tcPr>
          <w:p w:rsidR="00CC38FA" w:rsidRPr="0004428A" w:rsidRDefault="00CC38FA">
            <w:pPr>
              <w:pStyle w:val="a3"/>
              <w:spacing w:before="0" w:beforeAutospacing="0" w:after="0" w:afterAutospacing="0" w:line="240" w:lineRule="atLeast"/>
              <w:rPr>
                <w:rFonts w:asciiTheme="minorEastAsia" w:eastAsiaTheme="minorEastAsia" w:hAnsiTheme="minorEastAsia" w:cs="Times New Roman"/>
                <w:sz w:val="18"/>
                <w:szCs w:val="18"/>
              </w:rPr>
            </w:pPr>
            <w:r w:rsidRPr="0004428A">
              <w:rPr>
                <w:rFonts w:asciiTheme="minorEastAsia" w:eastAsiaTheme="minorEastAsia" w:hAnsiTheme="minorEastAsia" w:cs="Times New Roman" w:hint="eastAsia"/>
                <w:sz w:val="18"/>
                <w:szCs w:val="18"/>
              </w:rPr>
              <w:t>——转回第一阶段</w:t>
            </w:r>
          </w:p>
        </w:tc>
        <w:tc>
          <w:tcPr>
            <w:tcW w:w="1471"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2086"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2030"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1656"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r>
      <w:tr w:rsidR="00CC38FA" w:rsidRPr="0004428A" w:rsidTr="00031125">
        <w:trPr>
          <w:divId w:val="535240032"/>
        </w:trPr>
        <w:tc>
          <w:tcPr>
            <w:tcW w:w="2363" w:type="dxa"/>
            <w:tcMar>
              <w:top w:w="0" w:type="dxa"/>
              <w:left w:w="108" w:type="dxa"/>
              <w:bottom w:w="0" w:type="dxa"/>
              <w:right w:w="108" w:type="dxa"/>
            </w:tcMar>
            <w:hideMark/>
          </w:tcPr>
          <w:p w:rsidR="00CC38FA" w:rsidRPr="0004428A" w:rsidRDefault="00CC38FA">
            <w:pPr>
              <w:pStyle w:val="a3"/>
              <w:spacing w:before="0" w:beforeAutospacing="0" w:after="0" w:afterAutospacing="0" w:line="240" w:lineRule="atLeast"/>
              <w:rPr>
                <w:rFonts w:asciiTheme="minorEastAsia" w:eastAsiaTheme="minorEastAsia" w:hAnsiTheme="minorEastAsia" w:cs="Times New Roman"/>
                <w:sz w:val="18"/>
                <w:szCs w:val="18"/>
              </w:rPr>
            </w:pPr>
            <w:r w:rsidRPr="0004428A">
              <w:rPr>
                <w:rFonts w:asciiTheme="minorEastAsia" w:eastAsiaTheme="minorEastAsia" w:hAnsiTheme="minorEastAsia" w:cs="Times New Roman" w:hint="eastAsia"/>
                <w:sz w:val="18"/>
                <w:szCs w:val="18"/>
              </w:rPr>
              <w:t>本期计提</w:t>
            </w:r>
          </w:p>
        </w:tc>
        <w:tc>
          <w:tcPr>
            <w:tcW w:w="1471" w:type="dxa"/>
            <w:tcMar>
              <w:top w:w="0" w:type="dxa"/>
              <w:left w:w="108" w:type="dxa"/>
              <w:bottom w:w="0" w:type="dxa"/>
              <w:right w:w="108" w:type="dxa"/>
            </w:tcMar>
            <w:vAlign w:val="center"/>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533,394.61</w:t>
            </w:r>
          </w:p>
        </w:tc>
        <w:tc>
          <w:tcPr>
            <w:tcW w:w="2086" w:type="dxa"/>
            <w:tcMar>
              <w:top w:w="0" w:type="dxa"/>
              <w:left w:w="108" w:type="dxa"/>
              <w:bottom w:w="0" w:type="dxa"/>
              <w:right w:w="108" w:type="dxa"/>
            </w:tcMar>
            <w:vAlign w:val="center"/>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2030" w:type="dxa"/>
            <w:tcMar>
              <w:top w:w="0" w:type="dxa"/>
              <w:left w:w="108" w:type="dxa"/>
              <w:bottom w:w="0" w:type="dxa"/>
              <w:right w:w="108" w:type="dxa"/>
            </w:tcMar>
            <w:vAlign w:val="center"/>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1656" w:type="dxa"/>
            <w:tcMar>
              <w:top w:w="0" w:type="dxa"/>
              <w:left w:w="108" w:type="dxa"/>
              <w:bottom w:w="0" w:type="dxa"/>
              <w:right w:w="108" w:type="dxa"/>
            </w:tcMar>
            <w:vAlign w:val="center"/>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533,394.61</w:t>
            </w:r>
          </w:p>
        </w:tc>
      </w:tr>
      <w:tr w:rsidR="00CC38FA" w:rsidRPr="0004428A" w:rsidTr="00031125">
        <w:trPr>
          <w:divId w:val="535240032"/>
        </w:trPr>
        <w:tc>
          <w:tcPr>
            <w:tcW w:w="2363" w:type="dxa"/>
            <w:tcMar>
              <w:top w:w="0" w:type="dxa"/>
              <w:left w:w="108" w:type="dxa"/>
              <w:bottom w:w="0" w:type="dxa"/>
              <w:right w:w="108" w:type="dxa"/>
            </w:tcMar>
            <w:hideMark/>
          </w:tcPr>
          <w:p w:rsidR="00CC38FA" w:rsidRPr="0004428A" w:rsidRDefault="00CC38FA">
            <w:pPr>
              <w:pStyle w:val="a3"/>
              <w:spacing w:before="0" w:beforeAutospacing="0" w:after="0" w:afterAutospacing="0" w:line="240" w:lineRule="atLeast"/>
              <w:rPr>
                <w:rFonts w:asciiTheme="minorEastAsia" w:eastAsiaTheme="minorEastAsia" w:hAnsiTheme="minorEastAsia" w:cs="Times New Roman"/>
                <w:sz w:val="18"/>
                <w:szCs w:val="18"/>
              </w:rPr>
            </w:pPr>
            <w:r w:rsidRPr="0004428A">
              <w:rPr>
                <w:rFonts w:asciiTheme="minorEastAsia" w:eastAsiaTheme="minorEastAsia" w:hAnsiTheme="minorEastAsia" w:cs="Times New Roman" w:hint="eastAsia"/>
                <w:sz w:val="18"/>
                <w:szCs w:val="18"/>
              </w:rPr>
              <w:t>本期转回</w:t>
            </w:r>
          </w:p>
        </w:tc>
        <w:tc>
          <w:tcPr>
            <w:tcW w:w="1471"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2086"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2030"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1656"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r>
      <w:tr w:rsidR="00CC38FA" w:rsidRPr="0004428A" w:rsidTr="00031125">
        <w:trPr>
          <w:divId w:val="535240032"/>
        </w:trPr>
        <w:tc>
          <w:tcPr>
            <w:tcW w:w="2363" w:type="dxa"/>
            <w:tcMar>
              <w:top w:w="0" w:type="dxa"/>
              <w:left w:w="108" w:type="dxa"/>
              <w:bottom w:w="0" w:type="dxa"/>
              <w:right w:w="108" w:type="dxa"/>
            </w:tcMar>
            <w:hideMark/>
          </w:tcPr>
          <w:p w:rsidR="00CC38FA" w:rsidRPr="0004428A" w:rsidRDefault="00CC38FA">
            <w:pPr>
              <w:pStyle w:val="a3"/>
              <w:spacing w:before="0" w:beforeAutospacing="0" w:after="0" w:afterAutospacing="0" w:line="240" w:lineRule="atLeast"/>
              <w:rPr>
                <w:rFonts w:asciiTheme="minorEastAsia" w:eastAsiaTheme="minorEastAsia" w:hAnsiTheme="minorEastAsia" w:cs="Times New Roman"/>
                <w:sz w:val="18"/>
                <w:szCs w:val="18"/>
              </w:rPr>
            </w:pPr>
            <w:r w:rsidRPr="0004428A">
              <w:rPr>
                <w:rFonts w:asciiTheme="minorEastAsia" w:eastAsiaTheme="minorEastAsia" w:hAnsiTheme="minorEastAsia" w:cs="Times New Roman" w:hint="eastAsia"/>
                <w:sz w:val="18"/>
                <w:szCs w:val="18"/>
              </w:rPr>
              <w:t>本期转销</w:t>
            </w:r>
          </w:p>
        </w:tc>
        <w:tc>
          <w:tcPr>
            <w:tcW w:w="1471"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2086"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2030"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1656"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r>
      <w:tr w:rsidR="00CC38FA" w:rsidRPr="0004428A" w:rsidTr="00031125">
        <w:trPr>
          <w:divId w:val="535240032"/>
        </w:trPr>
        <w:tc>
          <w:tcPr>
            <w:tcW w:w="2363" w:type="dxa"/>
            <w:tcMar>
              <w:top w:w="0" w:type="dxa"/>
              <w:left w:w="108" w:type="dxa"/>
              <w:bottom w:w="0" w:type="dxa"/>
              <w:right w:w="108" w:type="dxa"/>
            </w:tcMar>
            <w:hideMark/>
          </w:tcPr>
          <w:p w:rsidR="00CC38FA" w:rsidRPr="0004428A" w:rsidRDefault="00CC38FA">
            <w:pPr>
              <w:pStyle w:val="a3"/>
              <w:spacing w:before="0" w:beforeAutospacing="0" w:after="0" w:afterAutospacing="0" w:line="240" w:lineRule="atLeast"/>
              <w:rPr>
                <w:rFonts w:asciiTheme="minorEastAsia" w:eastAsiaTheme="minorEastAsia" w:hAnsiTheme="minorEastAsia" w:cs="Times New Roman"/>
                <w:sz w:val="18"/>
                <w:szCs w:val="18"/>
              </w:rPr>
            </w:pPr>
            <w:r w:rsidRPr="0004428A">
              <w:rPr>
                <w:rFonts w:asciiTheme="minorEastAsia" w:eastAsiaTheme="minorEastAsia" w:hAnsiTheme="minorEastAsia" w:cs="Times New Roman" w:hint="eastAsia"/>
                <w:sz w:val="18"/>
                <w:szCs w:val="18"/>
              </w:rPr>
              <w:t>本期核销</w:t>
            </w:r>
          </w:p>
        </w:tc>
        <w:tc>
          <w:tcPr>
            <w:tcW w:w="1471"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2086"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2030"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1656"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r>
      <w:tr w:rsidR="00CC38FA" w:rsidRPr="0004428A" w:rsidTr="00031125">
        <w:trPr>
          <w:divId w:val="535240032"/>
        </w:trPr>
        <w:tc>
          <w:tcPr>
            <w:tcW w:w="2363" w:type="dxa"/>
            <w:tcMar>
              <w:top w:w="0" w:type="dxa"/>
              <w:left w:w="108" w:type="dxa"/>
              <w:bottom w:w="0" w:type="dxa"/>
              <w:right w:w="108" w:type="dxa"/>
            </w:tcMar>
            <w:hideMark/>
          </w:tcPr>
          <w:p w:rsidR="00CC38FA" w:rsidRPr="0004428A" w:rsidRDefault="00CC38FA">
            <w:pPr>
              <w:pStyle w:val="a3"/>
              <w:spacing w:before="0" w:beforeAutospacing="0" w:after="0" w:afterAutospacing="0" w:line="240" w:lineRule="atLeast"/>
              <w:rPr>
                <w:rFonts w:asciiTheme="minorEastAsia" w:eastAsiaTheme="minorEastAsia" w:hAnsiTheme="minorEastAsia" w:cs="Times New Roman"/>
                <w:sz w:val="18"/>
                <w:szCs w:val="18"/>
              </w:rPr>
            </w:pPr>
            <w:r w:rsidRPr="0004428A">
              <w:rPr>
                <w:rFonts w:asciiTheme="minorEastAsia" w:eastAsiaTheme="minorEastAsia" w:hAnsiTheme="minorEastAsia" w:cs="Times New Roman" w:hint="eastAsia"/>
                <w:sz w:val="18"/>
                <w:szCs w:val="18"/>
              </w:rPr>
              <w:t>其他变动</w:t>
            </w:r>
          </w:p>
        </w:tc>
        <w:tc>
          <w:tcPr>
            <w:tcW w:w="1471"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2086"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2030"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1656" w:type="dxa"/>
            <w:tcMar>
              <w:top w:w="0" w:type="dxa"/>
              <w:left w:w="108" w:type="dxa"/>
              <w:bottom w:w="0" w:type="dxa"/>
              <w:right w:w="108" w:type="dxa"/>
            </w:tcMar>
            <w:vAlign w:val="bottom"/>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r>
      <w:tr w:rsidR="00CC38FA" w:rsidRPr="0004428A" w:rsidTr="00031125">
        <w:trPr>
          <w:divId w:val="535240032"/>
        </w:trPr>
        <w:tc>
          <w:tcPr>
            <w:tcW w:w="2363" w:type="dxa"/>
            <w:tcMar>
              <w:top w:w="0" w:type="dxa"/>
              <w:left w:w="108" w:type="dxa"/>
              <w:bottom w:w="0" w:type="dxa"/>
              <w:right w:w="108" w:type="dxa"/>
            </w:tcMar>
            <w:hideMark/>
          </w:tcPr>
          <w:p w:rsidR="00CC38FA" w:rsidRPr="0004428A" w:rsidRDefault="00CC38FA">
            <w:pPr>
              <w:pStyle w:val="a3"/>
              <w:spacing w:before="0" w:beforeAutospacing="0" w:after="0" w:afterAutospacing="0" w:line="240" w:lineRule="atLeast"/>
              <w:rPr>
                <w:rFonts w:asciiTheme="minorEastAsia" w:eastAsiaTheme="minorEastAsia" w:hAnsiTheme="minorEastAsia" w:cs="Times New Roman"/>
                <w:sz w:val="18"/>
                <w:szCs w:val="18"/>
              </w:rPr>
            </w:pPr>
            <w:r w:rsidRPr="0004428A">
              <w:rPr>
                <w:rFonts w:asciiTheme="minorEastAsia" w:eastAsiaTheme="minorEastAsia" w:hAnsiTheme="minorEastAsia" w:cs="Times New Roman" w:hint="eastAsia"/>
                <w:sz w:val="18"/>
                <w:szCs w:val="18"/>
              </w:rPr>
              <w:t>2024年6月30日余额</w:t>
            </w:r>
          </w:p>
        </w:tc>
        <w:tc>
          <w:tcPr>
            <w:tcW w:w="1471" w:type="dxa"/>
            <w:tcMar>
              <w:top w:w="0" w:type="dxa"/>
              <w:left w:w="108" w:type="dxa"/>
              <w:bottom w:w="0" w:type="dxa"/>
              <w:right w:w="108" w:type="dxa"/>
            </w:tcMar>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xml:space="preserve"> 4,737,616.67 </w:t>
            </w:r>
          </w:p>
        </w:tc>
        <w:tc>
          <w:tcPr>
            <w:tcW w:w="2086" w:type="dxa"/>
            <w:tcMar>
              <w:top w:w="0" w:type="dxa"/>
              <w:left w:w="108" w:type="dxa"/>
              <w:bottom w:w="0" w:type="dxa"/>
              <w:right w:w="108" w:type="dxa"/>
            </w:tcMar>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w:t>
            </w:r>
          </w:p>
        </w:tc>
        <w:tc>
          <w:tcPr>
            <w:tcW w:w="2030" w:type="dxa"/>
            <w:tcMar>
              <w:top w:w="0" w:type="dxa"/>
              <w:left w:w="108" w:type="dxa"/>
              <w:bottom w:w="0" w:type="dxa"/>
              <w:right w:w="108" w:type="dxa"/>
            </w:tcMar>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xml:space="preserve"> 235,813,868.49 </w:t>
            </w:r>
          </w:p>
        </w:tc>
        <w:tc>
          <w:tcPr>
            <w:tcW w:w="1656" w:type="dxa"/>
            <w:tcMar>
              <w:top w:w="0" w:type="dxa"/>
              <w:left w:w="108" w:type="dxa"/>
              <w:bottom w:w="0" w:type="dxa"/>
              <w:right w:w="108" w:type="dxa"/>
            </w:tcMar>
            <w:hideMark/>
          </w:tcPr>
          <w:p w:rsidR="00CC38FA" w:rsidRPr="0004428A" w:rsidRDefault="00CC38FA">
            <w:pPr>
              <w:pStyle w:val="a3"/>
              <w:spacing w:before="0" w:beforeAutospacing="0" w:after="0" w:afterAutospacing="0" w:line="240" w:lineRule="atLeast"/>
              <w:jc w:val="right"/>
              <w:rPr>
                <w:rFonts w:asciiTheme="minorEastAsia" w:eastAsiaTheme="minorEastAsia" w:hAnsiTheme="minorEastAsia" w:cs="Times New Roman"/>
                <w:sz w:val="18"/>
                <w:szCs w:val="18"/>
              </w:rPr>
            </w:pPr>
            <w:r w:rsidRPr="0004428A">
              <w:rPr>
                <w:rFonts w:asciiTheme="minorEastAsia" w:eastAsiaTheme="minorEastAsia" w:hAnsiTheme="minorEastAsia" w:cs="Times New Roman"/>
                <w:sz w:val="18"/>
                <w:szCs w:val="18"/>
              </w:rPr>
              <w:t xml:space="preserve"> 240,551,485.16 </w:t>
            </w:r>
          </w:p>
        </w:tc>
      </w:tr>
    </w:tbl>
    <w:p w:rsidR="00CC38FA" w:rsidRDefault="00CC38FA">
      <w:pPr>
        <w:divId w:val="535240032"/>
      </w:pPr>
    </w:p>
    <w:p w:rsidR="007F3A90" w:rsidRDefault="00CC38FA">
      <w:pPr>
        <w:keepNext/>
        <w:keepLines/>
        <w:spacing w:before="300" w:after="300" w:line="280" w:lineRule="exact"/>
        <w:outlineLvl w:val="4"/>
        <w:rPr>
          <w:rFonts w:ascii="宋体" w:eastAsia="宋体" w:hAnsi="宋体" w:cs="宋体"/>
          <w:b/>
          <w:bCs/>
          <w:sz w:val="18"/>
          <w:szCs w:val="18"/>
        </w:rPr>
      </w:pPr>
      <w:bookmarkStart w:id="364" w:name="_Toc989253"/>
      <w:r>
        <w:rPr>
          <w:rFonts w:ascii="宋体" w:eastAsia="宋体" w:hAnsi="宋体" w:cs="宋体"/>
          <w:b/>
          <w:bCs/>
          <w:sz w:val="18"/>
          <w:szCs w:val="18"/>
        </w:rPr>
        <w:t>4） 按欠款方归集的期末余额前五名的其他应收款情况</w:t>
      </w:r>
      <w:bookmarkEnd w:id="364"/>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959"/>
        <w:gridCol w:w="1276"/>
        <w:gridCol w:w="1701"/>
        <w:gridCol w:w="2126"/>
        <w:gridCol w:w="1970"/>
        <w:gridCol w:w="1607"/>
      </w:tblGrid>
      <w:tr w:rsidR="007F3A90" w:rsidTr="0004428A">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款项的性质</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197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7F3A90" w:rsidTr="0004428A">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A公司</w:t>
            </w:r>
          </w:p>
        </w:tc>
        <w:tc>
          <w:tcPr>
            <w:tcW w:w="12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单位往来</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273,723,333.36</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1年以内</w:t>
            </w:r>
          </w:p>
        </w:tc>
        <w:tc>
          <w:tcPr>
            <w:tcW w:w="197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42.46%</w:t>
            </w:r>
          </w:p>
        </w:tc>
        <w:tc>
          <w:tcPr>
            <w:tcW w:w="160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04428A">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B公司</w:t>
            </w:r>
          </w:p>
        </w:tc>
        <w:tc>
          <w:tcPr>
            <w:tcW w:w="12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单位往来</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229,790,604.64</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5年以上</w:t>
            </w:r>
          </w:p>
        </w:tc>
        <w:tc>
          <w:tcPr>
            <w:tcW w:w="197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35.65%</w:t>
            </w:r>
          </w:p>
        </w:tc>
        <w:tc>
          <w:tcPr>
            <w:tcW w:w="160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229,790,604.64</w:t>
            </w:r>
          </w:p>
        </w:tc>
      </w:tr>
      <w:tr w:rsidR="007F3A90" w:rsidTr="0004428A">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C公司</w:t>
            </w:r>
          </w:p>
        </w:tc>
        <w:tc>
          <w:tcPr>
            <w:tcW w:w="12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单位往来</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68,000,000.00</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1年以内</w:t>
            </w:r>
          </w:p>
        </w:tc>
        <w:tc>
          <w:tcPr>
            <w:tcW w:w="197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10.55%</w:t>
            </w:r>
          </w:p>
        </w:tc>
        <w:tc>
          <w:tcPr>
            <w:tcW w:w="160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04428A">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D公司</w:t>
            </w:r>
          </w:p>
        </w:tc>
        <w:tc>
          <w:tcPr>
            <w:tcW w:w="12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单位往来</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39,069,000.00</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1年以内、1-2年、2-3年、3-4年</w:t>
            </w:r>
          </w:p>
        </w:tc>
        <w:tc>
          <w:tcPr>
            <w:tcW w:w="197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6.06%</w:t>
            </w:r>
          </w:p>
        </w:tc>
        <w:tc>
          <w:tcPr>
            <w:tcW w:w="160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04428A">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E公司</w:t>
            </w:r>
          </w:p>
        </w:tc>
        <w:tc>
          <w:tcPr>
            <w:tcW w:w="127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单位往来</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16,389,915.12</w:t>
            </w:r>
          </w:p>
        </w:tc>
        <w:tc>
          <w:tcPr>
            <w:tcW w:w="212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1年以内</w:t>
            </w:r>
          </w:p>
        </w:tc>
        <w:tc>
          <w:tcPr>
            <w:tcW w:w="197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2.54%</w:t>
            </w:r>
          </w:p>
        </w:tc>
        <w:tc>
          <w:tcPr>
            <w:tcW w:w="160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04428A">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626,972,853.12</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97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97.26%</w:t>
            </w:r>
          </w:p>
        </w:tc>
        <w:tc>
          <w:tcPr>
            <w:tcW w:w="160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229,790,604.64</w:t>
            </w:r>
          </w:p>
        </w:tc>
      </w:tr>
    </w:tbl>
    <w:p w:rsidR="007F3A90" w:rsidRDefault="00CC38FA">
      <w:pPr>
        <w:pStyle w:val="3"/>
        <w:spacing w:line="280" w:lineRule="exact"/>
        <w:jc w:val="left"/>
        <w:rPr>
          <w:rFonts w:ascii="宋体" w:hAnsi="宋体" w:cs="宋体"/>
          <w:b/>
          <w:bCs/>
        </w:rPr>
      </w:pPr>
      <w:bookmarkStart w:id="365" w:name="_Toc989254"/>
      <w:r>
        <w:rPr>
          <w:rFonts w:ascii="宋体" w:hAnsi="宋体" w:cs="宋体"/>
          <w:b/>
          <w:bCs/>
        </w:rPr>
        <w:lastRenderedPageBreak/>
        <w:t>3、长期股权投资</w:t>
      </w:r>
      <w:bookmarkEnd w:id="365"/>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7F3A90">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7F3A90">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7F3A90">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对子公司投资</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4,799,397,777.77</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4,799,397,777.77</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4,771,133,098.37</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4,771,133,098.37</w:t>
            </w:r>
          </w:p>
        </w:tc>
      </w:tr>
      <w:tr w:rsidR="007F3A90">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对联营、合营企业投资</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74,635,173.90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74,635,173.90</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74,649,729.29</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74,649,729.29</w:t>
            </w:r>
          </w:p>
        </w:tc>
      </w:tr>
      <w:tr w:rsidR="007F3A90">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4,874,032,951.67</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4,874,032,951.67</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4,845,782,827.66</w:t>
            </w: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4,845,782,827.66</w:t>
            </w:r>
          </w:p>
        </w:tc>
      </w:tr>
    </w:tbl>
    <w:p w:rsidR="007F3A90" w:rsidRDefault="00CC38FA">
      <w:pPr>
        <w:keepNext/>
        <w:keepLines/>
        <w:spacing w:before="300" w:after="300" w:line="280" w:lineRule="exact"/>
        <w:outlineLvl w:val="3"/>
        <w:rPr>
          <w:rFonts w:ascii="宋体" w:eastAsia="宋体" w:hAnsi="宋体" w:cs="宋体"/>
          <w:b/>
          <w:bCs/>
          <w:szCs w:val="21"/>
        </w:rPr>
      </w:pPr>
      <w:bookmarkStart w:id="366" w:name="_Toc989255"/>
      <w:r>
        <w:rPr>
          <w:rFonts w:ascii="宋体" w:eastAsia="宋体" w:hAnsi="宋体" w:cs="宋体"/>
          <w:b/>
          <w:bCs/>
          <w:szCs w:val="21"/>
        </w:rPr>
        <w:t>（1） 对子公司投资</w:t>
      </w:r>
      <w:bookmarkEnd w:id="366"/>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42"/>
        <w:gridCol w:w="1701"/>
        <w:gridCol w:w="709"/>
        <w:gridCol w:w="1418"/>
        <w:gridCol w:w="708"/>
        <w:gridCol w:w="851"/>
        <w:gridCol w:w="567"/>
        <w:gridCol w:w="1701"/>
        <w:gridCol w:w="742"/>
      </w:tblGrid>
      <w:tr w:rsidR="007F3A90" w:rsidTr="0004428A">
        <w:trPr>
          <w:trHeight w:val="240"/>
        </w:trPr>
        <w:tc>
          <w:tcPr>
            <w:tcW w:w="124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w:t>
            </w:r>
          </w:p>
        </w:tc>
        <w:tc>
          <w:tcPr>
            <w:tcW w:w="17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70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减值准备期初余额</w:t>
            </w:r>
          </w:p>
        </w:tc>
        <w:tc>
          <w:tcPr>
            <w:tcW w:w="354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17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74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7F3A90" w:rsidTr="0004428A">
        <w:trPr>
          <w:trHeight w:val="240"/>
        </w:trPr>
        <w:tc>
          <w:tcPr>
            <w:tcW w:w="124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170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09" w:type="dxa"/>
            <w:vMerge/>
            <w:tcBorders>
              <w:top w:val="single" w:sz="2" w:space="0" w:color="auto"/>
              <w:left w:val="single" w:sz="2" w:space="0" w:color="auto"/>
              <w:bottom w:val="single" w:sz="2" w:space="0" w:color="auto"/>
              <w:right w:val="single" w:sz="2" w:space="0" w:color="auto"/>
            </w:tcBorders>
            <w:vAlign w:val="center"/>
          </w:tcPr>
          <w:p w:rsidR="007F3A90" w:rsidRDefault="007F3A90"/>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70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4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rsidTr="0004428A">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软控机电</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2,944,353,900.16</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13,027,485.06</w:t>
            </w: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2,957,381,385.22</w:t>
            </w:r>
          </w:p>
        </w:tc>
        <w:tc>
          <w:tcPr>
            <w:tcW w:w="74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04428A">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计量检测</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2,868,028.75</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59,572.50</w:t>
            </w: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2,927,601.25</w:t>
            </w:r>
          </w:p>
        </w:tc>
        <w:tc>
          <w:tcPr>
            <w:tcW w:w="74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04428A">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海威物联</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8,724,543.31</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158,860.02</w:t>
            </w: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8,883,403.33</w:t>
            </w:r>
          </w:p>
        </w:tc>
        <w:tc>
          <w:tcPr>
            <w:tcW w:w="74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04428A">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海科科技</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31,493,613.36</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194,104.98</w:t>
            </w: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31,687,718.34</w:t>
            </w:r>
          </w:p>
        </w:tc>
        <w:tc>
          <w:tcPr>
            <w:tcW w:w="74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04428A">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联合科技</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163,157,844.81</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1,015,429.02</w:t>
            </w: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164,173,273.83</w:t>
            </w:r>
          </w:p>
        </w:tc>
        <w:tc>
          <w:tcPr>
            <w:tcW w:w="74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04428A">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科捷自动化</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69,555,213.95</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10,933,861.74</w:t>
            </w: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80,489,075.69</w:t>
            </w:r>
          </w:p>
        </w:tc>
        <w:tc>
          <w:tcPr>
            <w:tcW w:w="74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04428A">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华控能源</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5,241,666.67</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5,241,666.67</w:t>
            </w:r>
          </w:p>
        </w:tc>
        <w:tc>
          <w:tcPr>
            <w:tcW w:w="74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04428A">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抚顺伊科思</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348,806,858.31</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397,150.02</w:t>
            </w: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349,204,008.33</w:t>
            </w:r>
          </w:p>
        </w:tc>
        <w:tc>
          <w:tcPr>
            <w:tcW w:w="74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04428A">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益凯新材料</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424,759,405.23</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1,910,291.52</w:t>
            </w: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426,669,696.75</w:t>
            </w:r>
          </w:p>
        </w:tc>
        <w:tc>
          <w:tcPr>
            <w:tcW w:w="74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04428A">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软控欧研</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20,136,554.99</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20,136,554.99</w:t>
            </w:r>
          </w:p>
        </w:tc>
        <w:tc>
          <w:tcPr>
            <w:tcW w:w="74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04428A">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软控（美洲）</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76,277,965.00</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76,277,965.00</w:t>
            </w:r>
          </w:p>
        </w:tc>
        <w:tc>
          <w:tcPr>
            <w:tcW w:w="74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04428A">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优享供应链</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685,684.56</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170,774.52</w:t>
            </w: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856,459.08</w:t>
            </w:r>
          </w:p>
        </w:tc>
        <w:tc>
          <w:tcPr>
            <w:tcW w:w="74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04428A">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软控科技</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13,621,256.01</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397,150.02</w:t>
            </w: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14,018,406.03</w:t>
            </w:r>
          </w:p>
        </w:tc>
        <w:tc>
          <w:tcPr>
            <w:tcW w:w="74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04428A">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盘锦伊科思</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420,000,000.00</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420,000,000.00</w:t>
            </w:r>
          </w:p>
        </w:tc>
        <w:tc>
          <w:tcPr>
            <w:tcW w:w="74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04428A">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软控诸暨</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241,450,563.26</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241,450,563.26</w:t>
            </w:r>
          </w:p>
        </w:tc>
        <w:tc>
          <w:tcPr>
            <w:tcW w:w="74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04428A">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4,771,133,098.37</w:t>
            </w:r>
          </w:p>
        </w:tc>
        <w:tc>
          <w:tcPr>
            <w:tcW w:w="709"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28,264,679.40</w:t>
            </w:r>
          </w:p>
        </w:tc>
        <w:tc>
          <w:tcPr>
            <w:tcW w:w="70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4,799,397,777.77</w:t>
            </w:r>
          </w:p>
        </w:tc>
        <w:tc>
          <w:tcPr>
            <w:tcW w:w="742"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bl>
    <w:p w:rsidR="007F3A90" w:rsidRDefault="00CC38FA">
      <w:pPr>
        <w:keepNext/>
        <w:keepLines/>
        <w:spacing w:before="300" w:after="300" w:line="280" w:lineRule="exact"/>
        <w:outlineLvl w:val="3"/>
        <w:rPr>
          <w:rFonts w:ascii="宋体" w:eastAsia="宋体" w:hAnsi="宋体" w:cs="宋体"/>
          <w:b/>
          <w:bCs/>
          <w:szCs w:val="21"/>
        </w:rPr>
      </w:pPr>
      <w:bookmarkStart w:id="367" w:name="_Toc989256"/>
      <w:r>
        <w:rPr>
          <w:rFonts w:ascii="宋体" w:eastAsia="宋体" w:hAnsi="宋体" w:cs="宋体"/>
          <w:b/>
          <w:bCs/>
          <w:szCs w:val="21"/>
        </w:rPr>
        <w:t>（2） 对联营、合营企业投资</w:t>
      </w:r>
      <w:bookmarkEnd w:id="367"/>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1"/>
        <w:gridCol w:w="741"/>
        <w:gridCol w:w="741"/>
        <w:gridCol w:w="741"/>
        <w:gridCol w:w="741"/>
        <w:gridCol w:w="741"/>
        <w:gridCol w:w="741"/>
        <w:gridCol w:w="741"/>
        <w:gridCol w:w="741"/>
        <w:gridCol w:w="741"/>
        <w:gridCol w:w="745"/>
        <w:gridCol w:w="741"/>
        <w:gridCol w:w="743"/>
      </w:tblGrid>
      <w:tr w:rsidR="007F3A90">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投资单位</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减值准备期初余额</w:t>
            </w:r>
          </w:p>
        </w:tc>
        <w:tc>
          <w:tcPr>
            <w:tcW w:w="5932"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7F3A90">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41" w:type="dxa"/>
            <w:vMerge/>
            <w:tcBorders>
              <w:top w:val="single" w:sz="2" w:space="0" w:color="auto"/>
              <w:left w:val="single" w:sz="2" w:space="0" w:color="auto"/>
              <w:bottom w:val="single" w:sz="2" w:space="0" w:color="auto"/>
              <w:right w:val="single" w:sz="2" w:space="0" w:color="auto"/>
            </w:tcBorders>
            <w:vAlign w:val="center"/>
          </w:tcPr>
          <w:p w:rsidR="007F3A90" w:rsidRDefault="007F3A90"/>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权益法下确认的投资损益</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其他综合收益调整</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其他权益变动</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宣告发放现金股利或利润</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r>
      <w:tr w:rsidR="007F3A90">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一、合营企业</w:t>
            </w:r>
          </w:p>
        </w:tc>
      </w:tr>
      <w:tr w:rsidR="007F3A90">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二、联营企业</w:t>
            </w:r>
          </w:p>
        </w:tc>
      </w:tr>
      <w:tr w:rsidR="007F3A90">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青岛青维科技</w:t>
            </w:r>
            <w:r>
              <w:rPr>
                <w:rFonts w:ascii="宋体" w:eastAsia="宋体" w:hAnsi="宋体" w:cs="宋体"/>
                <w:sz w:val="18"/>
                <w:szCs w:val="18"/>
              </w:rPr>
              <w:lastRenderedPageBreak/>
              <w:t>发展有限公司</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lastRenderedPageBreak/>
              <w:t>9,903,147.70</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-382.86</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9,902,764.84</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lastRenderedPageBreak/>
              <w:t>青岛华商汇通控股有限公司</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64,746,581.59</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-14,172.53</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64,732,409.06</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小计</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74,649,729.29</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-14,555.39</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74,635,173.90</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74,649,729.29</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-14,555.39</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74,635,173.90</w:t>
            </w:r>
          </w:p>
        </w:tc>
        <w:tc>
          <w:tcPr>
            <w:tcW w:w="741"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可收回金额按公允价值减去处置费用后的净额确定</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可收回金额按预计未来现金流量的现值确定</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keepNext/>
        <w:keepLines/>
        <w:spacing w:before="300" w:after="300" w:line="280" w:lineRule="exact"/>
        <w:outlineLvl w:val="3"/>
        <w:rPr>
          <w:rFonts w:ascii="宋体" w:eastAsia="宋体" w:hAnsi="宋体" w:cs="宋体"/>
          <w:b/>
          <w:bCs/>
          <w:szCs w:val="21"/>
        </w:rPr>
      </w:pPr>
      <w:bookmarkStart w:id="368" w:name="_Toc989257"/>
      <w:r>
        <w:rPr>
          <w:rFonts w:ascii="宋体" w:eastAsia="宋体" w:hAnsi="宋体" w:cs="宋体"/>
          <w:b/>
          <w:bCs/>
          <w:szCs w:val="21"/>
        </w:rPr>
        <w:t>（3） 其他说明</w:t>
      </w:r>
      <w:bookmarkEnd w:id="368"/>
    </w:p>
    <w:p w:rsidR="00CC38FA" w:rsidRDefault="00CC38FA">
      <w:pPr>
        <w:pStyle w:val="a3"/>
        <w:divId w:val="2136363251"/>
        <w:rPr>
          <w:sz w:val="18"/>
          <w:szCs w:val="18"/>
        </w:rPr>
      </w:pPr>
      <w:r>
        <w:rPr>
          <w:rFonts w:hint="eastAsia"/>
          <w:sz w:val="18"/>
          <w:szCs w:val="18"/>
        </w:rPr>
        <w:t>无</w:t>
      </w:r>
    </w:p>
    <w:p w:rsidR="007F3A90" w:rsidRDefault="00CC38FA">
      <w:pPr>
        <w:pStyle w:val="3"/>
        <w:spacing w:line="280" w:lineRule="exact"/>
        <w:jc w:val="left"/>
        <w:rPr>
          <w:rFonts w:ascii="宋体" w:hAnsi="宋体" w:cs="宋体"/>
          <w:b/>
          <w:bCs/>
        </w:rPr>
      </w:pPr>
      <w:bookmarkStart w:id="369" w:name="_Toc989258"/>
      <w:r>
        <w:rPr>
          <w:rFonts w:ascii="宋体" w:hAnsi="宋体" w:cs="宋体"/>
          <w:b/>
          <w:bCs/>
        </w:rPr>
        <w:t>4、营业收入和营业成本</w:t>
      </w:r>
      <w:bookmarkEnd w:id="369"/>
    </w:p>
    <w:p w:rsidR="00CC38FA" w:rsidRDefault="00CC38FA">
      <w:pPr>
        <w:pStyle w:val="a3"/>
        <w:spacing w:before="40" w:beforeAutospacing="0" w:after="40" w:afterAutospacing="0" w:line="240" w:lineRule="atLeast"/>
        <w:jc w:val="right"/>
        <w:divId w:val="430785612"/>
        <w:rPr>
          <w:rFonts w:ascii="等线" w:eastAsia="等线" w:hAnsi="等线"/>
          <w:sz w:val="21"/>
          <w:szCs w:val="21"/>
        </w:rPr>
      </w:pPr>
      <w:r>
        <w:rPr>
          <w:rFonts w:hint="eastAsia"/>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7"/>
        <w:gridCol w:w="1928"/>
        <w:gridCol w:w="1928"/>
        <w:gridCol w:w="1928"/>
        <w:gridCol w:w="1928"/>
      </w:tblGrid>
      <w:tr w:rsidR="00CC38FA" w:rsidRPr="0004428A" w:rsidTr="00031125">
        <w:trPr>
          <w:divId w:val="430785612"/>
          <w:trHeight w:val="240"/>
        </w:trPr>
        <w:tc>
          <w:tcPr>
            <w:tcW w:w="1927" w:type="dxa"/>
            <w:vMerge w:val="restart"/>
            <w:shd w:val="clear" w:color="auto" w:fill="D3D3D3"/>
            <w:tcMar>
              <w:top w:w="0" w:type="dxa"/>
              <w:left w:w="108" w:type="dxa"/>
              <w:bottom w:w="0" w:type="dxa"/>
              <w:right w:w="108" w:type="dxa"/>
            </w:tcMar>
            <w:vAlign w:val="center"/>
            <w:hideMark/>
          </w:tcPr>
          <w:p w:rsidR="00CC38FA" w:rsidRPr="0004428A" w:rsidRDefault="00CC38FA">
            <w:pPr>
              <w:pStyle w:val="a3"/>
              <w:spacing w:before="40" w:beforeAutospacing="0" w:after="40" w:afterAutospacing="0" w:line="240" w:lineRule="atLeast"/>
              <w:jc w:val="center"/>
              <w:rPr>
                <w:rFonts w:cs="Times New Roman"/>
                <w:sz w:val="21"/>
                <w:szCs w:val="21"/>
              </w:rPr>
            </w:pPr>
            <w:r w:rsidRPr="0004428A">
              <w:rPr>
                <w:rFonts w:cs="Times New Roman" w:hint="eastAsia"/>
                <w:sz w:val="18"/>
                <w:szCs w:val="18"/>
              </w:rPr>
              <w:t>项目</w:t>
            </w:r>
          </w:p>
        </w:tc>
        <w:tc>
          <w:tcPr>
            <w:tcW w:w="3856" w:type="dxa"/>
            <w:gridSpan w:val="2"/>
            <w:shd w:val="clear" w:color="auto" w:fill="D3D3D3"/>
            <w:tcMar>
              <w:top w:w="0" w:type="dxa"/>
              <w:left w:w="108" w:type="dxa"/>
              <w:bottom w:w="0" w:type="dxa"/>
              <w:right w:w="108" w:type="dxa"/>
            </w:tcMar>
            <w:vAlign w:val="center"/>
            <w:hideMark/>
          </w:tcPr>
          <w:p w:rsidR="00CC38FA" w:rsidRPr="0004428A" w:rsidRDefault="00CC38FA">
            <w:pPr>
              <w:pStyle w:val="a3"/>
              <w:spacing w:before="40" w:beforeAutospacing="0" w:after="40" w:afterAutospacing="0" w:line="240" w:lineRule="atLeast"/>
              <w:jc w:val="center"/>
              <w:rPr>
                <w:rFonts w:cs="Times New Roman"/>
                <w:sz w:val="21"/>
                <w:szCs w:val="21"/>
              </w:rPr>
            </w:pPr>
            <w:r w:rsidRPr="0004428A">
              <w:rPr>
                <w:rFonts w:cs="Times New Roman" w:hint="eastAsia"/>
                <w:sz w:val="18"/>
                <w:szCs w:val="18"/>
              </w:rPr>
              <w:t>本期发生额</w:t>
            </w:r>
          </w:p>
        </w:tc>
        <w:tc>
          <w:tcPr>
            <w:tcW w:w="3856" w:type="dxa"/>
            <w:gridSpan w:val="2"/>
            <w:shd w:val="clear" w:color="auto" w:fill="D3D3D3"/>
            <w:tcMar>
              <w:top w:w="0" w:type="dxa"/>
              <w:left w:w="108" w:type="dxa"/>
              <w:bottom w:w="0" w:type="dxa"/>
              <w:right w:w="108" w:type="dxa"/>
            </w:tcMar>
            <w:vAlign w:val="center"/>
            <w:hideMark/>
          </w:tcPr>
          <w:p w:rsidR="00CC38FA" w:rsidRPr="0004428A" w:rsidRDefault="00CC38FA">
            <w:pPr>
              <w:pStyle w:val="a3"/>
              <w:spacing w:before="40" w:beforeAutospacing="0" w:after="40" w:afterAutospacing="0" w:line="240" w:lineRule="atLeast"/>
              <w:jc w:val="center"/>
              <w:rPr>
                <w:rFonts w:cs="Times New Roman"/>
                <w:sz w:val="21"/>
                <w:szCs w:val="21"/>
              </w:rPr>
            </w:pPr>
            <w:r w:rsidRPr="0004428A">
              <w:rPr>
                <w:rFonts w:cs="Times New Roman" w:hint="eastAsia"/>
                <w:sz w:val="18"/>
                <w:szCs w:val="18"/>
              </w:rPr>
              <w:t>上期发生额</w:t>
            </w:r>
          </w:p>
        </w:tc>
      </w:tr>
      <w:tr w:rsidR="00CC38FA" w:rsidRPr="0004428A" w:rsidTr="00031125">
        <w:trPr>
          <w:divId w:val="430785612"/>
          <w:trHeight w:val="240"/>
        </w:trPr>
        <w:tc>
          <w:tcPr>
            <w:tcW w:w="0" w:type="auto"/>
            <w:vMerge/>
            <w:vAlign w:val="center"/>
            <w:hideMark/>
          </w:tcPr>
          <w:p w:rsidR="00CC38FA" w:rsidRPr="0004428A" w:rsidRDefault="00CC38FA">
            <w:pPr>
              <w:rPr>
                <w:rFonts w:ascii="宋体" w:eastAsia="宋体" w:hAnsi="宋体" w:cs="Times New Roman"/>
                <w:szCs w:val="21"/>
              </w:rPr>
            </w:pPr>
          </w:p>
        </w:tc>
        <w:tc>
          <w:tcPr>
            <w:tcW w:w="1928" w:type="dxa"/>
            <w:shd w:val="clear" w:color="auto" w:fill="D3D3D3"/>
            <w:tcMar>
              <w:top w:w="0" w:type="dxa"/>
              <w:left w:w="108" w:type="dxa"/>
              <w:bottom w:w="0" w:type="dxa"/>
              <w:right w:w="108" w:type="dxa"/>
            </w:tcMar>
            <w:vAlign w:val="center"/>
            <w:hideMark/>
          </w:tcPr>
          <w:p w:rsidR="00CC38FA" w:rsidRPr="0004428A" w:rsidRDefault="00CC38FA">
            <w:pPr>
              <w:pStyle w:val="a3"/>
              <w:spacing w:before="40" w:beforeAutospacing="0" w:after="40" w:afterAutospacing="0" w:line="240" w:lineRule="atLeast"/>
              <w:jc w:val="center"/>
              <w:rPr>
                <w:rFonts w:cs="Times New Roman"/>
                <w:sz w:val="21"/>
                <w:szCs w:val="21"/>
              </w:rPr>
            </w:pPr>
            <w:r w:rsidRPr="0004428A">
              <w:rPr>
                <w:rFonts w:cs="Times New Roman" w:hint="eastAsia"/>
                <w:sz w:val="18"/>
                <w:szCs w:val="18"/>
              </w:rPr>
              <w:t>收入</w:t>
            </w:r>
          </w:p>
        </w:tc>
        <w:tc>
          <w:tcPr>
            <w:tcW w:w="1928" w:type="dxa"/>
            <w:shd w:val="clear" w:color="auto" w:fill="D3D3D3"/>
            <w:tcMar>
              <w:top w:w="0" w:type="dxa"/>
              <w:left w:w="108" w:type="dxa"/>
              <w:bottom w:w="0" w:type="dxa"/>
              <w:right w:w="108" w:type="dxa"/>
            </w:tcMar>
            <w:vAlign w:val="center"/>
            <w:hideMark/>
          </w:tcPr>
          <w:p w:rsidR="00CC38FA" w:rsidRPr="0004428A" w:rsidRDefault="00CC38FA">
            <w:pPr>
              <w:pStyle w:val="a3"/>
              <w:spacing w:before="40" w:beforeAutospacing="0" w:after="40" w:afterAutospacing="0" w:line="240" w:lineRule="atLeast"/>
              <w:jc w:val="center"/>
              <w:rPr>
                <w:rFonts w:cs="Times New Roman"/>
                <w:sz w:val="21"/>
                <w:szCs w:val="21"/>
              </w:rPr>
            </w:pPr>
            <w:r w:rsidRPr="0004428A">
              <w:rPr>
                <w:rFonts w:cs="Times New Roman" w:hint="eastAsia"/>
                <w:sz w:val="18"/>
                <w:szCs w:val="18"/>
              </w:rPr>
              <w:t>成本</w:t>
            </w:r>
          </w:p>
        </w:tc>
        <w:tc>
          <w:tcPr>
            <w:tcW w:w="1928" w:type="dxa"/>
            <w:shd w:val="clear" w:color="auto" w:fill="D3D3D3"/>
            <w:tcMar>
              <w:top w:w="0" w:type="dxa"/>
              <w:left w:w="108" w:type="dxa"/>
              <w:bottom w:w="0" w:type="dxa"/>
              <w:right w:w="108" w:type="dxa"/>
            </w:tcMar>
            <w:vAlign w:val="center"/>
            <w:hideMark/>
          </w:tcPr>
          <w:p w:rsidR="00CC38FA" w:rsidRPr="0004428A" w:rsidRDefault="00CC38FA">
            <w:pPr>
              <w:pStyle w:val="a3"/>
              <w:spacing w:before="40" w:beforeAutospacing="0" w:after="40" w:afterAutospacing="0" w:line="240" w:lineRule="atLeast"/>
              <w:jc w:val="center"/>
              <w:rPr>
                <w:rFonts w:cs="Times New Roman"/>
                <w:sz w:val="21"/>
                <w:szCs w:val="21"/>
              </w:rPr>
            </w:pPr>
            <w:r w:rsidRPr="0004428A">
              <w:rPr>
                <w:rFonts w:cs="Times New Roman" w:hint="eastAsia"/>
                <w:sz w:val="18"/>
                <w:szCs w:val="18"/>
              </w:rPr>
              <w:t>收入</w:t>
            </w:r>
          </w:p>
        </w:tc>
        <w:tc>
          <w:tcPr>
            <w:tcW w:w="1928" w:type="dxa"/>
            <w:shd w:val="clear" w:color="auto" w:fill="D3D3D3"/>
            <w:tcMar>
              <w:top w:w="0" w:type="dxa"/>
              <w:left w:w="108" w:type="dxa"/>
              <w:bottom w:w="0" w:type="dxa"/>
              <w:right w:w="108" w:type="dxa"/>
            </w:tcMar>
            <w:vAlign w:val="center"/>
            <w:hideMark/>
          </w:tcPr>
          <w:p w:rsidR="00CC38FA" w:rsidRPr="0004428A" w:rsidRDefault="00CC38FA">
            <w:pPr>
              <w:pStyle w:val="a3"/>
              <w:spacing w:before="40" w:beforeAutospacing="0" w:after="40" w:afterAutospacing="0" w:line="240" w:lineRule="atLeast"/>
              <w:jc w:val="center"/>
              <w:rPr>
                <w:rFonts w:cs="Times New Roman"/>
                <w:sz w:val="21"/>
                <w:szCs w:val="21"/>
              </w:rPr>
            </w:pPr>
            <w:r w:rsidRPr="0004428A">
              <w:rPr>
                <w:rFonts w:cs="Times New Roman" w:hint="eastAsia"/>
                <w:sz w:val="18"/>
                <w:szCs w:val="18"/>
              </w:rPr>
              <w:t>成本</w:t>
            </w:r>
          </w:p>
        </w:tc>
      </w:tr>
      <w:tr w:rsidR="00CC38FA" w:rsidRPr="0004428A" w:rsidTr="00031125">
        <w:trPr>
          <w:divId w:val="430785612"/>
          <w:trHeight w:val="240"/>
        </w:trPr>
        <w:tc>
          <w:tcPr>
            <w:tcW w:w="1927" w:type="dxa"/>
            <w:shd w:val="clear" w:color="auto" w:fill="D3D3D3"/>
            <w:tcMar>
              <w:top w:w="0" w:type="dxa"/>
              <w:left w:w="108" w:type="dxa"/>
              <w:bottom w:w="0" w:type="dxa"/>
              <w:right w:w="108" w:type="dxa"/>
            </w:tcMar>
            <w:vAlign w:val="center"/>
            <w:hideMark/>
          </w:tcPr>
          <w:p w:rsidR="00CC38FA" w:rsidRPr="0004428A" w:rsidRDefault="00CC38FA">
            <w:pPr>
              <w:pStyle w:val="a3"/>
              <w:spacing w:before="40" w:beforeAutospacing="0" w:after="40" w:afterAutospacing="0" w:line="240" w:lineRule="atLeast"/>
              <w:rPr>
                <w:rFonts w:cs="Times New Roman"/>
                <w:sz w:val="21"/>
                <w:szCs w:val="21"/>
              </w:rPr>
            </w:pPr>
            <w:r w:rsidRPr="0004428A">
              <w:rPr>
                <w:rFonts w:cs="Times New Roman" w:hint="eastAsia"/>
                <w:sz w:val="18"/>
                <w:szCs w:val="18"/>
              </w:rPr>
              <w:t>主营业务</w:t>
            </w:r>
          </w:p>
        </w:tc>
        <w:tc>
          <w:tcPr>
            <w:tcW w:w="1928" w:type="dxa"/>
            <w:tcMar>
              <w:top w:w="0" w:type="dxa"/>
              <w:left w:w="108" w:type="dxa"/>
              <w:bottom w:w="0" w:type="dxa"/>
              <w:right w:w="108" w:type="dxa"/>
            </w:tcMar>
            <w:vAlign w:val="center"/>
            <w:hideMark/>
          </w:tcPr>
          <w:p w:rsidR="00CC38FA" w:rsidRPr="0004428A" w:rsidRDefault="00CC38FA">
            <w:pPr>
              <w:pStyle w:val="a3"/>
              <w:spacing w:before="0" w:beforeAutospacing="0" w:after="0" w:afterAutospacing="0" w:line="240" w:lineRule="atLeast"/>
              <w:jc w:val="right"/>
              <w:rPr>
                <w:rFonts w:cs="Times New Roman"/>
                <w:sz w:val="21"/>
                <w:szCs w:val="21"/>
              </w:rPr>
            </w:pPr>
            <w:r w:rsidRPr="0004428A">
              <w:rPr>
                <w:rFonts w:cs="Times New Roman"/>
                <w:sz w:val="18"/>
                <w:szCs w:val="18"/>
              </w:rPr>
              <w:t>106,466,325.75</w:t>
            </w:r>
          </w:p>
        </w:tc>
        <w:tc>
          <w:tcPr>
            <w:tcW w:w="1928" w:type="dxa"/>
            <w:tcMar>
              <w:top w:w="0" w:type="dxa"/>
              <w:left w:w="108" w:type="dxa"/>
              <w:bottom w:w="0" w:type="dxa"/>
              <w:right w:w="108" w:type="dxa"/>
            </w:tcMar>
            <w:vAlign w:val="center"/>
            <w:hideMark/>
          </w:tcPr>
          <w:p w:rsidR="00CC38FA" w:rsidRPr="0004428A" w:rsidRDefault="00CC38FA">
            <w:pPr>
              <w:pStyle w:val="a3"/>
              <w:spacing w:before="0" w:beforeAutospacing="0" w:after="0" w:afterAutospacing="0" w:line="240" w:lineRule="atLeast"/>
              <w:jc w:val="right"/>
              <w:rPr>
                <w:rFonts w:cs="Times New Roman"/>
                <w:sz w:val="21"/>
                <w:szCs w:val="21"/>
              </w:rPr>
            </w:pPr>
            <w:r w:rsidRPr="0004428A">
              <w:rPr>
                <w:rFonts w:cs="Times New Roman"/>
                <w:sz w:val="18"/>
                <w:szCs w:val="18"/>
              </w:rPr>
              <w:t>4,574,320.00</w:t>
            </w:r>
          </w:p>
        </w:tc>
        <w:tc>
          <w:tcPr>
            <w:tcW w:w="1928" w:type="dxa"/>
            <w:tcMar>
              <w:top w:w="0" w:type="dxa"/>
              <w:left w:w="108" w:type="dxa"/>
              <w:bottom w:w="0" w:type="dxa"/>
              <w:right w:w="108" w:type="dxa"/>
            </w:tcMar>
            <w:vAlign w:val="center"/>
            <w:hideMark/>
          </w:tcPr>
          <w:p w:rsidR="00CC38FA" w:rsidRPr="0004428A" w:rsidRDefault="00CC38FA">
            <w:pPr>
              <w:pStyle w:val="a3"/>
              <w:spacing w:before="0" w:beforeAutospacing="0" w:after="0" w:afterAutospacing="0" w:line="240" w:lineRule="atLeast"/>
              <w:jc w:val="right"/>
              <w:rPr>
                <w:rFonts w:cs="Times New Roman"/>
                <w:sz w:val="21"/>
                <w:szCs w:val="21"/>
              </w:rPr>
            </w:pPr>
            <w:r w:rsidRPr="0004428A">
              <w:rPr>
                <w:rFonts w:cs="Times New Roman"/>
                <w:sz w:val="18"/>
                <w:szCs w:val="18"/>
              </w:rPr>
              <w:t>105,727,404.76</w:t>
            </w:r>
          </w:p>
        </w:tc>
        <w:tc>
          <w:tcPr>
            <w:tcW w:w="1928" w:type="dxa"/>
            <w:tcMar>
              <w:top w:w="0" w:type="dxa"/>
              <w:left w:w="108" w:type="dxa"/>
              <w:bottom w:w="0" w:type="dxa"/>
              <w:right w:w="108" w:type="dxa"/>
            </w:tcMar>
            <w:vAlign w:val="center"/>
            <w:hideMark/>
          </w:tcPr>
          <w:p w:rsidR="00CC38FA" w:rsidRPr="0004428A" w:rsidRDefault="00CC38FA">
            <w:pPr>
              <w:pStyle w:val="a3"/>
              <w:spacing w:before="0" w:beforeAutospacing="0" w:after="0" w:afterAutospacing="0" w:line="240" w:lineRule="atLeast"/>
              <w:jc w:val="right"/>
              <w:rPr>
                <w:rFonts w:cs="Times New Roman"/>
                <w:sz w:val="21"/>
                <w:szCs w:val="21"/>
              </w:rPr>
            </w:pPr>
            <w:r w:rsidRPr="0004428A">
              <w:rPr>
                <w:rFonts w:cs="Times New Roman"/>
                <w:sz w:val="18"/>
                <w:szCs w:val="18"/>
              </w:rPr>
              <w:t>4,538,203.27</w:t>
            </w:r>
          </w:p>
        </w:tc>
      </w:tr>
      <w:tr w:rsidR="00CC38FA" w:rsidRPr="0004428A" w:rsidTr="00031125">
        <w:trPr>
          <w:divId w:val="430785612"/>
          <w:trHeight w:val="240"/>
        </w:trPr>
        <w:tc>
          <w:tcPr>
            <w:tcW w:w="1927" w:type="dxa"/>
            <w:shd w:val="clear" w:color="auto" w:fill="D3D3D3"/>
            <w:tcMar>
              <w:top w:w="0" w:type="dxa"/>
              <w:left w:w="108" w:type="dxa"/>
              <w:bottom w:w="0" w:type="dxa"/>
              <w:right w:w="108" w:type="dxa"/>
            </w:tcMar>
            <w:vAlign w:val="center"/>
            <w:hideMark/>
          </w:tcPr>
          <w:p w:rsidR="00CC38FA" w:rsidRPr="0004428A" w:rsidRDefault="00CC38FA">
            <w:pPr>
              <w:pStyle w:val="a3"/>
              <w:spacing w:before="40" w:beforeAutospacing="0" w:after="40" w:afterAutospacing="0" w:line="240" w:lineRule="atLeast"/>
              <w:rPr>
                <w:rFonts w:cs="Times New Roman"/>
                <w:sz w:val="21"/>
                <w:szCs w:val="21"/>
              </w:rPr>
            </w:pPr>
            <w:r w:rsidRPr="0004428A">
              <w:rPr>
                <w:rFonts w:cs="Times New Roman" w:hint="eastAsia"/>
                <w:sz w:val="18"/>
                <w:szCs w:val="18"/>
              </w:rPr>
              <w:t>其他业务</w:t>
            </w:r>
          </w:p>
        </w:tc>
        <w:tc>
          <w:tcPr>
            <w:tcW w:w="1928" w:type="dxa"/>
            <w:tcMar>
              <w:top w:w="0" w:type="dxa"/>
              <w:left w:w="108" w:type="dxa"/>
              <w:bottom w:w="0" w:type="dxa"/>
              <w:right w:w="108" w:type="dxa"/>
            </w:tcMar>
            <w:vAlign w:val="center"/>
            <w:hideMark/>
          </w:tcPr>
          <w:p w:rsidR="00CC38FA" w:rsidRPr="0004428A" w:rsidRDefault="00CC38FA">
            <w:pPr>
              <w:pStyle w:val="a3"/>
              <w:spacing w:before="0" w:beforeAutospacing="0" w:after="0" w:afterAutospacing="0" w:line="240" w:lineRule="atLeast"/>
              <w:jc w:val="right"/>
              <w:rPr>
                <w:rFonts w:cs="Times New Roman"/>
                <w:sz w:val="21"/>
                <w:szCs w:val="21"/>
              </w:rPr>
            </w:pPr>
            <w:r w:rsidRPr="0004428A">
              <w:rPr>
                <w:rFonts w:cs="Times New Roman"/>
                <w:sz w:val="18"/>
                <w:szCs w:val="18"/>
              </w:rPr>
              <w:t>3,658,475.84</w:t>
            </w:r>
          </w:p>
        </w:tc>
        <w:tc>
          <w:tcPr>
            <w:tcW w:w="1928" w:type="dxa"/>
            <w:tcMar>
              <w:top w:w="0" w:type="dxa"/>
              <w:left w:w="108" w:type="dxa"/>
              <w:bottom w:w="0" w:type="dxa"/>
              <w:right w:w="108" w:type="dxa"/>
            </w:tcMar>
            <w:vAlign w:val="center"/>
            <w:hideMark/>
          </w:tcPr>
          <w:p w:rsidR="00CC38FA" w:rsidRPr="0004428A" w:rsidRDefault="00CC38FA">
            <w:pPr>
              <w:pStyle w:val="a3"/>
              <w:spacing w:before="0" w:beforeAutospacing="0" w:after="0" w:afterAutospacing="0" w:line="240" w:lineRule="atLeast"/>
              <w:jc w:val="right"/>
              <w:rPr>
                <w:rFonts w:cs="Times New Roman"/>
                <w:sz w:val="21"/>
                <w:szCs w:val="21"/>
              </w:rPr>
            </w:pPr>
            <w:r w:rsidRPr="0004428A">
              <w:rPr>
                <w:rFonts w:cs="Times New Roman"/>
                <w:sz w:val="18"/>
                <w:szCs w:val="18"/>
              </w:rPr>
              <w:t>1,872,610.98</w:t>
            </w:r>
          </w:p>
        </w:tc>
        <w:tc>
          <w:tcPr>
            <w:tcW w:w="1928" w:type="dxa"/>
            <w:tcMar>
              <w:top w:w="0" w:type="dxa"/>
              <w:left w:w="108" w:type="dxa"/>
              <w:bottom w:w="0" w:type="dxa"/>
              <w:right w:w="108" w:type="dxa"/>
            </w:tcMar>
            <w:vAlign w:val="center"/>
            <w:hideMark/>
          </w:tcPr>
          <w:p w:rsidR="00CC38FA" w:rsidRPr="0004428A" w:rsidRDefault="00CC38FA">
            <w:pPr>
              <w:pStyle w:val="a3"/>
              <w:spacing w:before="0" w:beforeAutospacing="0" w:after="0" w:afterAutospacing="0" w:line="240" w:lineRule="atLeast"/>
              <w:jc w:val="right"/>
              <w:rPr>
                <w:rFonts w:cs="Times New Roman"/>
                <w:sz w:val="21"/>
                <w:szCs w:val="21"/>
              </w:rPr>
            </w:pPr>
            <w:r w:rsidRPr="0004428A">
              <w:rPr>
                <w:rFonts w:cs="Times New Roman"/>
                <w:sz w:val="18"/>
                <w:szCs w:val="18"/>
              </w:rPr>
              <w:t>2,857,125.74</w:t>
            </w:r>
          </w:p>
        </w:tc>
        <w:tc>
          <w:tcPr>
            <w:tcW w:w="1928" w:type="dxa"/>
            <w:tcMar>
              <w:top w:w="0" w:type="dxa"/>
              <w:left w:w="108" w:type="dxa"/>
              <w:bottom w:w="0" w:type="dxa"/>
              <w:right w:w="108" w:type="dxa"/>
            </w:tcMar>
            <w:vAlign w:val="center"/>
            <w:hideMark/>
          </w:tcPr>
          <w:p w:rsidR="00CC38FA" w:rsidRPr="0004428A" w:rsidRDefault="00CC38FA">
            <w:pPr>
              <w:pStyle w:val="a3"/>
              <w:spacing w:before="0" w:beforeAutospacing="0" w:after="0" w:afterAutospacing="0" w:line="240" w:lineRule="atLeast"/>
              <w:jc w:val="right"/>
              <w:rPr>
                <w:rFonts w:cs="Times New Roman"/>
                <w:sz w:val="21"/>
                <w:szCs w:val="21"/>
              </w:rPr>
            </w:pPr>
            <w:r w:rsidRPr="0004428A">
              <w:rPr>
                <w:rFonts w:cs="Times New Roman"/>
                <w:sz w:val="18"/>
                <w:szCs w:val="18"/>
              </w:rPr>
              <w:t>521,163.63</w:t>
            </w:r>
          </w:p>
        </w:tc>
      </w:tr>
      <w:tr w:rsidR="00CC38FA" w:rsidRPr="0004428A" w:rsidTr="00031125">
        <w:trPr>
          <w:divId w:val="430785612"/>
          <w:trHeight w:val="240"/>
        </w:trPr>
        <w:tc>
          <w:tcPr>
            <w:tcW w:w="1927" w:type="dxa"/>
            <w:shd w:val="clear" w:color="auto" w:fill="D3D3D3"/>
            <w:tcMar>
              <w:top w:w="0" w:type="dxa"/>
              <w:left w:w="108" w:type="dxa"/>
              <w:bottom w:w="0" w:type="dxa"/>
              <w:right w:w="108" w:type="dxa"/>
            </w:tcMar>
            <w:vAlign w:val="center"/>
            <w:hideMark/>
          </w:tcPr>
          <w:p w:rsidR="00CC38FA" w:rsidRPr="0004428A" w:rsidRDefault="00CC38FA">
            <w:pPr>
              <w:pStyle w:val="a3"/>
              <w:spacing w:before="40" w:beforeAutospacing="0" w:after="40" w:afterAutospacing="0" w:line="240" w:lineRule="atLeast"/>
              <w:rPr>
                <w:rFonts w:cs="Times New Roman"/>
                <w:sz w:val="21"/>
                <w:szCs w:val="21"/>
              </w:rPr>
            </w:pPr>
            <w:r w:rsidRPr="0004428A">
              <w:rPr>
                <w:rFonts w:cs="Times New Roman" w:hint="eastAsia"/>
                <w:sz w:val="18"/>
                <w:szCs w:val="18"/>
              </w:rPr>
              <w:t>合计</w:t>
            </w:r>
          </w:p>
        </w:tc>
        <w:tc>
          <w:tcPr>
            <w:tcW w:w="1928" w:type="dxa"/>
            <w:tcMar>
              <w:top w:w="0" w:type="dxa"/>
              <w:left w:w="108" w:type="dxa"/>
              <w:bottom w:w="0" w:type="dxa"/>
              <w:right w:w="108" w:type="dxa"/>
            </w:tcMar>
            <w:vAlign w:val="center"/>
            <w:hideMark/>
          </w:tcPr>
          <w:p w:rsidR="00CC38FA" w:rsidRPr="0004428A" w:rsidRDefault="00CC38FA">
            <w:pPr>
              <w:pStyle w:val="a3"/>
              <w:spacing w:before="0" w:beforeAutospacing="0" w:after="0" w:afterAutospacing="0" w:line="240" w:lineRule="atLeast"/>
              <w:jc w:val="right"/>
              <w:rPr>
                <w:rFonts w:cs="Times New Roman"/>
                <w:sz w:val="21"/>
                <w:szCs w:val="21"/>
              </w:rPr>
            </w:pPr>
            <w:r w:rsidRPr="0004428A">
              <w:rPr>
                <w:rFonts w:cs="Times New Roman"/>
                <w:sz w:val="18"/>
                <w:szCs w:val="18"/>
              </w:rPr>
              <w:t>110,124,801.59</w:t>
            </w:r>
          </w:p>
        </w:tc>
        <w:tc>
          <w:tcPr>
            <w:tcW w:w="1928" w:type="dxa"/>
            <w:tcMar>
              <w:top w:w="0" w:type="dxa"/>
              <w:left w:w="108" w:type="dxa"/>
              <w:bottom w:w="0" w:type="dxa"/>
              <w:right w:w="108" w:type="dxa"/>
            </w:tcMar>
            <w:vAlign w:val="center"/>
            <w:hideMark/>
          </w:tcPr>
          <w:p w:rsidR="00CC38FA" w:rsidRPr="0004428A" w:rsidRDefault="00CC38FA">
            <w:pPr>
              <w:pStyle w:val="a3"/>
              <w:spacing w:before="0" w:beforeAutospacing="0" w:after="0" w:afterAutospacing="0" w:line="240" w:lineRule="atLeast"/>
              <w:jc w:val="right"/>
              <w:rPr>
                <w:rFonts w:cs="Times New Roman"/>
                <w:sz w:val="21"/>
                <w:szCs w:val="21"/>
              </w:rPr>
            </w:pPr>
            <w:r w:rsidRPr="0004428A">
              <w:rPr>
                <w:rFonts w:cs="Times New Roman"/>
                <w:sz w:val="18"/>
                <w:szCs w:val="18"/>
              </w:rPr>
              <w:t>6,446,930.98</w:t>
            </w:r>
          </w:p>
        </w:tc>
        <w:tc>
          <w:tcPr>
            <w:tcW w:w="1928" w:type="dxa"/>
            <w:tcMar>
              <w:top w:w="0" w:type="dxa"/>
              <w:left w:w="108" w:type="dxa"/>
              <w:bottom w:w="0" w:type="dxa"/>
              <w:right w:w="108" w:type="dxa"/>
            </w:tcMar>
            <w:vAlign w:val="center"/>
            <w:hideMark/>
          </w:tcPr>
          <w:p w:rsidR="00CC38FA" w:rsidRPr="0004428A" w:rsidRDefault="00CC38FA">
            <w:pPr>
              <w:pStyle w:val="a3"/>
              <w:spacing w:before="0" w:beforeAutospacing="0" w:after="0" w:afterAutospacing="0" w:line="240" w:lineRule="atLeast"/>
              <w:jc w:val="right"/>
              <w:rPr>
                <w:rFonts w:cs="Times New Roman"/>
                <w:sz w:val="21"/>
                <w:szCs w:val="21"/>
              </w:rPr>
            </w:pPr>
            <w:r w:rsidRPr="0004428A">
              <w:rPr>
                <w:rFonts w:cs="Times New Roman"/>
                <w:sz w:val="18"/>
                <w:szCs w:val="18"/>
              </w:rPr>
              <w:t>108,584,530.50</w:t>
            </w:r>
          </w:p>
        </w:tc>
        <w:tc>
          <w:tcPr>
            <w:tcW w:w="1928" w:type="dxa"/>
            <w:tcMar>
              <w:top w:w="0" w:type="dxa"/>
              <w:left w:w="108" w:type="dxa"/>
              <w:bottom w:w="0" w:type="dxa"/>
              <w:right w:w="108" w:type="dxa"/>
            </w:tcMar>
            <w:vAlign w:val="center"/>
            <w:hideMark/>
          </w:tcPr>
          <w:p w:rsidR="00CC38FA" w:rsidRPr="0004428A" w:rsidRDefault="00CC38FA">
            <w:pPr>
              <w:pStyle w:val="a3"/>
              <w:spacing w:before="0" w:beforeAutospacing="0" w:after="0" w:afterAutospacing="0" w:line="240" w:lineRule="atLeast"/>
              <w:jc w:val="right"/>
              <w:rPr>
                <w:rFonts w:cs="Times New Roman"/>
                <w:sz w:val="21"/>
                <w:szCs w:val="21"/>
              </w:rPr>
            </w:pPr>
            <w:r w:rsidRPr="0004428A">
              <w:rPr>
                <w:rFonts w:cs="Times New Roman"/>
                <w:sz w:val="18"/>
                <w:szCs w:val="18"/>
              </w:rPr>
              <w:t>5,059,366.90</w:t>
            </w:r>
          </w:p>
        </w:tc>
      </w:tr>
    </w:tbl>
    <w:p w:rsidR="00CC38FA" w:rsidRDefault="00CC38FA">
      <w:pPr>
        <w:divId w:val="430785612"/>
      </w:pPr>
    </w:p>
    <w:p w:rsidR="007F3A90" w:rsidRDefault="00CC38FA">
      <w:pPr>
        <w:pStyle w:val="3"/>
        <w:spacing w:line="280" w:lineRule="exact"/>
        <w:jc w:val="left"/>
        <w:rPr>
          <w:rFonts w:ascii="宋体" w:hAnsi="宋体" w:cs="宋体"/>
          <w:b/>
          <w:bCs/>
        </w:rPr>
      </w:pPr>
      <w:bookmarkStart w:id="370" w:name="_Toc989259"/>
      <w:r>
        <w:rPr>
          <w:rFonts w:ascii="宋体" w:hAnsi="宋体" w:cs="宋体"/>
          <w:b/>
          <w:bCs/>
        </w:rPr>
        <w:t>5、投资收益</w:t>
      </w:r>
      <w:bookmarkEnd w:id="370"/>
    </w:p>
    <w:p w:rsidR="007F3A90" w:rsidRDefault="00CC38FA">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936"/>
        <w:gridCol w:w="3118"/>
        <w:gridCol w:w="2585"/>
      </w:tblGrid>
      <w:tr w:rsidR="007F3A90" w:rsidTr="0004428A">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118"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585"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7F3A90" w:rsidTr="0004428A">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权益法核算的长期股权投资收益</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-14,555.39</w:t>
            </w:r>
          </w:p>
        </w:tc>
        <w:tc>
          <w:tcPr>
            <w:tcW w:w="25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38,902.10</w:t>
            </w:r>
          </w:p>
        </w:tc>
      </w:tr>
      <w:tr w:rsidR="007F3A90" w:rsidTr="0004428A">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处置长期股权投资产生的投资收益</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25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21,000,000.00</w:t>
            </w:r>
          </w:p>
        </w:tc>
      </w:tr>
      <w:tr w:rsidR="007F3A90" w:rsidTr="0004428A">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其他权益工具投资在持有期间取得的股利收入</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c>
          <w:tcPr>
            <w:tcW w:w="25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13,100,000.00</w:t>
            </w:r>
          </w:p>
        </w:tc>
      </w:tr>
      <w:tr w:rsidR="007F3A90" w:rsidTr="0004428A">
        <w:trPr>
          <w:trHeight w:val="240"/>
        </w:trPr>
        <w:tc>
          <w:tcPr>
            <w:tcW w:w="393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理财收益</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4,848,585.69</w:t>
            </w:r>
          </w:p>
        </w:tc>
        <w:tc>
          <w:tcPr>
            <w:tcW w:w="25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4,778,011.22</w:t>
            </w:r>
          </w:p>
        </w:tc>
      </w:tr>
      <w:tr w:rsidR="007F3A90" w:rsidTr="0004428A">
        <w:trPr>
          <w:trHeight w:val="240"/>
        </w:trPr>
        <w:tc>
          <w:tcPr>
            <w:tcW w:w="393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债务重组损益</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-82,000.00</w:t>
            </w:r>
          </w:p>
        </w:tc>
        <w:tc>
          <w:tcPr>
            <w:tcW w:w="258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04428A">
        <w:trPr>
          <w:trHeight w:val="240"/>
        </w:trPr>
        <w:tc>
          <w:tcPr>
            <w:tcW w:w="3936"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子公司宣告分红取得的投资收益</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1,530,000.00</w:t>
            </w:r>
          </w:p>
        </w:tc>
        <w:tc>
          <w:tcPr>
            <w:tcW w:w="2585"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jc w:val="right"/>
              <w:rPr>
                <w:rFonts w:ascii="宋体" w:eastAsia="宋体" w:hAnsi="宋体" w:cs="宋体"/>
                <w:sz w:val="18"/>
                <w:szCs w:val="18"/>
              </w:rPr>
            </w:pPr>
          </w:p>
        </w:tc>
      </w:tr>
      <w:tr w:rsidR="007F3A90" w:rsidTr="0004428A">
        <w:trPr>
          <w:trHeight w:val="240"/>
        </w:trPr>
        <w:tc>
          <w:tcPr>
            <w:tcW w:w="3936"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118"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6,282,030.30</w:t>
            </w:r>
          </w:p>
        </w:tc>
        <w:tc>
          <w:tcPr>
            <w:tcW w:w="2585"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38,916,913.32</w:t>
            </w:r>
          </w:p>
        </w:tc>
      </w:tr>
    </w:tbl>
    <w:p w:rsidR="007F3A90" w:rsidRDefault="00CC38FA">
      <w:pPr>
        <w:pStyle w:val="2"/>
        <w:spacing w:before="300" w:after="300" w:line="320" w:lineRule="exact"/>
        <w:rPr>
          <w:rFonts w:ascii="宋体" w:eastAsia="宋体" w:hAnsi="宋体" w:cs="宋体"/>
          <w:b/>
          <w:bCs/>
          <w:sz w:val="24"/>
          <w:szCs w:val="24"/>
        </w:rPr>
      </w:pPr>
      <w:bookmarkStart w:id="371" w:name="_Toc989260"/>
      <w:r>
        <w:rPr>
          <w:rFonts w:ascii="宋体" w:eastAsia="宋体" w:hAnsi="宋体" w:cs="宋体"/>
          <w:b/>
          <w:bCs/>
          <w:sz w:val="24"/>
          <w:szCs w:val="24"/>
        </w:rPr>
        <w:lastRenderedPageBreak/>
        <w:t>二十、补充资料</w:t>
      </w:r>
      <w:bookmarkEnd w:id="371"/>
    </w:p>
    <w:p w:rsidR="007F3A90" w:rsidRDefault="00CC38FA">
      <w:pPr>
        <w:pStyle w:val="3"/>
        <w:spacing w:line="280" w:lineRule="exact"/>
        <w:jc w:val="left"/>
        <w:rPr>
          <w:rFonts w:ascii="宋体" w:hAnsi="宋体" w:cs="宋体"/>
          <w:b/>
          <w:bCs/>
        </w:rPr>
      </w:pPr>
      <w:bookmarkStart w:id="372" w:name="_Toc989261"/>
      <w:r>
        <w:rPr>
          <w:rFonts w:ascii="宋体" w:hAnsi="宋体" w:cs="宋体"/>
          <w:b/>
          <w:bCs/>
        </w:rPr>
        <w:t>1、当期非经常性损益明细表</w:t>
      </w:r>
      <w:bookmarkEnd w:id="372"/>
    </w:p>
    <w:p w:rsidR="007F3A90" w:rsidRDefault="00CC38FA">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7F3A90" w:rsidRDefault="00CC38FA">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219"/>
        <w:gridCol w:w="2207"/>
        <w:gridCol w:w="3213"/>
      </w:tblGrid>
      <w:tr w:rsidR="007F3A90" w:rsidTr="0004428A">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207"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说明</w:t>
            </w:r>
          </w:p>
        </w:tc>
      </w:tr>
      <w:tr w:rsidR="007F3A90" w:rsidTr="0004428A">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非流动性资产处置损益</w:t>
            </w:r>
          </w:p>
        </w:tc>
        <w:tc>
          <w:tcPr>
            <w:tcW w:w="220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-3,379,723.58</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rsidTr="0004428A">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220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18,373,066.37</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rsidTr="0004428A">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委托他人投资或管理资产的损益</w:t>
            </w:r>
          </w:p>
        </w:tc>
        <w:tc>
          <w:tcPr>
            <w:tcW w:w="220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9,608,510.35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本期变动主要是由于理财收益增多所致</w:t>
            </w:r>
          </w:p>
        </w:tc>
      </w:tr>
      <w:tr w:rsidR="007F3A90" w:rsidTr="0004428A">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单独进行减值测试的应收款项减值准备转回</w:t>
            </w:r>
          </w:p>
        </w:tc>
        <w:tc>
          <w:tcPr>
            <w:tcW w:w="220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6,531,944.21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本期变动主要是由于收回前期单项计提应收账款所致</w:t>
            </w:r>
          </w:p>
        </w:tc>
      </w:tr>
      <w:tr w:rsidR="007F3A90" w:rsidTr="0004428A">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债务重组损益</w:t>
            </w:r>
          </w:p>
        </w:tc>
        <w:tc>
          <w:tcPr>
            <w:tcW w:w="220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-184,591.13</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rPr>
                <w:rFonts w:ascii="宋体" w:eastAsia="宋体" w:hAnsi="宋体" w:cs="宋体"/>
                <w:sz w:val="18"/>
                <w:szCs w:val="18"/>
              </w:rPr>
            </w:pPr>
            <w:r>
              <w:rPr>
                <w:rFonts w:ascii="宋体" w:eastAsia="宋体" w:hAnsi="宋体" w:cs="宋体"/>
                <w:sz w:val="18"/>
                <w:szCs w:val="18"/>
              </w:rPr>
              <w:t>本期变动主要是由于与客户进行的债权债务重组行为减少所致。</w:t>
            </w:r>
          </w:p>
        </w:tc>
      </w:tr>
      <w:tr w:rsidR="007F3A90" w:rsidTr="0004428A">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220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2,647,036.51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rsidTr="0004428A">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减：所得税影响额</w:t>
            </w:r>
          </w:p>
        </w:tc>
        <w:tc>
          <w:tcPr>
            <w:tcW w:w="220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5,098,961.41</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rsidTr="0004428A">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少数股东权益影响额（税后）</w:t>
            </w:r>
          </w:p>
        </w:tc>
        <w:tc>
          <w:tcPr>
            <w:tcW w:w="220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2,139,441.65</w:t>
            </w:r>
          </w:p>
        </w:tc>
        <w:tc>
          <w:tcPr>
            <w:tcW w:w="3213" w:type="dxa"/>
            <w:tcBorders>
              <w:top w:val="single" w:sz="2" w:space="0" w:color="auto"/>
              <w:left w:val="single" w:sz="2" w:space="0" w:color="auto"/>
              <w:bottom w:val="single" w:sz="2" w:space="0" w:color="auto"/>
              <w:right w:val="single" w:sz="2" w:space="0" w:color="auto"/>
            </w:tcBorders>
            <w:vAlign w:val="center"/>
          </w:tcPr>
          <w:p w:rsidR="007F3A90" w:rsidRDefault="007F3A90">
            <w:pPr>
              <w:spacing w:line="240" w:lineRule="exact"/>
              <w:rPr>
                <w:rFonts w:ascii="宋体" w:eastAsia="宋体" w:hAnsi="宋体" w:cs="宋体"/>
                <w:sz w:val="18"/>
                <w:szCs w:val="18"/>
              </w:rPr>
            </w:pPr>
          </w:p>
        </w:tc>
      </w:tr>
      <w:tr w:rsidR="007F3A90" w:rsidTr="0004428A">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20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26,357,839.67</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spacing w:before="100" w:after="100" w:line="240" w:lineRule="exact"/>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pStyle w:val="3"/>
        <w:spacing w:line="280" w:lineRule="exact"/>
        <w:jc w:val="left"/>
        <w:rPr>
          <w:rFonts w:ascii="宋体" w:hAnsi="宋体" w:cs="宋体"/>
          <w:b/>
          <w:bCs/>
        </w:rPr>
      </w:pPr>
      <w:bookmarkStart w:id="373" w:name="_Toc989262"/>
      <w:r>
        <w:rPr>
          <w:rFonts w:ascii="宋体" w:hAnsi="宋体" w:cs="宋体"/>
          <w:b/>
          <w:bCs/>
        </w:rPr>
        <w:t>2、净资产收益率及每股收益</w:t>
      </w:r>
      <w:bookmarkEnd w:id="373"/>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802"/>
        <w:gridCol w:w="2017"/>
        <w:gridCol w:w="2410"/>
        <w:gridCol w:w="2410"/>
      </w:tblGrid>
      <w:tr w:rsidR="007F3A90" w:rsidTr="0004428A">
        <w:trPr>
          <w:trHeight w:val="240"/>
        </w:trPr>
        <w:tc>
          <w:tcPr>
            <w:tcW w:w="28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报告期利润</w:t>
            </w:r>
          </w:p>
        </w:tc>
        <w:tc>
          <w:tcPr>
            <w:tcW w:w="201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加权平均净资产收益率</w:t>
            </w:r>
          </w:p>
        </w:tc>
        <w:tc>
          <w:tcPr>
            <w:tcW w:w="482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每股收益</w:t>
            </w:r>
          </w:p>
        </w:tc>
      </w:tr>
      <w:tr w:rsidR="007F3A90" w:rsidTr="0004428A">
        <w:trPr>
          <w:trHeight w:val="240"/>
        </w:trPr>
        <w:tc>
          <w:tcPr>
            <w:tcW w:w="28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201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7F3A90"/>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基本每股收益（元/股）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jc w:val="center"/>
              <w:rPr>
                <w:rFonts w:ascii="宋体" w:eastAsia="宋体" w:hAnsi="宋体" w:cs="宋体"/>
                <w:sz w:val="18"/>
                <w:szCs w:val="18"/>
              </w:rPr>
            </w:pPr>
            <w:r>
              <w:rPr>
                <w:rFonts w:ascii="宋体" w:eastAsia="宋体" w:hAnsi="宋体" w:cs="宋体"/>
                <w:sz w:val="18"/>
                <w:szCs w:val="18"/>
              </w:rPr>
              <w:t>稀释每股收益（元/股）</w:t>
            </w:r>
          </w:p>
        </w:tc>
      </w:tr>
      <w:tr w:rsidR="007F3A90" w:rsidTr="0004428A">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归属于公司普通股股东的净利润</w:t>
            </w:r>
          </w:p>
        </w:tc>
        <w:tc>
          <w:tcPr>
            <w:tcW w:w="20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3.62%</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0.1896</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0.1983</w:t>
            </w:r>
          </w:p>
        </w:tc>
      </w:tr>
      <w:tr w:rsidR="007F3A90" w:rsidTr="0004428A">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7F3A90" w:rsidRDefault="00CC38FA">
            <w:pPr>
              <w:spacing w:before="40" w:after="40" w:line="240" w:lineRule="exact"/>
              <w:rPr>
                <w:rFonts w:ascii="宋体" w:eastAsia="宋体" w:hAnsi="宋体" w:cs="宋体"/>
                <w:sz w:val="18"/>
                <w:szCs w:val="18"/>
              </w:rPr>
            </w:pPr>
            <w:r>
              <w:rPr>
                <w:rFonts w:ascii="宋体" w:eastAsia="宋体" w:hAnsi="宋体" w:cs="宋体"/>
                <w:sz w:val="18"/>
                <w:szCs w:val="18"/>
              </w:rPr>
              <w:t>扣除非经常性损益后归属于公司普通股股东的净利润</w:t>
            </w:r>
          </w:p>
        </w:tc>
        <w:tc>
          <w:tcPr>
            <w:tcW w:w="2017"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3.12%</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0.1635</w:t>
            </w:r>
          </w:p>
        </w:tc>
        <w:tc>
          <w:tcPr>
            <w:tcW w:w="2410" w:type="dxa"/>
            <w:tcBorders>
              <w:top w:val="single" w:sz="2" w:space="0" w:color="auto"/>
              <w:left w:val="single" w:sz="2" w:space="0" w:color="auto"/>
              <w:bottom w:val="single" w:sz="2" w:space="0" w:color="auto"/>
              <w:right w:val="single" w:sz="2" w:space="0" w:color="auto"/>
            </w:tcBorders>
            <w:vAlign w:val="center"/>
          </w:tcPr>
          <w:p w:rsidR="007F3A90" w:rsidRDefault="00CC38FA">
            <w:pPr>
              <w:spacing w:line="240" w:lineRule="exact"/>
              <w:jc w:val="right"/>
              <w:rPr>
                <w:rFonts w:ascii="宋体" w:eastAsia="宋体" w:hAnsi="宋体" w:cs="宋体"/>
                <w:sz w:val="18"/>
                <w:szCs w:val="18"/>
              </w:rPr>
            </w:pPr>
            <w:r>
              <w:rPr>
                <w:rFonts w:ascii="宋体" w:eastAsia="宋体" w:hAnsi="宋体" w:cs="宋体"/>
                <w:sz w:val="18"/>
                <w:szCs w:val="18"/>
              </w:rPr>
              <w:t>0.1711</w:t>
            </w:r>
          </w:p>
        </w:tc>
      </w:tr>
    </w:tbl>
    <w:p w:rsidR="007F3A90" w:rsidRDefault="00CC38FA">
      <w:pPr>
        <w:pStyle w:val="3"/>
        <w:spacing w:line="280" w:lineRule="exact"/>
        <w:jc w:val="left"/>
        <w:rPr>
          <w:rFonts w:ascii="宋体" w:hAnsi="宋体" w:cs="宋体"/>
          <w:b/>
          <w:bCs/>
        </w:rPr>
      </w:pPr>
      <w:bookmarkStart w:id="374" w:name="_Toc989263"/>
      <w:r>
        <w:rPr>
          <w:rFonts w:ascii="宋体" w:hAnsi="宋体" w:cs="宋体"/>
          <w:b/>
          <w:bCs/>
        </w:rPr>
        <w:t>3、境内外会计准则下会计数据差异</w:t>
      </w:r>
      <w:bookmarkEnd w:id="374"/>
    </w:p>
    <w:p w:rsidR="007F3A90" w:rsidRDefault="00CC38FA">
      <w:pPr>
        <w:keepNext/>
        <w:keepLines/>
        <w:spacing w:before="300" w:after="300" w:line="280" w:lineRule="exact"/>
        <w:outlineLvl w:val="3"/>
        <w:rPr>
          <w:rFonts w:ascii="宋体" w:eastAsia="宋体" w:hAnsi="宋体" w:cs="宋体"/>
          <w:b/>
          <w:bCs/>
          <w:szCs w:val="21"/>
        </w:rPr>
      </w:pPr>
      <w:bookmarkStart w:id="375" w:name="_Toc989264"/>
      <w:r>
        <w:rPr>
          <w:rFonts w:ascii="宋体" w:eastAsia="宋体" w:hAnsi="宋体" w:cs="宋体"/>
          <w:b/>
          <w:bCs/>
          <w:szCs w:val="21"/>
        </w:rPr>
        <w:t>（1） 同时按照国际会计准则与按中国会计准则披露的财务报告中净利润和净资产差异情况</w:t>
      </w:r>
      <w:bookmarkEnd w:id="375"/>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keepNext/>
        <w:keepLines/>
        <w:spacing w:before="300" w:after="300" w:line="280" w:lineRule="exact"/>
        <w:outlineLvl w:val="3"/>
        <w:rPr>
          <w:rFonts w:ascii="宋体" w:eastAsia="宋体" w:hAnsi="宋体" w:cs="宋体"/>
          <w:b/>
          <w:bCs/>
          <w:szCs w:val="21"/>
        </w:rPr>
      </w:pPr>
      <w:bookmarkStart w:id="376" w:name="_Toc989265"/>
      <w:r>
        <w:rPr>
          <w:rFonts w:ascii="宋体" w:eastAsia="宋体" w:hAnsi="宋体" w:cs="宋体"/>
          <w:b/>
          <w:bCs/>
          <w:szCs w:val="21"/>
        </w:rPr>
        <w:t>（2） 同时按照境外会计准则与按中国会计准则披露的财务报告中净利润和净资产差异情况</w:t>
      </w:r>
      <w:bookmarkEnd w:id="376"/>
    </w:p>
    <w:p w:rsidR="007F3A90" w:rsidRDefault="00CC38FA">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F3A90" w:rsidRDefault="00CC38FA">
      <w:pPr>
        <w:keepNext/>
        <w:keepLines/>
        <w:spacing w:before="300" w:after="300" w:line="280" w:lineRule="exact"/>
        <w:outlineLvl w:val="3"/>
        <w:rPr>
          <w:rFonts w:ascii="宋体" w:eastAsia="宋体" w:hAnsi="宋体" w:cs="宋体"/>
          <w:b/>
          <w:bCs/>
          <w:szCs w:val="21"/>
        </w:rPr>
      </w:pPr>
      <w:bookmarkStart w:id="377" w:name="_Toc989266"/>
      <w:r>
        <w:rPr>
          <w:rFonts w:ascii="宋体" w:eastAsia="宋体" w:hAnsi="宋体" w:cs="宋体"/>
          <w:b/>
          <w:bCs/>
          <w:szCs w:val="21"/>
        </w:rPr>
        <w:lastRenderedPageBreak/>
        <w:t>（3） 境内外会计准则下会计数据差异原因说明，对已经境外审计机构审计的数据进行差异调节的，应注明该境外机构的名称</w:t>
      </w:r>
      <w:bookmarkEnd w:id="377"/>
    </w:p>
    <w:p w:rsidR="009631DD" w:rsidRDefault="009631DD">
      <w:pPr>
        <w:keepNext/>
        <w:keepLines/>
        <w:spacing w:before="300" w:after="300" w:line="280" w:lineRule="exact"/>
        <w:outlineLvl w:val="3"/>
        <w:rPr>
          <w:rFonts w:ascii="宋体" w:eastAsia="宋体" w:hAnsi="宋体" w:cs="宋体"/>
          <w:b/>
          <w:bCs/>
          <w:szCs w:val="21"/>
        </w:rPr>
      </w:pPr>
    </w:p>
    <w:p w:rsidR="009631DD" w:rsidRPr="008A2A24" w:rsidRDefault="009631DD" w:rsidP="009631DD">
      <w:pPr>
        <w:spacing w:line="360" w:lineRule="auto"/>
        <w:jc w:val="right"/>
        <w:rPr>
          <w:sz w:val="24"/>
          <w:szCs w:val="24"/>
        </w:rPr>
      </w:pPr>
      <w:r w:rsidRPr="008A2A24">
        <w:rPr>
          <w:rFonts w:hint="eastAsia"/>
          <w:sz w:val="24"/>
          <w:szCs w:val="24"/>
        </w:rPr>
        <w:t>软控股份有限公司</w:t>
      </w:r>
    </w:p>
    <w:p w:rsidR="009631DD" w:rsidRPr="008A2A24" w:rsidRDefault="009631DD" w:rsidP="009631DD">
      <w:pPr>
        <w:spacing w:line="360" w:lineRule="auto"/>
        <w:ind w:right="720"/>
        <w:jc w:val="right"/>
        <w:rPr>
          <w:sz w:val="24"/>
          <w:szCs w:val="24"/>
        </w:rPr>
      </w:pPr>
      <w:r w:rsidRPr="008A2A24">
        <w:rPr>
          <w:sz w:val="24"/>
          <w:szCs w:val="24"/>
        </w:rPr>
        <w:t>董事</w:t>
      </w:r>
      <w:r w:rsidRPr="008A2A24">
        <w:rPr>
          <w:rFonts w:hint="eastAsia"/>
          <w:sz w:val="24"/>
          <w:szCs w:val="24"/>
        </w:rPr>
        <w:t>会</w:t>
      </w:r>
    </w:p>
    <w:p w:rsidR="009631DD" w:rsidRPr="00031125" w:rsidRDefault="009631DD" w:rsidP="00031125">
      <w:pPr>
        <w:spacing w:line="360" w:lineRule="auto"/>
        <w:jc w:val="right"/>
        <w:rPr>
          <w:sz w:val="24"/>
          <w:szCs w:val="24"/>
        </w:rPr>
      </w:pPr>
      <w:r w:rsidRPr="008A2A24">
        <w:rPr>
          <w:rFonts w:hint="eastAsia"/>
          <w:sz w:val="24"/>
          <w:szCs w:val="24"/>
        </w:rPr>
        <w:t>2</w:t>
      </w:r>
      <w:r w:rsidRPr="008A2A24">
        <w:rPr>
          <w:sz w:val="24"/>
          <w:szCs w:val="24"/>
        </w:rPr>
        <w:t>0</w:t>
      </w:r>
      <w:r>
        <w:rPr>
          <w:sz w:val="24"/>
          <w:szCs w:val="24"/>
        </w:rPr>
        <w:t>24</w:t>
      </w:r>
      <w:r w:rsidRPr="008A2A24">
        <w:rPr>
          <w:sz w:val="24"/>
          <w:szCs w:val="24"/>
        </w:rPr>
        <w:t>年</w:t>
      </w:r>
      <w:r w:rsidRPr="008A2A24">
        <w:rPr>
          <w:rFonts w:hint="eastAsia"/>
          <w:sz w:val="24"/>
          <w:szCs w:val="24"/>
        </w:rPr>
        <w:t>8</w:t>
      </w:r>
      <w:r w:rsidRPr="008A2A24">
        <w:rPr>
          <w:rFonts w:hint="eastAsia"/>
          <w:sz w:val="24"/>
          <w:szCs w:val="24"/>
        </w:rPr>
        <w:t>月</w:t>
      </w:r>
      <w:r>
        <w:rPr>
          <w:sz w:val="24"/>
          <w:szCs w:val="24"/>
        </w:rPr>
        <w:t>20</w:t>
      </w:r>
      <w:r w:rsidRPr="008A2A24">
        <w:rPr>
          <w:rFonts w:hint="eastAsia"/>
          <w:sz w:val="24"/>
          <w:szCs w:val="24"/>
        </w:rPr>
        <w:t>日</w:t>
      </w:r>
    </w:p>
    <w:sectPr w:rsidR="009631DD" w:rsidRPr="00031125">
      <w:headerReference w:type="default" r:id="rId6"/>
      <w:footerReference w:type="default" r:id="rId7"/>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99D" w:rsidRDefault="0096199D">
      <w:r>
        <w:separator/>
      </w:r>
    </w:p>
  </w:endnote>
  <w:endnote w:type="continuationSeparator" w:id="0">
    <w:p w:rsidR="0096199D" w:rsidRDefault="0096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FC9" w:rsidRDefault="00154FC9">
    <w:pPr>
      <w:pStyle w:val="fotter1"/>
    </w:pPr>
    <w:r>
      <w:fldChar w:fldCharType="begin"/>
    </w:r>
    <w:r>
      <w:instrText>PAGE   \* MERGEFORMAT</w:instrText>
    </w:r>
    <w:r>
      <w:fldChar w:fldCharType="separate"/>
    </w:r>
    <w:r w:rsidR="00EE227B">
      <w:rPr>
        <w:noProof/>
      </w:rPr>
      <w:t>120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99D" w:rsidRDefault="0096199D">
      <w:r>
        <w:separator/>
      </w:r>
    </w:p>
  </w:footnote>
  <w:footnote w:type="continuationSeparator" w:id="0">
    <w:p w:rsidR="0096199D" w:rsidRDefault="009619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FC9" w:rsidRDefault="00154FC9">
    <w:pPr>
      <w:pStyle w:val="Header1"/>
      <w:pBdr>
        <w:bottom w:val="single" w:sz="6" w:space="1" w:color="auto"/>
      </w:pBdr>
    </w:pPr>
    <w:r>
      <w:t>软控股份有限公司2024年半年度报告全文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7F3A90"/>
    <w:rsid w:val="00031125"/>
    <w:rsid w:val="0004428A"/>
    <w:rsid w:val="000457AA"/>
    <w:rsid w:val="00153726"/>
    <w:rsid w:val="00154FC9"/>
    <w:rsid w:val="00223F19"/>
    <w:rsid w:val="002D6811"/>
    <w:rsid w:val="0038435D"/>
    <w:rsid w:val="00385AF6"/>
    <w:rsid w:val="003B5BBD"/>
    <w:rsid w:val="003C6C54"/>
    <w:rsid w:val="003C7507"/>
    <w:rsid w:val="00450763"/>
    <w:rsid w:val="005F11D2"/>
    <w:rsid w:val="006F2C65"/>
    <w:rsid w:val="007617BB"/>
    <w:rsid w:val="007F3A90"/>
    <w:rsid w:val="00831F13"/>
    <w:rsid w:val="008969F5"/>
    <w:rsid w:val="00924AFE"/>
    <w:rsid w:val="0092775E"/>
    <w:rsid w:val="0096199D"/>
    <w:rsid w:val="009631DD"/>
    <w:rsid w:val="00A5374E"/>
    <w:rsid w:val="00A60330"/>
    <w:rsid w:val="00B402E5"/>
    <w:rsid w:val="00B51110"/>
    <w:rsid w:val="00CC38FA"/>
    <w:rsid w:val="00D6430E"/>
    <w:rsid w:val="00DE7C3A"/>
    <w:rsid w:val="00EE227B"/>
    <w:rsid w:val="00F276DB"/>
    <w:rsid w:val="00FF0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2B59D5-D925-4DBF-ACF1-B6BD0521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link w:val="3Char"/>
    <w:uiPriority w:val="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character" w:customStyle="1" w:styleId="3Char">
    <w:name w:val="标题 3 Char"/>
    <w:basedOn w:val="a0"/>
    <w:link w:val="3"/>
    <w:uiPriority w:val="9"/>
    <w:rPr>
      <w:rFonts w:eastAsia="宋体"/>
      <w:szCs w:val="21"/>
    </w:rPr>
  </w:style>
  <w:style w:type="character" w:styleId="a4">
    <w:name w:val="Strong"/>
    <w:basedOn w:val="a0"/>
    <w:uiPriority w:val="22"/>
    <w:qFormat/>
    <w:rPr>
      <w:b/>
      <w:bCs/>
    </w:rPr>
  </w:style>
  <w:style w:type="paragraph" w:styleId="a5">
    <w:name w:val="header"/>
    <w:basedOn w:val="a"/>
    <w:link w:val="Char"/>
    <w:uiPriority w:val="99"/>
    <w:unhideWhenUsed/>
    <w:rsid w:val="00CC38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C38FA"/>
    <w:rPr>
      <w:sz w:val="18"/>
      <w:szCs w:val="18"/>
    </w:rPr>
  </w:style>
  <w:style w:type="paragraph" w:styleId="a6">
    <w:name w:val="footer"/>
    <w:basedOn w:val="a"/>
    <w:link w:val="Char0"/>
    <w:uiPriority w:val="99"/>
    <w:unhideWhenUsed/>
    <w:rsid w:val="00CC38FA"/>
    <w:pPr>
      <w:tabs>
        <w:tab w:val="center" w:pos="4153"/>
        <w:tab w:val="right" w:pos="8306"/>
      </w:tabs>
      <w:snapToGrid w:val="0"/>
    </w:pPr>
    <w:rPr>
      <w:sz w:val="18"/>
      <w:szCs w:val="18"/>
    </w:rPr>
  </w:style>
  <w:style w:type="character" w:customStyle="1" w:styleId="Char0">
    <w:name w:val="页脚 Char"/>
    <w:basedOn w:val="a0"/>
    <w:link w:val="a6"/>
    <w:uiPriority w:val="99"/>
    <w:rsid w:val="00CC38FA"/>
    <w:rPr>
      <w:sz w:val="18"/>
      <w:szCs w:val="18"/>
    </w:rPr>
  </w:style>
  <w:style w:type="character" w:styleId="a7">
    <w:name w:val="annotation reference"/>
    <w:basedOn w:val="a0"/>
    <w:uiPriority w:val="99"/>
    <w:semiHidden/>
    <w:unhideWhenUsed/>
    <w:rsid w:val="00223F19"/>
    <w:rPr>
      <w:sz w:val="21"/>
      <w:szCs w:val="21"/>
    </w:rPr>
  </w:style>
  <w:style w:type="paragraph" w:styleId="a8">
    <w:name w:val="annotation text"/>
    <w:basedOn w:val="a"/>
    <w:link w:val="Char1"/>
    <w:uiPriority w:val="99"/>
    <w:semiHidden/>
    <w:unhideWhenUsed/>
    <w:rsid w:val="00223F19"/>
  </w:style>
  <w:style w:type="character" w:customStyle="1" w:styleId="Char1">
    <w:name w:val="批注文字 Char"/>
    <w:basedOn w:val="a0"/>
    <w:link w:val="a8"/>
    <w:uiPriority w:val="99"/>
    <w:semiHidden/>
    <w:rsid w:val="00223F19"/>
  </w:style>
  <w:style w:type="paragraph" w:styleId="a9">
    <w:name w:val="annotation subject"/>
    <w:basedOn w:val="a8"/>
    <w:next w:val="a8"/>
    <w:link w:val="Char2"/>
    <w:uiPriority w:val="99"/>
    <w:semiHidden/>
    <w:unhideWhenUsed/>
    <w:rsid w:val="00223F19"/>
    <w:rPr>
      <w:b/>
      <w:bCs/>
    </w:rPr>
  </w:style>
  <w:style w:type="character" w:customStyle="1" w:styleId="Char2">
    <w:name w:val="批注主题 Char"/>
    <w:basedOn w:val="Char1"/>
    <w:link w:val="a9"/>
    <w:uiPriority w:val="99"/>
    <w:semiHidden/>
    <w:rsid w:val="00223F19"/>
    <w:rPr>
      <w:b/>
      <w:bCs/>
    </w:rPr>
  </w:style>
  <w:style w:type="paragraph" w:styleId="aa">
    <w:name w:val="Balloon Text"/>
    <w:basedOn w:val="a"/>
    <w:link w:val="Char3"/>
    <w:uiPriority w:val="99"/>
    <w:semiHidden/>
    <w:unhideWhenUsed/>
    <w:rsid w:val="00223F19"/>
    <w:rPr>
      <w:sz w:val="18"/>
      <w:szCs w:val="18"/>
    </w:rPr>
  </w:style>
  <w:style w:type="character" w:customStyle="1" w:styleId="Char3">
    <w:name w:val="批注框文本 Char"/>
    <w:basedOn w:val="a0"/>
    <w:link w:val="aa"/>
    <w:uiPriority w:val="99"/>
    <w:semiHidden/>
    <w:rsid w:val="00223F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5954">
      <w:bodyDiv w:val="1"/>
      <w:marLeft w:val="0"/>
      <w:marRight w:val="0"/>
      <w:marTop w:val="0"/>
      <w:marBottom w:val="0"/>
      <w:divBdr>
        <w:top w:val="none" w:sz="0" w:space="0" w:color="auto"/>
        <w:left w:val="none" w:sz="0" w:space="0" w:color="auto"/>
        <w:bottom w:val="none" w:sz="0" w:space="0" w:color="auto"/>
        <w:right w:val="none" w:sz="0" w:space="0" w:color="auto"/>
      </w:divBdr>
    </w:div>
    <w:div w:id="9531765">
      <w:bodyDiv w:val="1"/>
      <w:marLeft w:val="0"/>
      <w:marRight w:val="0"/>
      <w:marTop w:val="0"/>
      <w:marBottom w:val="0"/>
      <w:divBdr>
        <w:top w:val="none" w:sz="0" w:space="0" w:color="auto"/>
        <w:left w:val="none" w:sz="0" w:space="0" w:color="auto"/>
        <w:bottom w:val="none" w:sz="0" w:space="0" w:color="auto"/>
        <w:right w:val="none" w:sz="0" w:space="0" w:color="auto"/>
      </w:divBdr>
    </w:div>
    <w:div w:id="9916950">
      <w:bodyDiv w:val="1"/>
      <w:marLeft w:val="0"/>
      <w:marRight w:val="0"/>
      <w:marTop w:val="0"/>
      <w:marBottom w:val="0"/>
      <w:divBdr>
        <w:top w:val="none" w:sz="0" w:space="0" w:color="auto"/>
        <w:left w:val="none" w:sz="0" w:space="0" w:color="auto"/>
        <w:bottom w:val="none" w:sz="0" w:space="0" w:color="auto"/>
        <w:right w:val="none" w:sz="0" w:space="0" w:color="auto"/>
      </w:divBdr>
    </w:div>
    <w:div w:id="15935031">
      <w:bodyDiv w:val="1"/>
      <w:marLeft w:val="0"/>
      <w:marRight w:val="0"/>
      <w:marTop w:val="0"/>
      <w:marBottom w:val="0"/>
      <w:divBdr>
        <w:top w:val="none" w:sz="0" w:space="0" w:color="auto"/>
        <w:left w:val="none" w:sz="0" w:space="0" w:color="auto"/>
        <w:bottom w:val="none" w:sz="0" w:space="0" w:color="auto"/>
        <w:right w:val="none" w:sz="0" w:space="0" w:color="auto"/>
      </w:divBdr>
    </w:div>
    <w:div w:id="51198886">
      <w:bodyDiv w:val="1"/>
      <w:marLeft w:val="0"/>
      <w:marRight w:val="0"/>
      <w:marTop w:val="0"/>
      <w:marBottom w:val="0"/>
      <w:divBdr>
        <w:top w:val="none" w:sz="0" w:space="0" w:color="auto"/>
        <w:left w:val="none" w:sz="0" w:space="0" w:color="auto"/>
        <w:bottom w:val="none" w:sz="0" w:space="0" w:color="auto"/>
        <w:right w:val="none" w:sz="0" w:space="0" w:color="auto"/>
      </w:divBdr>
    </w:div>
    <w:div w:id="53433833">
      <w:bodyDiv w:val="1"/>
      <w:marLeft w:val="0"/>
      <w:marRight w:val="0"/>
      <w:marTop w:val="0"/>
      <w:marBottom w:val="0"/>
      <w:divBdr>
        <w:top w:val="none" w:sz="0" w:space="0" w:color="auto"/>
        <w:left w:val="none" w:sz="0" w:space="0" w:color="auto"/>
        <w:bottom w:val="none" w:sz="0" w:space="0" w:color="auto"/>
        <w:right w:val="none" w:sz="0" w:space="0" w:color="auto"/>
      </w:divBdr>
    </w:div>
    <w:div w:id="169029522">
      <w:bodyDiv w:val="1"/>
      <w:marLeft w:val="0"/>
      <w:marRight w:val="0"/>
      <w:marTop w:val="0"/>
      <w:marBottom w:val="0"/>
      <w:divBdr>
        <w:top w:val="none" w:sz="0" w:space="0" w:color="auto"/>
        <w:left w:val="none" w:sz="0" w:space="0" w:color="auto"/>
        <w:bottom w:val="none" w:sz="0" w:space="0" w:color="auto"/>
        <w:right w:val="none" w:sz="0" w:space="0" w:color="auto"/>
      </w:divBdr>
    </w:div>
    <w:div w:id="209072925">
      <w:bodyDiv w:val="1"/>
      <w:marLeft w:val="0"/>
      <w:marRight w:val="0"/>
      <w:marTop w:val="0"/>
      <w:marBottom w:val="0"/>
      <w:divBdr>
        <w:top w:val="none" w:sz="0" w:space="0" w:color="auto"/>
        <w:left w:val="none" w:sz="0" w:space="0" w:color="auto"/>
        <w:bottom w:val="none" w:sz="0" w:space="0" w:color="auto"/>
        <w:right w:val="none" w:sz="0" w:space="0" w:color="auto"/>
      </w:divBdr>
    </w:div>
    <w:div w:id="210044409">
      <w:bodyDiv w:val="1"/>
      <w:marLeft w:val="0"/>
      <w:marRight w:val="0"/>
      <w:marTop w:val="0"/>
      <w:marBottom w:val="0"/>
      <w:divBdr>
        <w:top w:val="none" w:sz="0" w:space="0" w:color="auto"/>
        <w:left w:val="none" w:sz="0" w:space="0" w:color="auto"/>
        <w:bottom w:val="none" w:sz="0" w:space="0" w:color="auto"/>
        <w:right w:val="none" w:sz="0" w:space="0" w:color="auto"/>
      </w:divBdr>
    </w:div>
    <w:div w:id="240796853">
      <w:bodyDiv w:val="1"/>
      <w:marLeft w:val="0"/>
      <w:marRight w:val="0"/>
      <w:marTop w:val="0"/>
      <w:marBottom w:val="0"/>
      <w:divBdr>
        <w:top w:val="none" w:sz="0" w:space="0" w:color="auto"/>
        <w:left w:val="none" w:sz="0" w:space="0" w:color="auto"/>
        <w:bottom w:val="none" w:sz="0" w:space="0" w:color="auto"/>
        <w:right w:val="none" w:sz="0" w:space="0" w:color="auto"/>
      </w:divBdr>
    </w:div>
    <w:div w:id="247546593">
      <w:bodyDiv w:val="1"/>
      <w:marLeft w:val="0"/>
      <w:marRight w:val="0"/>
      <w:marTop w:val="0"/>
      <w:marBottom w:val="0"/>
      <w:divBdr>
        <w:top w:val="none" w:sz="0" w:space="0" w:color="auto"/>
        <w:left w:val="none" w:sz="0" w:space="0" w:color="auto"/>
        <w:bottom w:val="none" w:sz="0" w:space="0" w:color="auto"/>
        <w:right w:val="none" w:sz="0" w:space="0" w:color="auto"/>
      </w:divBdr>
    </w:div>
    <w:div w:id="267809443">
      <w:bodyDiv w:val="1"/>
      <w:marLeft w:val="0"/>
      <w:marRight w:val="0"/>
      <w:marTop w:val="0"/>
      <w:marBottom w:val="0"/>
      <w:divBdr>
        <w:top w:val="none" w:sz="0" w:space="0" w:color="auto"/>
        <w:left w:val="none" w:sz="0" w:space="0" w:color="auto"/>
        <w:bottom w:val="none" w:sz="0" w:space="0" w:color="auto"/>
        <w:right w:val="none" w:sz="0" w:space="0" w:color="auto"/>
      </w:divBdr>
    </w:div>
    <w:div w:id="268247123">
      <w:bodyDiv w:val="1"/>
      <w:marLeft w:val="0"/>
      <w:marRight w:val="0"/>
      <w:marTop w:val="0"/>
      <w:marBottom w:val="0"/>
      <w:divBdr>
        <w:top w:val="none" w:sz="0" w:space="0" w:color="auto"/>
        <w:left w:val="none" w:sz="0" w:space="0" w:color="auto"/>
        <w:bottom w:val="none" w:sz="0" w:space="0" w:color="auto"/>
        <w:right w:val="none" w:sz="0" w:space="0" w:color="auto"/>
      </w:divBdr>
    </w:div>
    <w:div w:id="292057390">
      <w:bodyDiv w:val="1"/>
      <w:marLeft w:val="0"/>
      <w:marRight w:val="0"/>
      <w:marTop w:val="0"/>
      <w:marBottom w:val="0"/>
      <w:divBdr>
        <w:top w:val="none" w:sz="0" w:space="0" w:color="auto"/>
        <w:left w:val="none" w:sz="0" w:space="0" w:color="auto"/>
        <w:bottom w:val="none" w:sz="0" w:space="0" w:color="auto"/>
        <w:right w:val="none" w:sz="0" w:space="0" w:color="auto"/>
      </w:divBdr>
    </w:div>
    <w:div w:id="293289466">
      <w:bodyDiv w:val="1"/>
      <w:marLeft w:val="0"/>
      <w:marRight w:val="0"/>
      <w:marTop w:val="0"/>
      <w:marBottom w:val="0"/>
      <w:divBdr>
        <w:top w:val="none" w:sz="0" w:space="0" w:color="auto"/>
        <w:left w:val="none" w:sz="0" w:space="0" w:color="auto"/>
        <w:bottom w:val="none" w:sz="0" w:space="0" w:color="auto"/>
        <w:right w:val="none" w:sz="0" w:space="0" w:color="auto"/>
      </w:divBdr>
    </w:div>
    <w:div w:id="294531709">
      <w:bodyDiv w:val="1"/>
      <w:marLeft w:val="0"/>
      <w:marRight w:val="0"/>
      <w:marTop w:val="0"/>
      <w:marBottom w:val="0"/>
      <w:divBdr>
        <w:top w:val="none" w:sz="0" w:space="0" w:color="auto"/>
        <w:left w:val="none" w:sz="0" w:space="0" w:color="auto"/>
        <w:bottom w:val="none" w:sz="0" w:space="0" w:color="auto"/>
        <w:right w:val="none" w:sz="0" w:space="0" w:color="auto"/>
      </w:divBdr>
    </w:div>
    <w:div w:id="301622745">
      <w:bodyDiv w:val="1"/>
      <w:marLeft w:val="0"/>
      <w:marRight w:val="0"/>
      <w:marTop w:val="0"/>
      <w:marBottom w:val="0"/>
      <w:divBdr>
        <w:top w:val="none" w:sz="0" w:space="0" w:color="auto"/>
        <w:left w:val="none" w:sz="0" w:space="0" w:color="auto"/>
        <w:bottom w:val="none" w:sz="0" w:space="0" w:color="auto"/>
        <w:right w:val="none" w:sz="0" w:space="0" w:color="auto"/>
      </w:divBdr>
    </w:div>
    <w:div w:id="309017014">
      <w:bodyDiv w:val="1"/>
      <w:marLeft w:val="0"/>
      <w:marRight w:val="0"/>
      <w:marTop w:val="0"/>
      <w:marBottom w:val="0"/>
      <w:divBdr>
        <w:top w:val="none" w:sz="0" w:space="0" w:color="auto"/>
        <w:left w:val="none" w:sz="0" w:space="0" w:color="auto"/>
        <w:bottom w:val="none" w:sz="0" w:space="0" w:color="auto"/>
        <w:right w:val="none" w:sz="0" w:space="0" w:color="auto"/>
      </w:divBdr>
    </w:div>
    <w:div w:id="328019067">
      <w:bodyDiv w:val="1"/>
      <w:marLeft w:val="0"/>
      <w:marRight w:val="0"/>
      <w:marTop w:val="0"/>
      <w:marBottom w:val="0"/>
      <w:divBdr>
        <w:top w:val="none" w:sz="0" w:space="0" w:color="auto"/>
        <w:left w:val="none" w:sz="0" w:space="0" w:color="auto"/>
        <w:bottom w:val="none" w:sz="0" w:space="0" w:color="auto"/>
        <w:right w:val="none" w:sz="0" w:space="0" w:color="auto"/>
      </w:divBdr>
    </w:div>
    <w:div w:id="342898662">
      <w:bodyDiv w:val="1"/>
      <w:marLeft w:val="0"/>
      <w:marRight w:val="0"/>
      <w:marTop w:val="0"/>
      <w:marBottom w:val="0"/>
      <w:divBdr>
        <w:top w:val="none" w:sz="0" w:space="0" w:color="auto"/>
        <w:left w:val="none" w:sz="0" w:space="0" w:color="auto"/>
        <w:bottom w:val="none" w:sz="0" w:space="0" w:color="auto"/>
        <w:right w:val="none" w:sz="0" w:space="0" w:color="auto"/>
      </w:divBdr>
    </w:div>
    <w:div w:id="351959098">
      <w:bodyDiv w:val="1"/>
      <w:marLeft w:val="0"/>
      <w:marRight w:val="0"/>
      <w:marTop w:val="0"/>
      <w:marBottom w:val="0"/>
      <w:divBdr>
        <w:top w:val="none" w:sz="0" w:space="0" w:color="auto"/>
        <w:left w:val="none" w:sz="0" w:space="0" w:color="auto"/>
        <w:bottom w:val="none" w:sz="0" w:space="0" w:color="auto"/>
        <w:right w:val="none" w:sz="0" w:space="0" w:color="auto"/>
      </w:divBdr>
    </w:div>
    <w:div w:id="372342665">
      <w:bodyDiv w:val="1"/>
      <w:marLeft w:val="0"/>
      <w:marRight w:val="0"/>
      <w:marTop w:val="0"/>
      <w:marBottom w:val="0"/>
      <w:divBdr>
        <w:top w:val="none" w:sz="0" w:space="0" w:color="auto"/>
        <w:left w:val="none" w:sz="0" w:space="0" w:color="auto"/>
        <w:bottom w:val="none" w:sz="0" w:space="0" w:color="auto"/>
        <w:right w:val="none" w:sz="0" w:space="0" w:color="auto"/>
      </w:divBdr>
    </w:div>
    <w:div w:id="384985071">
      <w:bodyDiv w:val="1"/>
      <w:marLeft w:val="0"/>
      <w:marRight w:val="0"/>
      <w:marTop w:val="0"/>
      <w:marBottom w:val="0"/>
      <w:divBdr>
        <w:top w:val="none" w:sz="0" w:space="0" w:color="auto"/>
        <w:left w:val="none" w:sz="0" w:space="0" w:color="auto"/>
        <w:bottom w:val="none" w:sz="0" w:space="0" w:color="auto"/>
        <w:right w:val="none" w:sz="0" w:space="0" w:color="auto"/>
      </w:divBdr>
    </w:div>
    <w:div w:id="410591234">
      <w:bodyDiv w:val="1"/>
      <w:marLeft w:val="0"/>
      <w:marRight w:val="0"/>
      <w:marTop w:val="0"/>
      <w:marBottom w:val="0"/>
      <w:divBdr>
        <w:top w:val="none" w:sz="0" w:space="0" w:color="auto"/>
        <w:left w:val="none" w:sz="0" w:space="0" w:color="auto"/>
        <w:bottom w:val="none" w:sz="0" w:space="0" w:color="auto"/>
        <w:right w:val="none" w:sz="0" w:space="0" w:color="auto"/>
      </w:divBdr>
    </w:div>
    <w:div w:id="417748588">
      <w:bodyDiv w:val="1"/>
      <w:marLeft w:val="0"/>
      <w:marRight w:val="0"/>
      <w:marTop w:val="0"/>
      <w:marBottom w:val="0"/>
      <w:divBdr>
        <w:top w:val="none" w:sz="0" w:space="0" w:color="auto"/>
        <w:left w:val="none" w:sz="0" w:space="0" w:color="auto"/>
        <w:bottom w:val="none" w:sz="0" w:space="0" w:color="auto"/>
        <w:right w:val="none" w:sz="0" w:space="0" w:color="auto"/>
      </w:divBdr>
    </w:div>
    <w:div w:id="430785612">
      <w:bodyDiv w:val="1"/>
      <w:marLeft w:val="0"/>
      <w:marRight w:val="0"/>
      <w:marTop w:val="0"/>
      <w:marBottom w:val="0"/>
      <w:divBdr>
        <w:top w:val="none" w:sz="0" w:space="0" w:color="auto"/>
        <w:left w:val="none" w:sz="0" w:space="0" w:color="auto"/>
        <w:bottom w:val="none" w:sz="0" w:space="0" w:color="auto"/>
        <w:right w:val="none" w:sz="0" w:space="0" w:color="auto"/>
      </w:divBdr>
    </w:div>
    <w:div w:id="449782671">
      <w:bodyDiv w:val="1"/>
      <w:marLeft w:val="0"/>
      <w:marRight w:val="0"/>
      <w:marTop w:val="0"/>
      <w:marBottom w:val="0"/>
      <w:divBdr>
        <w:top w:val="none" w:sz="0" w:space="0" w:color="auto"/>
        <w:left w:val="none" w:sz="0" w:space="0" w:color="auto"/>
        <w:bottom w:val="none" w:sz="0" w:space="0" w:color="auto"/>
        <w:right w:val="none" w:sz="0" w:space="0" w:color="auto"/>
      </w:divBdr>
    </w:div>
    <w:div w:id="486097859">
      <w:bodyDiv w:val="1"/>
      <w:marLeft w:val="0"/>
      <w:marRight w:val="0"/>
      <w:marTop w:val="0"/>
      <w:marBottom w:val="0"/>
      <w:divBdr>
        <w:top w:val="none" w:sz="0" w:space="0" w:color="auto"/>
        <w:left w:val="none" w:sz="0" w:space="0" w:color="auto"/>
        <w:bottom w:val="none" w:sz="0" w:space="0" w:color="auto"/>
        <w:right w:val="none" w:sz="0" w:space="0" w:color="auto"/>
      </w:divBdr>
    </w:div>
    <w:div w:id="487210132">
      <w:bodyDiv w:val="1"/>
      <w:marLeft w:val="0"/>
      <w:marRight w:val="0"/>
      <w:marTop w:val="0"/>
      <w:marBottom w:val="0"/>
      <w:divBdr>
        <w:top w:val="none" w:sz="0" w:space="0" w:color="auto"/>
        <w:left w:val="none" w:sz="0" w:space="0" w:color="auto"/>
        <w:bottom w:val="none" w:sz="0" w:space="0" w:color="auto"/>
        <w:right w:val="none" w:sz="0" w:space="0" w:color="auto"/>
      </w:divBdr>
    </w:div>
    <w:div w:id="510143243">
      <w:bodyDiv w:val="1"/>
      <w:marLeft w:val="0"/>
      <w:marRight w:val="0"/>
      <w:marTop w:val="0"/>
      <w:marBottom w:val="0"/>
      <w:divBdr>
        <w:top w:val="none" w:sz="0" w:space="0" w:color="auto"/>
        <w:left w:val="none" w:sz="0" w:space="0" w:color="auto"/>
        <w:bottom w:val="none" w:sz="0" w:space="0" w:color="auto"/>
        <w:right w:val="none" w:sz="0" w:space="0" w:color="auto"/>
      </w:divBdr>
    </w:div>
    <w:div w:id="515310948">
      <w:bodyDiv w:val="1"/>
      <w:marLeft w:val="0"/>
      <w:marRight w:val="0"/>
      <w:marTop w:val="0"/>
      <w:marBottom w:val="0"/>
      <w:divBdr>
        <w:top w:val="none" w:sz="0" w:space="0" w:color="auto"/>
        <w:left w:val="none" w:sz="0" w:space="0" w:color="auto"/>
        <w:bottom w:val="none" w:sz="0" w:space="0" w:color="auto"/>
        <w:right w:val="none" w:sz="0" w:space="0" w:color="auto"/>
      </w:divBdr>
    </w:div>
    <w:div w:id="535240032">
      <w:bodyDiv w:val="1"/>
      <w:marLeft w:val="0"/>
      <w:marRight w:val="0"/>
      <w:marTop w:val="0"/>
      <w:marBottom w:val="0"/>
      <w:divBdr>
        <w:top w:val="none" w:sz="0" w:space="0" w:color="auto"/>
        <w:left w:val="none" w:sz="0" w:space="0" w:color="auto"/>
        <w:bottom w:val="none" w:sz="0" w:space="0" w:color="auto"/>
        <w:right w:val="none" w:sz="0" w:space="0" w:color="auto"/>
      </w:divBdr>
    </w:div>
    <w:div w:id="593050052">
      <w:bodyDiv w:val="1"/>
      <w:marLeft w:val="0"/>
      <w:marRight w:val="0"/>
      <w:marTop w:val="0"/>
      <w:marBottom w:val="0"/>
      <w:divBdr>
        <w:top w:val="none" w:sz="0" w:space="0" w:color="auto"/>
        <w:left w:val="none" w:sz="0" w:space="0" w:color="auto"/>
        <w:bottom w:val="none" w:sz="0" w:space="0" w:color="auto"/>
        <w:right w:val="none" w:sz="0" w:space="0" w:color="auto"/>
      </w:divBdr>
    </w:div>
    <w:div w:id="613439796">
      <w:bodyDiv w:val="1"/>
      <w:marLeft w:val="0"/>
      <w:marRight w:val="0"/>
      <w:marTop w:val="0"/>
      <w:marBottom w:val="0"/>
      <w:divBdr>
        <w:top w:val="none" w:sz="0" w:space="0" w:color="auto"/>
        <w:left w:val="none" w:sz="0" w:space="0" w:color="auto"/>
        <w:bottom w:val="none" w:sz="0" w:space="0" w:color="auto"/>
        <w:right w:val="none" w:sz="0" w:space="0" w:color="auto"/>
      </w:divBdr>
    </w:div>
    <w:div w:id="625622082">
      <w:bodyDiv w:val="1"/>
      <w:marLeft w:val="0"/>
      <w:marRight w:val="0"/>
      <w:marTop w:val="0"/>
      <w:marBottom w:val="0"/>
      <w:divBdr>
        <w:top w:val="none" w:sz="0" w:space="0" w:color="auto"/>
        <w:left w:val="none" w:sz="0" w:space="0" w:color="auto"/>
        <w:bottom w:val="none" w:sz="0" w:space="0" w:color="auto"/>
        <w:right w:val="none" w:sz="0" w:space="0" w:color="auto"/>
      </w:divBdr>
    </w:div>
    <w:div w:id="629215427">
      <w:bodyDiv w:val="1"/>
      <w:marLeft w:val="0"/>
      <w:marRight w:val="0"/>
      <w:marTop w:val="0"/>
      <w:marBottom w:val="0"/>
      <w:divBdr>
        <w:top w:val="none" w:sz="0" w:space="0" w:color="auto"/>
        <w:left w:val="none" w:sz="0" w:space="0" w:color="auto"/>
        <w:bottom w:val="none" w:sz="0" w:space="0" w:color="auto"/>
        <w:right w:val="none" w:sz="0" w:space="0" w:color="auto"/>
      </w:divBdr>
    </w:div>
    <w:div w:id="700937968">
      <w:bodyDiv w:val="1"/>
      <w:marLeft w:val="0"/>
      <w:marRight w:val="0"/>
      <w:marTop w:val="0"/>
      <w:marBottom w:val="0"/>
      <w:divBdr>
        <w:top w:val="none" w:sz="0" w:space="0" w:color="auto"/>
        <w:left w:val="none" w:sz="0" w:space="0" w:color="auto"/>
        <w:bottom w:val="none" w:sz="0" w:space="0" w:color="auto"/>
        <w:right w:val="none" w:sz="0" w:space="0" w:color="auto"/>
      </w:divBdr>
    </w:div>
    <w:div w:id="714157527">
      <w:bodyDiv w:val="1"/>
      <w:marLeft w:val="0"/>
      <w:marRight w:val="0"/>
      <w:marTop w:val="0"/>
      <w:marBottom w:val="0"/>
      <w:divBdr>
        <w:top w:val="none" w:sz="0" w:space="0" w:color="auto"/>
        <w:left w:val="none" w:sz="0" w:space="0" w:color="auto"/>
        <w:bottom w:val="none" w:sz="0" w:space="0" w:color="auto"/>
        <w:right w:val="none" w:sz="0" w:space="0" w:color="auto"/>
      </w:divBdr>
    </w:div>
    <w:div w:id="720133752">
      <w:bodyDiv w:val="1"/>
      <w:marLeft w:val="0"/>
      <w:marRight w:val="0"/>
      <w:marTop w:val="0"/>
      <w:marBottom w:val="0"/>
      <w:divBdr>
        <w:top w:val="none" w:sz="0" w:space="0" w:color="auto"/>
        <w:left w:val="none" w:sz="0" w:space="0" w:color="auto"/>
        <w:bottom w:val="none" w:sz="0" w:space="0" w:color="auto"/>
        <w:right w:val="none" w:sz="0" w:space="0" w:color="auto"/>
      </w:divBdr>
    </w:div>
    <w:div w:id="755520535">
      <w:bodyDiv w:val="1"/>
      <w:marLeft w:val="0"/>
      <w:marRight w:val="0"/>
      <w:marTop w:val="0"/>
      <w:marBottom w:val="0"/>
      <w:divBdr>
        <w:top w:val="none" w:sz="0" w:space="0" w:color="auto"/>
        <w:left w:val="none" w:sz="0" w:space="0" w:color="auto"/>
        <w:bottom w:val="none" w:sz="0" w:space="0" w:color="auto"/>
        <w:right w:val="none" w:sz="0" w:space="0" w:color="auto"/>
      </w:divBdr>
    </w:div>
    <w:div w:id="795677269">
      <w:bodyDiv w:val="1"/>
      <w:marLeft w:val="0"/>
      <w:marRight w:val="0"/>
      <w:marTop w:val="0"/>
      <w:marBottom w:val="0"/>
      <w:divBdr>
        <w:top w:val="none" w:sz="0" w:space="0" w:color="auto"/>
        <w:left w:val="none" w:sz="0" w:space="0" w:color="auto"/>
        <w:bottom w:val="none" w:sz="0" w:space="0" w:color="auto"/>
        <w:right w:val="none" w:sz="0" w:space="0" w:color="auto"/>
      </w:divBdr>
    </w:div>
    <w:div w:id="807212508">
      <w:bodyDiv w:val="1"/>
      <w:marLeft w:val="0"/>
      <w:marRight w:val="0"/>
      <w:marTop w:val="0"/>
      <w:marBottom w:val="0"/>
      <w:divBdr>
        <w:top w:val="none" w:sz="0" w:space="0" w:color="auto"/>
        <w:left w:val="none" w:sz="0" w:space="0" w:color="auto"/>
        <w:bottom w:val="none" w:sz="0" w:space="0" w:color="auto"/>
        <w:right w:val="none" w:sz="0" w:space="0" w:color="auto"/>
      </w:divBdr>
    </w:div>
    <w:div w:id="846284956">
      <w:bodyDiv w:val="1"/>
      <w:marLeft w:val="0"/>
      <w:marRight w:val="0"/>
      <w:marTop w:val="0"/>
      <w:marBottom w:val="0"/>
      <w:divBdr>
        <w:top w:val="none" w:sz="0" w:space="0" w:color="auto"/>
        <w:left w:val="none" w:sz="0" w:space="0" w:color="auto"/>
        <w:bottom w:val="none" w:sz="0" w:space="0" w:color="auto"/>
        <w:right w:val="none" w:sz="0" w:space="0" w:color="auto"/>
      </w:divBdr>
    </w:div>
    <w:div w:id="862287571">
      <w:bodyDiv w:val="1"/>
      <w:marLeft w:val="0"/>
      <w:marRight w:val="0"/>
      <w:marTop w:val="0"/>
      <w:marBottom w:val="0"/>
      <w:divBdr>
        <w:top w:val="none" w:sz="0" w:space="0" w:color="auto"/>
        <w:left w:val="none" w:sz="0" w:space="0" w:color="auto"/>
        <w:bottom w:val="none" w:sz="0" w:space="0" w:color="auto"/>
        <w:right w:val="none" w:sz="0" w:space="0" w:color="auto"/>
      </w:divBdr>
    </w:div>
    <w:div w:id="867570692">
      <w:bodyDiv w:val="1"/>
      <w:marLeft w:val="0"/>
      <w:marRight w:val="0"/>
      <w:marTop w:val="0"/>
      <w:marBottom w:val="0"/>
      <w:divBdr>
        <w:top w:val="none" w:sz="0" w:space="0" w:color="auto"/>
        <w:left w:val="none" w:sz="0" w:space="0" w:color="auto"/>
        <w:bottom w:val="none" w:sz="0" w:space="0" w:color="auto"/>
        <w:right w:val="none" w:sz="0" w:space="0" w:color="auto"/>
      </w:divBdr>
    </w:div>
    <w:div w:id="896356424">
      <w:bodyDiv w:val="1"/>
      <w:marLeft w:val="0"/>
      <w:marRight w:val="0"/>
      <w:marTop w:val="0"/>
      <w:marBottom w:val="0"/>
      <w:divBdr>
        <w:top w:val="none" w:sz="0" w:space="0" w:color="auto"/>
        <w:left w:val="none" w:sz="0" w:space="0" w:color="auto"/>
        <w:bottom w:val="none" w:sz="0" w:space="0" w:color="auto"/>
        <w:right w:val="none" w:sz="0" w:space="0" w:color="auto"/>
      </w:divBdr>
    </w:div>
    <w:div w:id="902060735">
      <w:bodyDiv w:val="1"/>
      <w:marLeft w:val="0"/>
      <w:marRight w:val="0"/>
      <w:marTop w:val="0"/>
      <w:marBottom w:val="0"/>
      <w:divBdr>
        <w:top w:val="none" w:sz="0" w:space="0" w:color="auto"/>
        <w:left w:val="none" w:sz="0" w:space="0" w:color="auto"/>
        <w:bottom w:val="none" w:sz="0" w:space="0" w:color="auto"/>
        <w:right w:val="none" w:sz="0" w:space="0" w:color="auto"/>
      </w:divBdr>
    </w:div>
    <w:div w:id="923027587">
      <w:bodyDiv w:val="1"/>
      <w:marLeft w:val="0"/>
      <w:marRight w:val="0"/>
      <w:marTop w:val="0"/>
      <w:marBottom w:val="0"/>
      <w:divBdr>
        <w:top w:val="none" w:sz="0" w:space="0" w:color="auto"/>
        <w:left w:val="none" w:sz="0" w:space="0" w:color="auto"/>
        <w:bottom w:val="none" w:sz="0" w:space="0" w:color="auto"/>
        <w:right w:val="none" w:sz="0" w:space="0" w:color="auto"/>
      </w:divBdr>
    </w:div>
    <w:div w:id="961889123">
      <w:bodyDiv w:val="1"/>
      <w:marLeft w:val="0"/>
      <w:marRight w:val="0"/>
      <w:marTop w:val="0"/>
      <w:marBottom w:val="0"/>
      <w:divBdr>
        <w:top w:val="none" w:sz="0" w:space="0" w:color="auto"/>
        <w:left w:val="none" w:sz="0" w:space="0" w:color="auto"/>
        <w:bottom w:val="none" w:sz="0" w:space="0" w:color="auto"/>
        <w:right w:val="none" w:sz="0" w:space="0" w:color="auto"/>
      </w:divBdr>
    </w:div>
    <w:div w:id="966811305">
      <w:bodyDiv w:val="1"/>
      <w:marLeft w:val="0"/>
      <w:marRight w:val="0"/>
      <w:marTop w:val="0"/>
      <w:marBottom w:val="0"/>
      <w:divBdr>
        <w:top w:val="none" w:sz="0" w:space="0" w:color="auto"/>
        <w:left w:val="none" w:sz="0" w:space="0" w:color="auto"/>
        <w:bottom w:val="none" w:sz="0" w:space="0" w:color="auto"/>
        <w:right w:val="none" w:sz="0" w:space="0" w:color="auto"/>
      </w:divBdr>
    </w:div>
    <w:div w:id="1027950886">
      <w:bodyDiv w:val="1"/>
      <w:marLeft w:val="0"/>
      <w:marRight w:val="0"/>
      <w:marTop w:val="0"/>
      <w:marBottom w:val="0"/>
      <w:divBdr>
        <w:top w:val="none" w:sz="0" w:space="0" w:color="auto"/>
        <w:left w:val="none" w:sz="0" w:space="0" w:color="auto"/>
        <w:bottom w:val="none" w:sz="0" w:space="0" w:color="auto"/>
        <w:right w:val="none" w:sz="0" w:space="0" w:color="auto"/>
      </w:divBdr>
    </w:div>
    <w:div w:id="1031800859">
      <w:bodyDiv w:val="1"/>
      <w:marLeft w:val="0"/>
      <w:marRight w:val="0"/>
      <w:marTop w:val="0"/>
      <w:marBottom w:val="0"/>
      <w:divBdr>
        <w:top w:val="none" w:sz="0" w:space="0" w:color="auto"/>
        <w:left w:val="none" w:sz="0" w:space="0" w:color="auto"/>
        <w:bottom w:val="none" w:sz="0" w:space="0" w:color="auto"/>
        <w:right w:val="none" w:sz="0" w:space="0" w:color="auto"/>
      </w:divBdr>
    </w:div>
    <w:div w:id="1033310309">
      <w:bodyDiv w:val="1"/>
      <w:marLeft w:val="0"/>
      <w:marRight w:val="0"/>
      <w:marTop w:val="0"/>
      <w:marBottom w:val="0"/>
      <w:divBdr>
        <w:top w:val="none" w:sz="0" w:space="0" w:color="auto"/>
        <w:left w:val="none" w:sz="0" w:space="0" w:color="auto"/>
        <w:bottom w:val="none" w:sz="0" w:space="0" w:color="auto"/>
        <w:right w:val="none" w:sz="0" w:space="0" w:color="auto"/>
      </w:divBdr>
    </w:div>
    <w:div w:id="1054356838">
      <w:bodyDiv w:val="1"/>
      <w:marLeft w:val="0"/>
      <w:marRight w:val="0"/>
      <w:marTop w:val="0"/>
      <w:marBottom w:val="0"/>
      <w:divBdr>
        <w:top w:val="none" w:sz="0" w:space="0" w:color="auto"/>
        <w:left w:val="none" w:sz="0" w:space="0" w:color="auto"/>
        <w:bottom w:val="none" w:sz="0" w:space="0" w:color="auto"/>
        <w:right w:val="none" w:sz="0" w:space="0" w:color="auto"/>
      </w:divBdr>
    </w:div>
    <w:div w:id="1071973743">
      <w:bodyDiv w:val="1"/>
      <w:marLeft w:val="0"/>
      <w:marRight w:val="0"/>
      <w:marTop w:val="0"/>
      <w:marBottom w:val="0"/>
      <w:divBdr>
        <w:top w:val="none" w:sz="0" w:space="0" w:color="auto"/>
        <w:left w:val="none" w:sz="0" w:space="0" w:color="auto"/>
        <w:bottom w:val="none" w:sz="0" w:space="0" w:color="auto"/>
        <w:right w:val="none" w:sz="0" w:space="0" w:color="auto"/>
      </w:divBdr>
    </w:div>
    <w:div w:id="1097098479">
      <w:bodyDiv w:val="1"/>
      <w:marLeft w:val="0"/>
      <w:marRight w:val="0"/>
      <w:marTop w:val="0"/>
      <w:marBottom w:val="0"/>
      <w:divBdr>
        <w:top w:val="none" w:sz="0" w:space="0" w:color="auto"/>
        <w:left w:val="none" w:sz="0" w:space="0" w:color="auto"/>
        <w:bottom w:val="none" w:sz="0" w:space="0" w:color="auto"/>
        <w:right w:val="none" w:sz="0" w:space="0" w:color="auto"/>
      </w:divBdr>
    </w:div>
    <w:div w:id="1167282205">
      <w:bodyDiv w:val="1"/>
      <w:marLeft w:val="0"/>
      <w:marRight w:val="0"/>
      <w:marTop w:val="0"/>
      <w:marBottom w:val="0"/>
      <w:divBdr>
        <w:top w:val="none" w:sz="0" w:space="0" w:color="auto"/>
        <w:left w:val="none" w:sz="0" w:space="0" w:color="auto"/>
        <w:bottom w:val="none" w:sz="0" w:space="0" w:color="auto"/>
        <w:right w:val="none" w:sz="0" w:space="0" w:color="auto"/>
      </w:divBdr>
    </w:div>
    <w:div w:id="1177112253">
      <w:bodyDiv w:val="1"/>
      <w:marLeft w:val="0"/>
      <w:marRight w:val="0"/>
      <w:marTop w:val="0"/>
      <w:marBottom w:val="0"/>
      <w:divBdr>
        <w:top w:val="none" w:sz="0" w:space="0" w:color="auto"/>
        <w:left w:val="none" w:sz="0" w:space="0" w:color="auto"/>
        <w:bottom w:val="none" w:sz="0" w:space="0" w:color="auto"/>
        <w:right w:val="none" w:sz="0" w:space="0" w:color="auto"/>
      </w:divBdr>
    </w:div>
    <w:div w:id="1195463196">
      <w:bodyDiv w:val="1"/>
      <w:marLeft w:val="0"/>
      <w:marRight w:val="0"/>
      <w:marTop w:val="0"/>
      <w:marBottom w:val="0"/>
      <w:divBdr>
        <w:top w:val="none" w:sz="0" w:space="0" w:color="auto"/>
        <w:left w:val="none" w:sz="0" w:space="0" w:color="auto"/>
        <w:bottom w:val="none" w:sz="0" w:space="0" w:color="auto"/>
        <w:right w:val="none" w:sz="0" w:space="0" w:color="auto"/>
      </w:divBdr>
    </w:div>
    <w:div w:id="1235120652">
      <w:bodyDiv w:val="1"/>
      <w:marLeft w:val="0"/>
      <w:marRight w:val="0"/>
      <w:marTop w:val="0"/>
      <w:marBottom w:val="0"/>
      <w:divBdr>
        <w:top w:val="none" w:sz="0" w:space="0" w:color="auto"/>
        <w:left w:val="none" w:sz="0" w:space="0" w:color="auto"/>
        <w:bottom w:val="none" w:sz="0" w:space="0" w:color="auto"/>
        <w:right w:val="none" w:sz="0" w:space="0" w:color="auto"/>
      </w:divBdr>
    </w:div>
    <w:div w:id="1236352145">
      <w:bodyDiv w:val="1"/>
      <w:marLeft w:val="0"/>
      <w:marRight w:val="0"/>
      <w:marTop w:val="0"/>
      <w:marBottom w:val="0"/>
      <w:divBdr>
        <w:top w:val="none" w:sz="0" w:space="0" w:color="auto"/>
        <w:left w:val="none" w:sz="0" w:space="0" w:color="auto"/>
        <w:bottom w:val="none" w:sz="0" w:space="0" w:color="auto"/>
        <w:right w:val="none" w:sz="0" w:space="0" w:color="auto"/>
      </w:divBdr>
    </w:div>
    <w:div w:id="1238246484">
      <w:bodyDiv w:val="1"/>
      <w:marLeft w:val="0"/>
      <w:marRight w:val="0"/>
      <w:marTop w:val="0"/>
      <w:marBottom w:val="0"/>
      <w:divBdr>
        <w:top w:val="none" w:sz="0" w:space="0" w:color="auto"/>
        <w:left w:val="none" w:sz="0" w:space="0" w:color="auto"/>
        <w:bottom w:val="none" w:sz="0" w:space="0" w:color="auto"/>
        <w:right w:val="none" w:sz="0" w:space="0" w:color="auto"/>
      </w:divBdr>
    </w:div>
    <w:div w:id="1253970971">
      <w:bodyDiv w:val="1"/>
      <w:marLeft w:val="0"/>
      <w:marRight w:val="0"/>
      <w:marTop w:val="0"/>
      <w:marBottom w:val="0"/>
      <w:divBdr>
        <w:top w:val="none" w:sz="0" w:space="0" w:color="auto"/>
        <w:left w:val="none" w:sz="0" w:space="0" w:color="auto"/>
        <w:bottom w:val="none" w:sz="0" w:space="0" w:color="auto"/>
        <w:right w:val="none" w:sz="0" w:space="0" w:color="auto"/>
      </w:divBdr>
    </w:div>
    <w:div w:id="1287812993">
      <w:bodyDiv w:val="1"/>
      <w:marLeft w:val="0"/>
      <w:marRight w:val="0"/>
      <w:marTop w:val="0"/>
      <w:marBottom w:val="0"/>
      <w:divBdr>
        <w:top w:val="none" w:sz="0" w:space="0" w:color="auto"/>
        <w:left w:val="none" w:sz="0" w:space="0" w:color="auto"/>
        <w:bottom w:val="none" w:sz="0" w:space="0" w:color="auto"/>
        <w:right w:val="none" w:sz="0" w:space="0" w:color="auto"/>
      </w:divBdr>
    </w:div>
    <w:div w:id="1312521878">
      <w:bodyDiv w:val="1"/>
      <w:marLeft w:val="0"/>
      <w:marRight w:val="0"/>
      <w:marTop w:val="0"/>
      <w:marBottom w:val="0"/>
      <w:divBdr>
        <w:top w:val="none" w:sz="0" w:space="0" w:color="auto"/>
        <w:left w:val="none" w:sz="0" w:space="0" w:color="auto"/>
        <w:bottom w:val="none" w:sz="0" w:space="0" w:color="auto"/>
        <w:right w:val="none" w:sz="0" w:space="0" w:color="auto"/>
      </w:divBdr>
    </w:div>
    <w:div w:id="1323779596">
      <w:bodyDiv w:val="1"/>
      <w:marLeft w:val="0"/>
      <w:marRight w:val="0"/>
      <w:marTop w:val="0"/>
      <w:marBottom w:val="0"/>
      <w:divBdr>
        <w:top w:val="none" w:sz="0" w:space="0" w:color="auto"/>
        <w:left w:val="none" w:sz="0" w:space="0" w:color="auto"/>
        <w:bottom w:val="none" w:sz="0" w:space="0" w:color="auto"/>
        <w:right w:val="none" w:sz="0" w:space="0" w:color="auto"/>
      </w:divBdr>
    </w:div>
    <w:div w:id="1333070227">
      <w:bodyDiv w:val="1"/>
      <w:marLeft w:val="0"/>
      <w:marRight w:val="0"/>
      <w:marTop w:val="0"/>
      <w:marBottom w:val="0"/>
      <w:divBdr>
        <w:top w:val="none" w:sz="0" w:space="0" w:color="auto"/>
        <w:left w:val="none" w:sz="0" w:space="0" w:color="auto"/>
        <w:bottom w:val="none" w:sz="0" w:space="0" w:color="auto"/>
        <w:right w:val="none" w:sz="0" w:space="0" w:color="auto"/>
      </w:divBdr>
    </w:div>
    <w:div w:id="1339389485">
      <w:bodyDiv w:val="1"/>
      <w:marLeft w:val="0"/>
      <w:marRight w:val="0"/>
      <w:marTop w:val="0"/>
      <w:marBottom w:val="0"/>
      <w:divBdr>
        <w:top w:val="none" w:sz="0" w:space="0" w:color="auto"/>
        <w:left w:val="none" w:sz="0" w:space="0" w:color="auto"/>
        <w:bottom w:val="none" w:sz="0" w:space="0" w:color="auto"/>
        <w:right w:val="none" w:sz="0" w:space="0" w:color="auto"/>
      </w:divBdr>
    </w:div>
    <w:div w:id="1403025034">
      <w:bodyDiv w:val="1"/>
      <w:marLeft w:val="0"/>
      <w:marRight w:val="0"/>
      <w:marTop w:val="0"/>
      <w:marBottom w:val="0"/>
      <w:divBdr>
        <w:top w:val="none" w:sz="0" w:space="0" w:color="auto"/>
        <w:left w:val="none" w:sz="0" w:space="0" w:color="auto"/>
        <w:bottom w:val="none" w:sz="0" w:space="0" w:color="auto"/>
        <w:right w:val="none" w:sz="0" w:space="0" w:color="auto"/>
      </w:divBdr>
    </w:div>
    <w:div w:id="1421754748">
      <w:bodyDiv w:val="1"/>
      <w:marLeft w:val="0"/>
      <w:marRight w:val="0"/>
      <w:marTop w:val="0"/>
      <w:marBottom w:val="0"/>
      <w:divBdr>
        <w:top w:val="none" w:sz="0" w:space="0" w:color="auto"/>
        <w:left w:val="none" w:sz="0" w:space="0" w:color="auto"/>
        <w:bottom w:val="none" w:sz="0" w:space="0" w:color="auto"/>
        <w:right w:val="none" w:sz="0" w:space="0" w:color="auto"/>
      </w:divBdr>
    </w:div>
    <w:div w:id="1432387019">
      <w:bodyDiv w:val="1"/>
      <w:marLeft w:val="0"/>
      <w:marRight w:val="0"/>
      <w:marTop w:val="0"/>
      <w:marBottom w:val="0"/>
      <w:divBdr>
        <w:top w:val="none" w:sz="0" w:space="0" w:color="auto"/>
        <w:left w:val="none" w:sz="0" w:space="0" w:color="auto"/>
        <w:bottom w:val="none" w:sz="0" w:space="0" w:color="auto"/>
        <w:right w:val="none" w:sz="0" w:space="0" w:color="auto"/>
      </w:divBdr>
    </w:div>
    <w:div w:id="1435856766">
      <w:bodyDiv w:val="1"/>
      <w:marLeft w:val="0"/>
      <w:marRight w:val="0"/>
      <w:marTop w:val="0"/>
      <w:marBottom w:val="0"/>
      <w:divBdr>
        <w:top w:val="none" w:sz="0" w:space="0" w:color="auto"/>
        <w:left w:val="none" w:sz="0" w:space="0" w:color="auto"/>
        <w:bottom w:val="none" w:sz="0" w:space="0" w:color="auto"/>
        <w:right w:val="none" w:sz="0" w:space="0" w:color="auto"/>
      </w:divBdr>
    </w:div>
    <w:div w:id="1451851505">
      <w:bodyDiv w:val="1"/>
      <w:marLeft w:val="0"/>
      <w:marRight w:val="0"/>
      <w:marTop w:val="0"/>
      <w:marBottom w:val="0"/>
      <w:divBdr>
        <w:top w:val="none" w:sz="0" w:space="0" w:color="auto"/>
        <w:left w:val="none" w:sz="0" w:space="0" w:color="auto"/>
        <w:bottom w:val="none" w:sz="0" w:space="0" w:color="auto"/>
        <w:right w:val="none" w:sz="0" w:space="0" w:color="auto"/>
      </w:divBdr>
    </w:div>
    <w:div w:id="1455103234">
      <w:bodyDiv w:val="1"/>
      <w:marLeft w:val="0"/>
      <w:marRight w:val="0"/>
      <w:marTop w:val="0"/>
      <w:marBottom w:val="0"/>
      <w:divBdr>
        <w:top w:val="none" w:sz="0" w:space="0" w:color="auto"/>
        <w:left w:val="none" w:sz="0" w:space="0" w:color="auto"/>
        <w:bottom w:val="none" w:sz="0" w:space="0" w:color="auto"/>
        <w:right w:val="none" w:sz="0" w:space="0" w:color="auto"/>
      </w:divBdr>
    </w:div>
    <w:div w:id="1478759893">
      <w:bodyDiv w:val="1"/>
      <w:marLeft w:val="0"/>
      <w:marRight w:val="0"/>
      <w:marTop w:val="0"/>
      <w:marBottom w:val="0"/>
      <w:divBdr>
        <w:top w:val="none" w:sz="0" w:space="0" w:color="auto"/>
        <w:left w:val="none" w:sz="0" w:space="0" w:color="auto"/>
        <w:bottom w:val="none" w:sz="0" w:space="0" w:color="auto"/>
        <w:right w:val="none" w:sz="0" w:space="0" w:color="auto"/>
      </w:divBdr>
    </w:div>
    <w:div w:id="1495802552">
      <w:bodyDiv w:val="1"/>
      <w:marLeft w:val="0"/>
      <w:marRight w:val="0"/>
      <w:marTop w:val="0"/>
      <w:marBottom w:val="0"/>
      <w:divBdr>
        <w:top w:val="none" w:sz="0" w:space="0" w:color="auto"/>
        <w:left w:val="none" w:sz="0" w:space="0" w:color="auto"/>
        <w:bottom w:val="none" w:sz="0" w:space="0" w:color="auto"/>
        <w:right w:val="none" w:sz="0" w:space="0" w:color="auto"/>
      </w:divBdr>
    </w:div>
    <w:div w:id="1506243688">
      <w:bodyDiv w:val="1"/>
      <w:marLeft w:val="0"/>
      <w:marRight w:val="0"/>
      <w:marTop w:val="0"/>
      <w:marBottom w:val="0"/>
      <w:divBdr>
        <w:top w:val="none" w:sz="0" w:space="0" w:color="auto"/>
        <w:left w:val="none" w:sz="0" w:space="0" w:color="auto"/>
        <w:bottom w:val="none" w:sz="0" w:space="0" w:color="auto"/>
        <w:right w:val="none" w:sz="0" w:space="0" w:color="auto"/>
      </w:divBdr>
    </w:div>
    <w:div w:id="1552696077">
      <w:bodyDiv w:val="1"/>
      <w:marLeft w:val="0"/>
      <w:marRight w:val="0"/>
      <w:marTop w:val="0"/>
      <w:marBottom w:val="0"/>
      <w:divBdr>
        <w:top w:val="none" w:sz="0" w:space="0" w:color="auto"/>
        <w:left w:val="none" w:sz="0" w:space="0" w:color="auto"/>
        <w:bottom w:val="none" w:sz="0" w:space="0" w:color="auto"/>
        <w:right w:val="none" w:sz="0" w:space="0" w:color="auto"/>
      </w:divBdr>
    </w:div>
    <w:div w:id="1556813249">
      <w:bodyDiv w:val="1"/>
      <w:marLeft w:val="0"/>
      <w:marRight w:val="0"/>
      <w:marTop w:val="0"/>
      <w:marBottom w:val="0"/>
      <w:divBdr>
        <w:top w:val="none" w:sz="0" w:space="0" w:color="auto"/>
        <w:left w:val="none" w:sz="0" w:space="0" w:color="auto"/>
        <w:bottom w:val="none" w:sz="0" w:space="0" w:color="auto"/>
        <w:right w:val="none" w:sz="0" w:space="0" w:color="auto"/>
      </w:divBdr>
    </w:div>
    <w:div w:id="1562793680">
      <w:bodyDiv w:val="1"/>
      <w:marLeft w:val="0"/>
      <w:marRight w:val="0"/>
      <w:marTop w:val="0"/>
      <w:marBottom w:val="0"/>
      <w:divBdr>
        <w:top w:val="none" w:sz="0" w:space="0" w:color="auto"/>
        <w:left w:val="none" w:sz="0" w:space="0" w:color="auto"/>
        <w:bottom w:val="none" w:sz="0" w:space="0" w:color="auto"/>
        <w:right w:val="none" w:sz="0" w:space="0" w:color="auto"/>
      </w:divBdr>
    </w:div>
    <w:div w:id="1569802970">
      <w:bodyDiv w:val="1"/>
      <w:marLeft w:val="0"/>
      <w:marRight w:val="0"/>
      <w:marTop w:val="0"/>
      <w:marBottom w:val="0"/>
      <w:divBdr>
        <w:top w:val="none" w:sz="0" w:space="0" w:color="auto"/>
        <w:left w:val="none" w:sz="0" w:space="0" w:color="auto"/>
        <w:bottom w:val="none" w:sz="0" w:space="0" w:color="auto"/>
        <w:right w:val="none" w:sz="0" w:space="0" w:color="auto"/>
      </w:divBdr>
    </w:div>
    <w:div w:id="1601713862">
      <w:bodyDiv w:val="1"/>
      <w:marLeft w:val="0"/>
      <w:marRight w:val="0"/>
      <w:marTop w:val="0"/>
      <w:marBottom w:val="0"/>
      <w:divBdr>
        <w:top w:val="none" w:sz="0" w:space="0" w:color="auto"/>
        <w:left w:val="none" w:sz="0" w:space="0" w:color="auto"/>
        <w:bottom w:val="none" w:sz="0" w:space="0" w:color="auto"/>
        <w:right w:val="none" w:sz="0" w:space="0" w:color="auto"/>
      </w:divBdr>
    </w:div>
    <w:div w:id="1602831985">
      <w:bodyDiv w:val="1"/>
      <w:marLeft w:val="0"/>
      <w:marRight w:val="0"/>
      <w:marTop w:val="0"/>
      <w:marBottom w:val="0"/>
      <w:divBdr>
        <w:top w:val="none" w:sz="0" w:space="0" w:color="auto"/>
        <w:left w:val="none" w:sz="0" w:space="0" w:color="auto"/>
        <w:bottom w:val="none" w:sz="0" w:space="0" w:color="auto"/>
        <w:right w:val="none" w:sz="0" w:space="0" w:color="auto"/>
      </w:divBdr>
    </w:div>
    <w:div w:id="1626813320">
      <w:bodyDiv w:val="1"/>
      <w:marLeft w:val="0"/>
      <w:marRight w:val="0"/>
      <w:marTop w:val="0"/>
      <w:marBottom w:val="0"/>
      <w:divBdr>
        <w:top w:val="none" w:sz="0" w:space="0" w:color="auto"/>
        <w:left w:val="none" w:sz="0" w:space="0" w:color="auto"/>
        <w:bottom w:val="none" w:sz="0" w:space="0" w:color="auto"/>
        <w:right w:val="none" w:sz="0" w:space="0" w:color="auto"/>
      </w:divBdr>
    </w:div>
    <w:div w:id="1652950907">
      <w:bodyDiv w:val="1"/>
      <w:marLeft w:val="0"/>
      <w:marRight w:val="0"/>
      <w:marTop w:val="0"/>
      <w:marBottom w:val="0"/>
      <w:divBdr>
        <w:top w:val="none" w:sz="0" w:space="0" w:color="auto"/>
        <w:left w:val="none" w:sz="0" w:space="0" w:color="auto"/>
        <w:bottom w:val="none" w:sz="0" w:space="0" w:color="auto"/>
        <w:right w:val="none" w:sz="0" w:space="0" w:color="auto"/>
      </w:divBdr>
    </w:div>
    <w:div w:id="1661931722">
      <w:bodyDiv w:val="1"/>
      <w:marLeft w:val="0"/>
      <w:marRight w:val="0"/>
      <w:marTop w:val="0"/>
      <w:marBottom w:val="0"/>
      <w:divBdr>
        <w:top w:val="none" w:sz="0" w:space="0" w:color="auto"/>
        <w:left w:val="none" w:sz="0" w:space="0" w:color="auto"/>
        <w:bottom w:val="none" w:sz="0" w:space="0" w:color="auto"/>
        <w:right w:val="none" w:sz="0" w:space="0" w:color="auto"/>
      </w:divBdr>
    </w:div>
    <w:div w:id="1777288796">
      <w:bodyDiv w:val="1"/>
      <w:marLeft w:val="0"/>
      <w:marRight w:val="0"/>
      <w:marTop w:val="0"/>
      <w:marBottom w:val="0"/>
      <w:divBdr>
        <w:top w:val="none" w:sz="0" w:space="0" w:color="auto"/>
        <w:left w:val="none" w:sz="0" w:space="0" w:color="auto"/>
        <w:bottom w:val="none" w:sz="0" w:space="0" w:color="auto"/>
        <w:right w:val="none" w:sz="0" w:space="0" w:color="auto"/>
      </w:divBdr>
    </w:div>
    <w:div w:id="1844080890">
      <w:bodyDiv w:val="1"/>
      <w:marLeft w:val="0"/>
      <w:marRight w:val="0"/>
      <w:marTop w:val="0"/>
      <w:marBottom w:val="0"/>
      <w:divBdr>
        <w:top w:val="none" w:sz="0" w:space="0" w:color="auto"/>
        <w:left w:val="none" w:sz="0" w:space="0" w:color="auto"/>
        <w:bottom w:val="none" w:sz="0" w:space="0" w:color="auto"/>
        <w:right w:val="none" w:sz="0" w:space="0" w:color="auto"/>
      </w:divBdr>
    </w:div>
    <w:div w:id="1862890205">
      <w:bodyDiv w:val="1"/>
      <w:marLeft w:val="0"/>
      <w:marRight w:val="0"/>
      <w:marTop w:val="0"/>
      <w:marBottom w:val="0"/>
      <w:divBdr>
        <w:top w:val="none" w:sz="0" w:space="0" w:color="auto"/>
        <w:left w:val="none" w:sz="0" w:space="0" w:color="auto"/>
        <w:bottom w:val="none" w:sz="0" w:space="0" w:color="auto"/>
        <w:right w:val="none" w:sz="0" w:space="0" w:color="auto"/>
      </w:divBdr>
    </w:div>
    <w:div w:id="1885016564">
      <w:bodyDiv w:val="1"/>
      <w:marLeft w:val="0"/>
      <w:marRight w:val="0"/>
      <w:marTop w:val="0"/>
      <w:marBottom w:val="0"/>
      <w:divBdr>
        <w:top w:val="none" w:sz="0" w:space="0" w:color="auto"/>
        <w:left w:val="none" w:sz="0" w:space="0" w:color="auto"/>
        <w:bottom w:val="none" w:sz="0" w:space="0" w:color="auto"/>
        <w:right w:val="none" w:sz="0" w:space="0" w:color="auto"/>
      </w:divBdr>
    </w:div>
    <w:div w:id="1916159101">
      <w:bodyDiv w:val="1"/>
      <w:marLeft w:val="0"/>
      <w:marRight w:val="0"/>
      <w:marTop w:val="0"/>
      <w:marBottom w:val="0"/>
      <w:divBdr>
        <w:top w:val="none" w:sz="0" w:space="0" w:color="auto"/>
        <w:left w:val="none" w:sz="0" w:space="0" w:color="auto"/>
        <w:bottom w:val="none" w:sz="0" w:space="0" w:color="auto"/>
        <w:right w:val="none" w:sz="0" w:space="0" w:color="auto"/>
      </w:divBdr>
    </w:div>
    <w:div w:id="1947804672">
      <w:bodyDiv w:val="1"/>
      <w:marLeft w:val="0"/>
      <w:marRight w:val="0"/>
      <w:marTop w:val="0"/>
      <w:marBottom w:val="0"/>
      <w:divBdr>
        <w:top w:val="none" w:sz="0" w:space="0" w:color="auto"/>
        <w:left w:val="none" w:sz="0" w:space="0" w:color="auto"/>
        <w:bottom w:val="none" w:sz="0" w:space="0" w:color="auto"/>
        <w:right w:val="none" w:sz="0" w:space="0" w:color="auto"/>
      </w:divBdr>
    </w:div>
    <w:div w:id="1971132109">
      <w:bodyDiv w:val="1"/>
      <w:marLeft w:val="0"/>
      <w:marRight w:val="0"/>
      <w:marTop w:val="0"/>
      <w:marBottom w:val="0"/>
      <w:divBdr>
        <w:top w:val="none" w:sz="0" w:space="0" w:color="auto"/>
        <w:left w:val="none" w:sz="0" w:space="0" w:color="auto"/>
        <w:bottom w:val="none" w:sz="0" w:space="0" w:color="auto"/>
        <w:right w:val="none" w:sz="0" w:space="0" w:color="auto"/>
      </w:divBdr>
    </w:div>
    <w:div w:id="1994748193">
      <w:bodyDiv w:val="1"/>
      <w:marLeft w:val="0"/>
      <w:marRight w:val="0"/>
      <w:marTop w:val="0"/>
      <w:marBottom w:val="0"/>
      <w:divBdr>
        <w:top w:val="none" w:sz="0" w:space="0" w:color="auto"/>
        <w:left w:val="none" w:sz="0" w:space="0" w:color="auto"/>
        <w:bottom w:val="none" w:sz="0" w:space="0" w:color="auto"/>
        <w:right w:val="none" w:sz="0" w:space="0" w:color="auto"/>
      </w:divBdr>
    </w:div>
    <w:div w:id="2003043960">
      <w:bodyDiv w:val="1"/>
      <w:marLeft w:val="0"/>
      <w:marRight w:val="0"/>
      <w:marTop w:val="0"/>
      <w:marBottom w:val="0"/>
      <w:divBdr>
        <w:top w:val="none" w:sz="0" w:space="0" w:color="auto"/>
        <w:left w:val="none" w:sz="0" w:space="0" w:color="auto"/>
        <w:bottom w:val="none" w:sz="0" w:space="0" w:color="auto"/>
        <w:right w:val="none" w:sz="0" w:space="0" w:color="auto"/>
      </w:divBdr>
    </w:div>
    <w:div w:id="2008289370">
      <w:bodyDiv w:val="1"/>
      <w:marLeft w:val="0"/>
      <w:marRight w:val="0"/>
      <w:marTop w:val="0"/>
      <w:marBottom w:val="0"/>
      <w:divBdr>
        <w:top w:val="none" w:sz="0" w:space="0" w:color="auto"/>
        <w:left w:val="none" w:sz="0" w:space="0" w:color="auto"/>
        <w:bottom w:val="none" w:sz="0" w:space="0" w:color="auto"/>
        <w:right w:val="none" w:sz="0" w:space="0" w:color="auto"/>
      </w:divBdr>
    </w:div>
    <w:div w:id="2022656029">
      <w:bodyDiv w:val="1"/>
      <w:marLeft w:val="0"/>
      <w:marRight w:val="0"/>
      <w:marTop w:val="0"/>
      <w:marBottom w:val="0"/>
      <w:divBdr>
        <w:top w:val="none" w:sz="0" w:space="0" w:color="auto"/>
        <w:left w:val="none" w:sz="0" w:space="0" w:color="auto"/>
        <w:bottom w:val="none" w:sz="0" w:space="0" w:color="auto"/>
        <w:right w:val="none" w:sz="0" w:space="0" w:color="auto"/>
      </w:divBdr>
    </w:div>
    <w:div w:id="2026587739">
      <w:bodyDiv w:val="1"/>
      <w:marLeft w:val="0"/>
      <w:marRight w:val="0"/>
      <w:marTop w:val="0"/>
      <w:marBottom w:val="0"/>
      <w:divBdr>
        <w:top w:val="none" w:sz="0" w:space="0" w:color="auto"/>
        <w:left w:val="none" w:sz="0" w:space="0" w:color="auto"/>
        <w:bottom w:val="none" w:sz="0" w:space="0" w:color="auto"/>
        <w:right w:val="none" w:sz="0" w:space="0" w:color="auto"/>
      </w:divBdr>
    </w:div>
    <w:div w:id="2032105829">
      <w:bodyDiv w:val="1"/>
      <w:marLeft w:val="0"/>
      <w:marRight w:val="0"/>
      <w:marTop w:val="0"/>
      <w:marBottom w:val="0"/>
      <w:divBdr>
        <w:top w:val="none" w:sz="0" w:space="0" w:color="auto"/>
        <w:left w:val="none" w:sz="0" w:space="0" w:color="auto"/>
        <w:bottom w:val="none" w:sz="0" w:space="0" w:color="auto"/>
        <w:right w:val="none" w:sz="0" w:space="0" w:color="auto"/>
      </w:divBdr>
    </w:div>
    <w:div w:id="2051029970">
      <w:bodyDiv w:val="1"/>
      <w:marLeft w:val="0"/>
      <w:marRight w:val="0"/>
      <w:marTop w:val="0"/>
      <w:marBottom w:val="0"/>
      <w:divBdr>
        <w:top w:val="none" w:sz="0" w:space="0" w:color="auto"/>
        <w:left w:val="none" w:sz="0" w:space="0" w:color="auto"/>
        <w:bottom w:val="none" w:sz="0" w:space="0" w:color="auto"/>
        <w:right w:val="none" w:sz="0" w:space="0" w:color="auto"/>
      </w:divBdr>
    </w:div>
    <w:div w:id="2058966540">
      <w:bodyDiv w:val="1"/>
      <w:marLeft w:val="0"/>
      <w:marRight w:val="0"/>
      <w:marTop w:val="0"/>
      <w:marBottom w:val="0"/>
      <w:divBdr>
        <w:top w:val="none" w:sz="0" w:space="0" w:color="auto"/>
        <w:left w:val="none" w:sz="0" w:space="0" w:color="auto"/>
        <w:bottom w:val="none" w:sz="0" w:space="0" w:color="auto"/>
        <w:right w:val="none" w:sz="0" w:space="0" w:color="auto"/>
      </w:divBdr>
    </w:div>
    <w:div w:id="2096782390">
      <w:bodyDiv w:val="1"/>
      <w:marLeft w:val="0"/>
      <w:marRight w:val="0"/>
      <w:marTop w:val="0"/>
      <w:marBottom w:val="0"/>
      <w:divBdr>
        <w:top w:val="none" w:sz="0" w:space="0" w:color="auto"/>
        <w:left w:val="none" w:sz="0" w:space="0" w:color="auto"/>
        <w:bottom w:val="none" w:sz="0" w:space="0" w:color="auto"/>
        <w:right w:val="none" w:sz="0" w:space="0" w:color="auto"/>
      </w:divBdr>
    </w:div>
    <w:div w:id="2108580042">
      <w:bodyDiv w:val="1"/>
      <w:marLeft w:val="0"/>
      <w:marRight w:val="0"/>
      <w:marTop w:val="0"/>
      <w:marBottom w:val="0"/>
      <w:divBdr>
        <w:top w:val="none" w:sz="0" w:space="0" w:color="auto"/>
        <w:left w:val="none" w:sz="0" w:space="0" w:color="auto"/>
        <w:bottom w:val="none" w:sz="0" w:space="0" w:color="auto"/>
        <w:right w:val="none" w:sz="0" w:space="0" w:color="auto"/>
      </w:divBdr>
    </w:div>
    <w:div w:id="2129809656">
      <w:bodyDiv w:val="1"/>
      <w:marLeft w:val="0"/>
      <w:marRight w:val="0"/>
      <w:marTop w:val="0"/>
      <w:marBottom w:val="0"/>
      <w:divBdr>
        <w:top w:val="none" w:sz="0" w:space="0" w:color="auto"/>
        <w:left w:val="none" w:sz="0" w:space="0" w:color="auto"/>
        <w:bottom w:val="none" w:sz="0" w:space="0" w:color="auto"/>
        <w:right w:val="none" w:sz="0" w:space="0" w:color="auto"/>
      </w:divBdr>
    </w:div>
    <w:div w:id="2136363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22156</Words>
  <Characters>126292</Characters>
  <Application>Microsoft Office Word</Application>
  <DocSecurity>0</DocSecurity>
  <Lines>1052</Lines>
  <Paragraphs>296</Paragraphs>
  <ScaleCrop>false</ScaleCrop>
  <Company/>
  <LinksUpToDate>false</LinksUpToDate>
  <CharactersWithSpaces>148152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13</cp:revision>
  <dcterms:created xsi:type="dcterms:W3CDTF">2024-08-18T03:24:00Z</dcterms:created>
  <dcterms:modified xsi:type="dcterms:W3CDTF">2024-08-19T05:59:00Z</dcterms:modified>
</cp:coreProperties>
</file>